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版本号：SXZYXM2026-1820260605001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北社派出所提升改造项目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SXZYXM2026-18</w:t>
      </w:r>
      <w:r>
        <w:br/>
      </w:r>
      <w:r>
        <w:br/>
      </w:r>
      <w:r>
        <w:br/>
      </w:r>
    </w:p>
    <w:p>
      <w:pPr>
        <w:pStyle w:val="null3"/>
        <w:jc w:val="center"/>
        <w:outlineLvl w:val="2"/>
      </w:pPr>
      <w:r>
        <w:rPr>
          <w:rFonts w:ascii="仿宋_GB2312" w:hAnsi="仿宋_GB2312" w:cs="仿宋_GB2312" w:eastAsia="仿宋_GB2312"/>
          <w:sz w:val="28"/>
          <w:b/>
        </w:rPr>
        <w:t>华阴市公安局</w:t>
      </w:r>
    </w:p>
    <w:p>
      <w:pPr>
        <w:pStyle w:val="null3"/>
        <w:jc w:val="center"/>
        <w:outlineLvl w:val="2"/>
      </w:pPr>
      <w:r>
        <w:rPr>
          <w:rFonts w:ascii="仿宋_GB2312" w:hAnsi="仿宋_GB2312" w:cs="仿宋_GB2312" w:eastAsia="仿宋_GB2312"/>
          <w:sz w:val="28"/>
          <w:b/>
        </w:rPr>
        <w:t>陕西正园工程项目管理有限公司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陕西正园工程项目管理有限公司</w:t>
      </w:r>
      <w:r>
        <w:rPr>
          <w:rFonts w:ascii="仿宋_GB2312" w:hAnsi="仿宋_GB2312" w:cs="仿宋_GB2312" w:eastAsia="仿宋_GB2312"/>
        </w:rPr>
        <w:t>（以下简称“代理机构”）受</w:t>
      </w:r>
      <w:r>
        <w:rPr>
          <w:rFonts w:ascii="仿宋_GB2312" w:hAnsi="仿宋_GB2312" w:cs="仿宋_GB2312" w:eastAsia="仿宋_GB2312"/>
        </w:rPr>
        <w:t>华阴市公安局</w:t>
      </w:r>
      <w:r>
        <w:rPr>
          <w:rFonts w:ascii="仿宋_GB2312" w:hAnsi="仿宋_GB2312" w:cs="仿宋_GB2312" w:eastAsia="仿宋_GB2312"/>
        </w:rPr>
        <w:t>委托，拟对</w:t>
      </w:r>
      <w:r>
        <w:rPr>
          <w:rFonts w:ascii="仿宋_GB2312" w:hAnsi="仿宋_GB2312" w:cs="仿宋_GB2312" w:eastAsia="仿宋_GB2312"/>
        </w:rPr>
        <w:t>北社派出所提升改造项目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SXZYXM2026-18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北社派出所提升改造项目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项目主要建设内容包括室外管网工程、室外电气工程、新建综合指挥室、户籍室、档案室等土建工程、室内装修、弱电工程、给排水工程，已有建筑一层、二层改造电气工程、给排水工程等。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采购包1（北社派出所提升改造）：属于专门面向中小企业采购。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1、具有独立承担民事责任的法人、其他组织或自然人：供应商应出具合法有效的营业执照或事业单位法人证书等国家规定的相关证明，自然人参与的提供其身份证明；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2、供应商授权合法的人员参加磋商全过程：法定代表人授权委托书（附法定代表人身份证复印件）及被授权委托人身份证（法定代表人参加磋商只须提供法定代表人身份证）；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3、财务状况报告：提供2024年度或2025年度经审计的财务报告（包括但不限于审计报告、资产负债表、利润表、现金流量表、所有者权益变动表及财务报表附注等内容，成立时间至提交响应文件截止时间不足一年的可提供成立后任意时段的资产负债表，各供应商提供的财务审计报告需赋加有效二维码）或开标前六个月内其基本账户银行出具的资信证明，以上两种方式供应商任选其一进行提供；</w:t>
      </w:r>
    </w:p>
    <w:p>
      <w:pPr>
        <w:pStyle w:val="null3"/>
      </w:pPr>
      <w:r>
        <w:rPr>
          <w:rFonts w:ascii="仿宋_GB2312" w:hAnsi="仿宋_GB2312" w:cs="仿宋_GB2312" w:eastAsia="仿宋_GB2312"/>
        </w:rPr>
        <w:t>4、社会保障资金缴纳证明：提供递交截止时间前6个月内任意一个月的社会保障资金缴存单据或社保机构开具的社会保险参保缴费情况证明，依法不需要缴纳社会保障资金的单位应提供相关证明材料；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5、税收缴纳证明：提供递交截止时间前6个月内任意一个月的缴费凭据（增值税、企业所得税至少提供一种，依法免税的单位应提供相关证明材料）；</w:t>
      </w:r>
    </w:p>
    <w:p>
      <w:pPr>
        <w:pStyle w:val="null3"/>
      </w:pPr>
      <w:r>
        <w:rPr>
          <w:rFonts w:ascii="仿宋_GB2312" w:hAnsi="仿宋_GB2312" w:cs="仿宋_GB2312" w:eastAsia="仿宋_GB2312"/>
        </w:rPr>
        <w:t>6、具有履行合同所必需的设备和专业技术能力：具有履行合同所必需的设备和专业技术能力，提供承诺书，加盖公章。</w:t>
      </w:r>
    </w:p>
    <w:p>
      <w:pPr>
        <w:pStyle w:val="null3"/>
      </w:pPr>
      <w:r>
        <w:rPr>
          <w:rFonts w:ascii="仿宋_GB2312" w:hAnsi="仿宋_GB2312" w:cs="仿宋_GB2312" w:eastAsia="仿宋_GB2312"/>
        </w:rPr>
        <w:t>7、参加政府采购活动前三年内，在经营活动中没有重大违法记录：提供参加政府采购活动前3年内在经营活动中没有重大违法记录的书面声明，加盖公章；</w:t>
      </w:r>
    </w:p>
    <w:p>
      <w:pPr>
        <w:pStyle w:val="null3"/>
      </w:pPr>
      <w:r>
        <w:rPr>
          <w:rFonts w:ascii="仿宋_GB2312" w:hAnsi="仿宋_GB2312" w:cs="仿宋_GB2312" w:eastAsia="仿宋_GB2312"/>
        </w:rPr>
        <w:t>8、资质条件：供应商应具有建筑工程施工总承包三级（含三级）以上资质，具有建设行政主管部门颁发的有效的安全生产许可证。</w:t>
      </w:r>
    </w:p>
    <w:p>
      <w:pPr>
        <w:pStyle w:val="null3"/>
      </w:pPr>
      <w:r>
        <w:rPr>
          <w:rFonts w:ascii="仿宋_GB2312" w:hAnsi="仿宋_GB2312" w:cs="仿宋_GB2312" w:eastAsia="仿宋_GB2312"/>
        </w:rPr>
        <w:t>9、项目经理：拟派项目经理须具备建筑工程专业二级（含二级）以上注册建造师证书和有效的安全生产考核合格证，在本单位注册且无在建工程（提供无在建工程承诺书）；</w:t>
      </w:r>
    </w:p>
    <w:p>
      <w:pPr>
        <w:pStyle w:val="null3"/>
      </w:pPr>
      <w:r>
        <w:rPr>
          <w:rFonts w:ascii="仿宋_GB2312" w:hAnsi="仿宋_GB2312" w:cs="仿宋_GB2312" w:eastAsia="仿宋_GB2312"/>
        </w:rPr>
        <w:t>10、信用记录：未被列入“信用中国”网站记录的“失信被执行人”或“重大税收违法案件当事人”名单；不得为“中国政府采购网”记录的“政府采购严重违法失信行为记录名单”，提供网页截图，代理机构将对信用记录现场进行查询。（以评审现场查询记录为准）。</w:t>
      </w:r>
    </w:p>
    <w:p>
      <w:pPr>
        <w:pStyle w:val="null3"/>
      </w:pPr>
      <w:r>
        <w:rPr>
          <w:rFonts w:ascii="仿宋_GB2312" w:hAnsi="仿宋_GB2312" w:cs="仿宋_GB2312" w:eastAsia="仿宋_GB2312"/>
        </w:rPr>
        <w:t>11、非联合体磋商：本项目不接受联合体，提供非联合体投标声明</w:t>
      </w:r>
    </w:p>
    <w:p>
      <w:pPr>
        <w:pStyle w:val="null3"/>
      </w:pPr>
      <w:r>
        <w:rPr>
          <w:rFonts w:ascii="仿宋_GB2312" w:hAnsi="仿宋_GB2312" w:cs="仿宋_GB2312" w:eastAsia="仿宋_GB2312"/>
        </w:rPr>
        <w:t>12、单位负责人为同一人或者存在直接控股、管理关系的不同投标人，不得参加同一合同项下的政府采购活动：供应商须提供书面声明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华阴市东岳路东段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15877330933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陕西正园工程项目管理有限公司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西安市曲江新区雁翔路旺座曲江L座15层1506室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钮依宁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029-89557177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华阴市政府采购管理股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采购包1：3,943,249.53元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采购项目代理服务费参照国家计委颁发的《招标代理服务收费管理暂行办法》(计价格[2002]1980号)和国家发改委员会办公厅颁发的《关于招标代理服务收费有关问题的通知》(发改办价格[2003]857号)及发改价格【2011】534的有关规定执行，由中标人向采购代理机构一次付清招标代理服务费。代理费用由投标人自行考虑包含在投标报价中，费用可不单列。供应商需要办理完税发票（招标代理服务费）的，须在陕西正园工程项目管理有限公司财务部的收款收据或发票开具之日起90 日内换领，逾期不予办理。</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华阴市公安局</w:t>
      </w:r>
      <w:r>
        <w:rPr>
          <w:rFonts w:ascii="仿宋_GB2312" w:hAnsi="仿宋_GB2312" w:cs="仿宋_GB2312" w:eastAsia="仿宋_GB2312"/>
        </w:rPr>
        <w:t>和</w:t>
      </w:r>
      <w:r>
        <w:rPr>
          <w:rFonts w:ascii="仿宋_GB2312" w:hAnsi="仿宋_GB2312" w:cs="仿宋_GB2312" w:eastAsia="仿宋_GB2312"/>
        </w:rPr>
        <w:t>陕西正园工程项目管理有限公司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华阴市公安局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陕西正园工程项目管理有限公司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陕西正园工程项目管理有限公司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国家或行业相关规范标准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联系人：钮依宁</w:t>
      </w:r>
    </w:p>
    <w:p>
      <w:pPr>
        <w:pStyle w:val="null3"/>
      </w:pPr>
      <w:r>
        <w:rPr>
          <w:rFonts w:ascii="仿宋_GB2312" w:hAnsi="仿宋_GB2312" w:cs="仿宋_GB2312" w:eastAsia="仿宋_GB2312"/>
        </w:rPr>
        <w:t>联系电话：029-89557177</w:t>
      </w:r>
    </w:p>
    <w:p>
      <w:pPr>
        <w:pStyle w:val="null3"/>
      </w:pPr>
      <w:r>
        <w:rPr>
          <w:rFonts w:ascii="仿宋_GB2312" w:hAnsi="仿宋_GB2312" w:cs="仿宋_GB2312" w:eastAsia="仿宋_GB2312"/>
        </w:rPr>
        <w:t>地址：西安市曲江新区雁翔路旺座曲江L座15层1506室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3,943,249.53</w:t>
      </w:r>
    </w:p>
    <w:p>
      <w:pPr>
        <w:pStyle w:val="null3"/>
      </w:pPr>
      <w:r>
        <w:rPr>
          <w:rFonts w:ascii="仿宋_GB2312" w:hAnsi="仿宋_GB2312" w:cs="仿宋_GB2312" w:eastAsia="仿宋_GB2312"/>
        </w:rPr>
        <w:t>采购包最高限价（元）: 3,943,249.53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北社派出所提升改造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3,943,249.53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标的名称：北社派出所提升改造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color w:val="000000"/>
              </w:rPr>
              <w:t>一、工程概况：</w:t>
            </w:r>
          </w:p>
          <w:p>
            <w:pPr>
              <w:pStyle w:val="null3"/>
            </w:pPr>
            <w:r>
              <w:rPr>
                <w:rFonts w:ascii="仿宋_GB2312" w:hAnsi="仿宋_GB2312" w:cs="仿宋_GB2312" w:eastAsia="仿宋_GB2312"/>
                <w:sz w:val="28"/>
                <w:color w:val="000000"/>
              </w:rPr>
              <w:t>1.工程名称：北社派出所提升改造项目</w:t>
            </w:r>
          </w:p>
          <w:p>
            <w:pPr>
              <w:pStyle w:val="null3"/>
            </w:pPr>
            <w:r>
              <w:rPr>
                <w:rFonts w:ascii="仿宋_GB2312" w:hAnsi="仿宋_GB2312" w:cs="仿宋_GB2312" w:eastAsia="仿宋_GB2312"/>
                <w:sz w:val="28"/>
                <w:color w:val="000000"/>
              </w:rPr>
              <w:t>2.建设单位：华阴市公安局</w:t>
            </w:r>
          </w:p>
          <w:p>
            <w:pPr>
              <w:pStyle w:val="null3"/>
            </w:pPr>
            <w:r>
              <w:rPr>
                <w:rFonts w:ascii="仿宋_GB2312" w:hAnsi="仿宋_GB2312" w:cs="仿宋_GB2312" w:eastAsia="仿宋_GB2312"/>
                <w:sz w:val="28"/>
                <w:color w:val="000000"/>
              </w:rPr>
              <w:t>3.建设地点：华阴市</w:t>
            </w:r>
          </w:p>
          <w:p>
            <w:pPr>
              <w:pStyle w:val="null3"/>
            </w:pPr>
            <w:r>
              <w:rPr>
                <w:rFonts w:ascii="仿宋_GB2312" w:hAnsi="仿宋_GB2312" w:cs="仿宋_GB2312" w:eastAsia="仿宋_GB2312"/>
                <w:sz w:val="28"/>
                <w:color w:val="000000"/>
              </w:rPr>
              <w:t>4.主要工程建设内容：</w:t>
            </w:r>
            <w:r>
              <w:rPr>
                <w:rFonts w:ascii="仿宋_GB2312" w:hAnsi="仿宋_GB2312" w:cs="仿宋_GB2312" w:eastAsia="仿宋_GB2312"/>
                <w:sz w:val="28"/>
                <w:color w:val="000000"/>
              </w:rPr>
              <w:t>室外管网工程、室外电气工程、新建综合指挥室、户籍室、档案室等土建工程、室内装修、弱电工程、给排水工程，已有建筑一层、二层改造电气工程、给排水工程等（具体工程量以工程量清单为准）。</w:t>
            </w:r>
          </w:p>
          <w:p>
            <w:pPr>
              <w:pStyle w:val="null3"/>
            </w:pPr>
            <w:r>
              <w:rPr>
                <w:rFonts w:ascii="仿宋_GB2312" w:hAnsi="仿宋_GB2312" w:cs="仿宋_GB2312" w:eastAsia="仿宋_GB2312"/>
                <w:sz w:val="28"/>
                <w:color w:val="000000"/>
              </w:rPr>
              <w:t>5.工程清单计价依据：</w:t>
            </w:r>
          </w:p>
          <w:p>
            <w:pPr>
              <w:pStyle w:val="null3"/>
            </w:pPr>
            <w:r>
              <w:rPr>
                <w:rFonts w:ascii="仿宋_GB2312" w:hAnsi="仿宋_GB2312" w:cs="仿宋_GB2312" w:eastAsia="仿宋_GB2312"/>
                <w:sz w:val="28"/>
                <w:color w:val="000000"/>
              </w:rPr>
              <w:t>（1）《陕西省住房和城乡建设厅关于印发 2025 陕西省建设工程费用规则等计价依据的通知》（陕建管</w:t>
            </w:r>
            <w:r>
              <w:rPr>
                <w:rFonts w:ascii="仿宋_GB2312" w:hAnsi="仿宋_GB2312" w:cs="仿宋_GB2312" w:eastAsia="仿宋_GB2312"/>
                <w:sz w:val="28"/>
                <w:color w:val="000000"/>
              </w:rPr>
              <w:t>发[2025]10号）；</w:t>
            </w:r>
            <w:r>
              <w:rPr>
                <w:rFonts w:ascii="仿宋_GB2312" w:hAnsi="仿宋_GB2312" w:cs="仿宋_GB2312" w:eastAsia="仿宋_GB2312"/>
                <w:sz w:val="28"/>
                <w:color w:val="000000"/>
              </w:rPr>
              <w:t>《陕西省建设工程工程量清单计价计算标准》（2025）、《陕西省房屋建筑与装饰工程基价表》（2025）、《陕西省通用安装工程基价表》（2025）及其配套的费用定额；</w:t>
            </w:r>
            <w:r>
              <w:rPr>
                <w:rFonts w:ascii="仿宋_GB2312" w:hAnsi="仿宋_GB2312" w:cs="仿宋_GB2312" w:eastAsia="仿宋_GB2312"/>
                <w:sz w:val="28"/>
                <w:color w:val="000000"/>
              </w:rPr>
              <w:t>税金按《关于调整陕西省建设工程计价依据的通知》（陕建发〔2019〕45号）增值税计算办法计算；</w:t>
            </w:r>
          </w:p>
          <w:p>
            <w:pPr>
              <w:pStyle w:val="null3"/>
            </w:pPr>
            <w:r>
              <w:rPr>
                <w:rFonts w:ascii="仿宋_GB2312" w:hAnsi="仿宋_GB2312" w:cs="仿宋_GB2312" w:eastAsia="仿宋_GB2312"/>
                <w:sz w:val="28"/>
                <w:color w:val="000000"/>
              </w:rPr>
              <w:t>（2）建设工程项目有关的标准、规范、技术资料；</w:t>
            </w:r>
          </w:p>
          <w:p>
            <w:pPr>
              <w:pStyle w:val="null3"/>
            </w:pPr>
            <w:r>
              <w:rPr>
                <w:rFonts w:ascii="仿宋_GB2312" w:hAnsi="仿宋_GB2312" w:cs="仿宋_GB2312" w:eastAsia="仿宋_GB2312"/>
                <w:sz w:val="28"/>
                <w:color w:val="000000"/>
              </w:rPr>
              <w:t>（3）本工程采用广联达云计价平台GCCP7.0，版本7.5000.23.2。</w:t>
            </w:r>
          </w:p>
          <w:p>
            <w:pPr>
              <w:pStyle w:val="null3"/>
            </w:pPr>
            <w:r>
              <w:rPr>
                <w:rFonts w:ascii="仿宋_GB2312" w:hAnsi="仿宋_GB2312" w:cs="仿宋_GB2312" w:eastAsia="仿宋_GB2312"/>
                <w:sz w:val="28"/>
                <w:color w:val="000000"/>
              </w:rPr>
              <w:t>二、商务要求</w:t>
            </w:r>
          </w:p>
          <w:p>
            <w:pPr>
              <w:pStyle w:val="null3"/>
            </w:pPr>
            <w:r>
              <w:rPr>
                <w:rFonts w:ascii="仿宋_GB2312" w:hAnsi="仿宋_GB2312" w:cs="仿宋_GB2312" w:eastAsia="仿宋_GB2312"/>
                <w:sz w:val="28"/>
                <w:color w:val="000000"/>
              </w:rPr>
              <w:t>1.工期：150日历天</w:t>
            </w:r>
          </w:p>
          <w:p>
            <w:pPr>
              <w:pStyle w:val="null3"/>
            </w:pPr>
            <w:r>
              <w:rPr>
                <w:rFonts w:ascii="仿宋_GB2312" w:hAnsi="仿宋_GB2312" w:cs="仿宋_GB2312" w:eastAsia="仿宋_GB2312"/>
                <w:sz w:val="28"/>
                <w:color w:val="000000"/>
              </w:rPr>
              <w:t>2.缺陷责任期：工程竣工验收合格之日起1年</w:t>
            </w:r>
          </w:p>
          <w:p>
            <w:pPr>
              <w:pStyle w:val="null3"/>
            </w:pPr>
            <w:r>
              <w:rPr>
                <w:rFonts w:ascii="仿宋_GB2312" w:hAnsi="仿宋_GB2312" w:cs="仿宋_GB2312" w:eastAsia="仿宋_GB2312"/>
                <w:sz w:val="28"/>
                <w:color w:val="000000"/>
              </w:rPr>
              <w:t>3.质量标准：</w:t>
            </w:r>
            <w:r>
              <w:rPr>
                <w:rFonts w:ascii="仿宋_GB2312" w:hAnsi="仿宋_GB2312" w:cs="仿宋_GB2312" w:eastAsia="仿宋_GB2312"/>
                <w:sz w:val="28"/>
                <w:color w:val="000000"/>
              </w:rPr>
              <w:t>达到国家现行行业施工验收规范“合格”标准</w:t>
            </w:r>
          </w:p>
          <w:p>
            <w:pPr>
              <w:pStyle w:val="null3"/>
            </w:pPr>
            <w:r>
              <w:rPr>
                <w:rFonts w:ascii="仿宋_GB2312" w:hAnsi="仿宋_GB2312" w:cs="仿宋_GB2312" w:eastAsia="仿宋_GB2312"/>
                <w:sz w:val="28"/>
                <w:color w:val="000000"/>
              </w:rPr>
              <w:t>4.付款方式：</w:t>
            </w:r>
          </w:p>
          <w:p>
            <w:pPr>
              <w:pStyle w:val="null3"/>
            </w:pPr>
            <w:r>
              <w:rPr>
                <w:rFonts w:ascii="仿宋_GB2312" w:hAnsi="仿宋_GB2312" w:cs="仿宋_GB2312" w:eastAsia="仿宋_GB2312"/>
                <w:sz w:val="28"/>
                <w:color w:val="000000"/>
              </w:rPr>
              <w:t>（1）合同签订后支付合同签约价的30%；</w:t>
            </w:r>
          </w:p>
          <w:p>
            <w:pPr>
              <w:pStyle w:val="null3"/>
            </w:pPr>
            <w:r>
              <w:rPr>
                <w:rFonts w:ascii="仿宋_GB2312" w:hAnsi="仿宋_GB2312" w:cs="仿宋_GB2312" w:eastAsia="仿宋_GB2312"/>
                <w:sz w:val="28"/>
                <w:color w:val="000000"/>
              </w:rPr>
              <w:t>（2）按工程进度付款，待工程竣工验收合格、竣工结算完成后30日内支付至合同总价款的97%；</w:t>
            </w:r>
          </w:p>
          <w:p>
            <w:pPr>
              <w:pStyle w:val="null3"/>
            </w:pPr>
            <w:r>
              <w:rPr>
                <w:rFonts w:ascii="仿宋_GB2312" w:hAnsi="仿宋_GB2312" w:cs="仿宋_GB2312" w:eastAsia="仿宋_GB2312"/>
                <w:sz w:val="28"/>
                <w:color w:val="000000"/>
              </w:rPr>
              <w:t>（3）缺陷责任期满后工程无任何质量问题,由承包人提出申请,发包人确认后，支付剩余3%合同款。</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本工程按国家和陕西省现行质量评定标准和施工技术验收规范执行，在工程施工期间颁布新规范或新版本适用本工程的需遵照执行。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供应商所报价格应考虑到可能发生的所有与完成本项目有关的一切费用。磋商报价是供应商为完成本次磋商所要求的货物、服务及工程且验收合格的所有费用，包括但不限于投标人完成本项目所需的人工费、材料费、设备费、管理费、验收费、利润和税金等所产生的全部费用。任何有选择的报价将不予接受，按无效磋商处理。 （二）由供应商自行承担因现场踏勘而产生的费用及安全。（三）本项目所属行业为：建筑业。根据《工业和信息化部、国家统计局、国家发展和改革委员会、财政部关于印发中小企业划型标准规定的通知》《工信部联企业(2011)300 号)规定的划分标准，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四）成交供应商在领取成交通知书前，需向采购代理机构提交加盖公章的纸质版响应文件二套，成交供应商应保持响应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本采购包专门面向中小企业采购，供应商应提供《中小企业声明函》；供应商为监狱企业的，应提供监狱企业的证明文件；供应商为残疾人福利性单位的，应提供《残疾人福利性单位声明函》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具有独立承担民事责任的法人、其他组织或自然人</w:t>
            </w:r>
          </w:p>
        </w:tc>
        <w:tc>
          <w:tcPr>
            <w:tcW w:type="dxa" w:w="3322"/>
          </w:tcPr>
          <w:p>
            <w:pPr>
              <w:pStyle w:val="null3"/>
            </w:pPr>
            <w:r>
              <w:rPr>
                <w:rFonts w:ascii="仿宋_GB2312" w:hAnsi="仿宋_GB2312" w:cs="仿宋_GB2312" w:eastAsia="仿宋_GB2312"/>
              </w:rPr>
              <w:t>供应商应出具合法有效的营业执照或事业单位法人证书等国家规定的相关证明，自然人参与的提供其身份证明；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包括但不限于审计报告、资产负债表、利润表、现金流量表、所有者权益变动表及财务报表附注等内容，成立时间至提交响应文件截止时间不足一年的可提供成立后任意时段的资产负债表，各供应商提供的财务审计报告需赋加有效二维码）或开标前六个月内其基本账户银行出具的资信证明，以上两种方式供应商任选其一进行提供；</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提供递交截止时间前6个月内任意一个月的缴费凭据（增值税、企业所得税至少提供一种，依法免税的单位应提供相关证明材料）；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具有履行合同所必需的设备和专业技术能力，提供承诺书，加盖公章。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提供参加政府采购活动前3年内在经营活动中没有重大违法记录的书面声明，加盖公章；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供应商应具有建筑工程施工总承包三级（含三级）以上资质，具有建设行政主管部门颁发的有效的安全生产许可证。</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拟派项目经理须具备建筑工程专业二级（含二级）以上注册建造师证书和有效的安全生产考核合格证，在本单位注册且无在建工程（提供无在建工程承诺书）；</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记录的“失信被执行人”或“重大税收违法案件当事人”名单；不得为“中国政府采购网”记录的“政府采购严重违法失信行为记录名单”，提供网页截图，代理机构将对信用记录现场进行查询。（以评审现场查询记录为准）。</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本项目不接受联合体，提供非联合体投标声明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供应商须提供书面声明</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磋商技术方案.docx 强制优先采购产品承诺函 资格证明资料.docx 响应文件封面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响应全部实质性要求，未附加采购人难以接受的条件</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磋商技术方案.docx 强制优先采购产品承诺函 资格证明资料.docx 响应文件封面 项目管理机构组成表 残疾人福利性单位声明函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投标人针对本项目编制完善的施工部署，内容包含：①施工目标:包含成本目标、工期目标及质量目标②施工准备：包含技术准备、材料准备、施工机械及机具准备③施工方法及相关技术措施。 二、评审标准 1、完整性：方案必须全面，对评审内容中的各项要求有详细描述； 2、可实施性：切合本项目实际情况，提出步骤清晰、合理的方案； 三、赋分标准（满分18分） ①施工目标：每完全满足一个评审标准得3分，满分6分； ②施工准备：每完全满足一个评审标准得3分，满分6分； ③施工方法及相关技术措施：每完全满足一个评审标准得3分，满分6分。以上每项内容存在缺陷扣 1分，未提供不得分。（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投标人针对本项目编制完善的进度计划，内容包含：①项目总进度：包含施工节点控制及进度计划安排②进度保障措施。 二、评审标准 1、完整性：方案必须全面，对评审内容中的各项要求有详细描述； 2、可实施性：切合本项目实际情况，提出步骤清晰、合理的方案；三、赋分标准（满分 8 分） ①项目总进度：每完全满足一个评审标准得 2 分，满分 4 分； ②进度保障措施：每完全满足一个评审标准得 2分，满分 4 分。 以上每项内容存在缺陷扣 1分，未提供不得分。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供应商针对本项目工程编制完善的质量保证措施，内容包含：①质量目标管理体系②施工质量检验制度③质量保障措施。二、评审标准 1、完整性：方案必须全面，对评审内容中的各项要求有详细描述； 2、可实施性：切合本项目实际情况，提出步骤清晰、合理的方案；三、赋分标准（满分9 分） ①质量目标管理体系：每完全满足一个评审标准得 1.5分，满分 3 分； ②施工质量检验制度：每完全满足一个评审标准得 1.5 分，满分 3 分； ③质量保障措施：每完全满足一个评审标准得 1.5 分，满分 3 分；以上每项内容存在缺陷扣1分，未提供不得分。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供应商针对本项目编制完整的安全施工措施，内容包含：①安全管理体系及责任归属划分②安全管理措施。 二、评审标准 1、完整性：方案必须全面，对评审内容中的各项要求有详细描述； 2、可实施性：切合本项目实际情况，提出步骤清晰、合理的方案；三、赋分标准（满分8 分） ①安全管理体系及责任归属划分：每完全满足一个评审标准得2分，满分 4分；②安全管理措施：每完全满足一个评审标准得2分，满分 4 分；以上每项内容存在扣缺陷1分，未提供不得分。（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供应商针对本项目编制完整的文明施工措施，内容包含：①文明施工管理目标②文明施工现场管理措施：治污减霾措施、防扰民措施。二、评审标准 1、完整性：方案必须全面，对评审内容中的各项要求有详细描述； 2、可实施性：切合本项目实际情况，提出步骤清晰、合理的方案；三、赋分标准（满分6 分） ①文明施工管理目标：每完全满足一个评审标准得1.5 分，满分 3分； ②文明施工现场管理措施：每完全满足一个评审标准得 1.5分，满分 3分。 以上每项内容存在缺陷扣 1 分，扣完为止，未提供不得分。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针对本项目提供资源配置计划，内容包含：①拟投入的主要劳动力及施工机械进场计划②主要材料进场计划；二、评审标准 1、完整性：方案须全面，对评审内容中的各项要求有详细描述及说明； 2、可实施性：切合本项目实际情况，实施步骤清晰、合理；三、赋分标准（满分 4 分）①拟投入的主要劳动力及施工机械配备计划：每完全满足一个评审标准得 1 分，满分 2 分；②主要材料进场计划：每完全满足一 个评审标准得 1 分，满分 2 分；以上每项内容存在缺陷扣1 分，扣完为止，未提供不得分。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新材料、新工艺运用</w:t>
            </w:r>
          </w:p>
        </w:tc>
        <w:tc>
          <w:tcPr>
            <w:tcW w:type="dxa" w:w="2492"/>
          </w:tcPr>
          <w:p>
            <w:pPr>
              <w:pStyle w:val="null3"/>
            </w:pPr>
            <w:r>
              <w:rPr>
                <w:rFonts w:ascii="仿宋_GB2312" w:hAnsi="仿宋_GB2312" w:cs="仿宋_GB2312" w:eastAsia="仿宋_GB2312"/>
              </w:rPr>
              <w:t>一、评审内容 针对本项目具有①新材料的应用情况②新工艺的应用情况。 二、评审标准 1、完整性：方案必须全面，对评审内容中的各项要求有详细描述； 2、可实施性：切合本项目实际情况，提出步骤清晰、合理的方案； 三、赋分标准（满分 4 分） ①新材料的应用情况：每完全满足一个评审标准得 1 分，满分 2 分； ②新工艺的应用情况：每完全满足一个评审标准得 1 分，满分 2 分。 以上每项内容存在缺陷扣 1 分，未提供不得分。（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编制科学的项目管理机构，拟派的人员（至少包括施工员、质量员、材料员、安全员、资料员）配备清单（至少包含具体成员姓名、年龄、职业资格证书、从业工作年限、岗位），得5分。缺少证书一人扣一分，扣完为止。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2021 年 5 月至今类似工程项目业绩，以合同签订时间为准，每提供一份业绩得 2 分，满分 8 分。注：（1）提供的合同复印件清楚有效加盖公章，否则不作为评审依据。 （2）同一工程有多个标段符合要求的，只按一个计分。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1.磋商报价得分=（磋商基准价/最后磋商报价）×30分； 2.满足磋商文件要求且最后报价最低的供应商的价格为磋商基准价。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详见附件：磋商技术方案.docx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