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版本号：ZLGL-2026-ZC029.1B120260831001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韩城市堡安古建筑群南、北戏台保护修缮工程(二次)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ZLGL-2026-ZC029.1B1</w:t>
      </w:r>
      <w:r>
        <w:br/>
      </w:r>
      <w:r>
        <w:br/>
      </w:r>
      <w:r>
        <w:br/>
      </w:r>
    </w:p>
    <w:p>
      <w:pPr>
        <w:pStyle w:val="null3"/>
        <w:jc w:val="center"/>
        <w:outlineLvl w:val="2"/>
      </w:pPr>
      <w:r>
        <w:rPr>
          <w:rFonts w:ascii="仿宋_GB2312" w:hAnsi="仿宋_GB2312" w:cs="仿宋_GB2312" w:eastAsia="仿宋_GB2312"/>
          <w:sz w:val="28"/>
          <w:b/>
        </w:rPr>
        <w:t>韩城市文化和旅游局</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韩城市文化和旅游局</w:t>
      </w:r>
      <w:r>
        <w:rPr>
          <w:rFonts w:ascii="仿宋_GB2312" w:hAnsi="仿宋_GB2312" w:cs="仿宋_GB2312" w:eastAsia="仿宋_GB2312"/>
        </w:rPr>
        <w:t>委托，拟对</w:t>
      </w:r>
      <w:r>
        <w:rPr>
          <w:rFonts w:ascii="仿宋_GB2312" w:hAnsi="仿宋_GB2312" w:cs="仿宋_GB2312" w:eastAsia="仿宋_GB2312"/>
        </w:rPr>
        <w:t>韩城市堡安古建筑群南、北戏台保护修缮工程(二次)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ZLGL-2026-ZC029.1B1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韩城市堡安古建筑群南、北戏台保护修缮工程(二次)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整修室内外地面，恢复散水，恢复室内墙面，封堵现代开设门、窗口，剔补大木构架裂缝，更换残破瓦件，更换糟朽木椽、望板，重新瓦瓦等。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采购包1（韩城市堡安古建筑群南、北戏台保护修缮工程）：属于专门面向中小企业采购。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2、财务状况报告：提供2025年度完整的经审计的财务报告（成立时间至提交响应文件截止时间不足一年的可提供成立后任意时段的资产负债表）， 或其投标前三个月内基本存款账户开户银行出具的资信证明（如提供资信证明，须同时提供基本存款账户开户许可证或开户银行打印的含有企业基本存款账户编号的《基本存款账户信息》）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7、企业资质：具备文物行政主管部门颁发的文物保护工程施工二级及以上资质（业务范围包含古建筑），且具备有效的安全生产许可证。</w:t>
      </w:r>
    </w:p>
    <w:p>
      <w:pPr>
        <w:pStyle w:val="null3"/>
      </w:pPr>
      <w:r>
        <w:rPr>
          <w:rFonts w:ascii="仿宋_GB2312" w:hAnsi="仿宋_GB2312" w:cs="仿宋_GB2312" w:eastAsia="仿宋_GB2312"/>
        </w:rPr>
        <w:t>8、拟派项目经理：具备文物保护工程责任工程师证书（从业范围包含古建筑），并提供投标截止日期前连续6个月的养老保险缴纳证明（若为退休人员，无需提供社保证明，须提供退休证（或退休证明文件）及返聘合同），且无在建项目（提供无在建承诺，承诺真实性的法律责任自负）；</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10、信用记录：供应商不得在“信用中国 ”网站被列为失信被执行人（页面跳转至“中国执行信息公开网”）、重大税收违法失信主体、政府采购严重违法失信行为记录名单，不得在“中国政府采购网”被列入政府采购严重违法失信行为记录名单。</w:t>
      </w:r>
    </w:p>
    <w:p>
      <w:pPr>
        <w:pStyle w:val="null3"/>
      </w:pPr>
      <w:r>
        <w:rPr>
          <w:rFonts w:ascii="仿宋_GB2312" w:hAnsi="仿宋_GB2312" w:cs="仿宋_GB2312" w:eastAsia="仿宋_GB2312"/>
        </w:rPr>
        <w:t>11、是否专门面向中小企业：本项目专门面向中小企业采购， 仅限符合《政府采购促进中小企业发展管理办法》 的通知(财库〔2020〕 46 号) 条件的中小企业参与， 并提供中小企业声明函，残疾人福利企业、监狱企业视同中小企业</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13、是否接受联合体磋商：本项目不接受联合体磋商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陕西省渭南市韩城市黄河大街和五纬路十字孵化基地3楼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0913-5308580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029-87543079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采购包1：509,793.17元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代理服务费的金额参照原《国家计委关于印发招标代理服务收费管理暂行办法的通知》（计价格【2002】1980号）和国家发改委办公厅颁发的《关于招标代理服务收费有关问题的通知》（发改办价格【2003】857号）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韩城市文化和旅游局</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联系人：雷蕾</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509,793.17</w:t>
      </w:r>
    </w:p>
    <w:p>
      <w:pPr>
        <w:pStyle w:val="null3"/>
      </w:pPr>
      <w:r>
        <w:rPr>
          <w:rFonts w:ascii="仿宋_GB2312" w:hAnsi="仿宋_GB2312" w:cs="仿宋_GB2312" w:eastAsia="仿宋_GB2312"/>
        </w:rPr>
        <w:t>采购包最高限价（元）: 507,526.96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韩城市堡安古建筑群南、北戏台保护修缮工程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509,793.17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标的名称：韩城市堡安古建筑群南、北戏台保护修缮工程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韩城市堡安古建筑群南、北戏台保护修缮工程</w:t>
            </w:r>
            <w:r>
              <w:rPr>
                <w:rFonts w:ascii="仿宋_GB2312" w:hAnsi="仿宋_GB2312" w:cs="仿宋_GB2312" w:eastAsia="仿宋_GB2312"/>
                <w:sz w:val="21"/>
              </w:rPr>
              <w:t>主要工程建设内容：整修室内外地面，恢复散水，恢复室内墙面，封堵现代开设门、窗口，剔补大木构架裂缝，更换残破瓦件，更换</w:t>
            </w:r>
            <w:r>
              <w:rPr>
                <w:rFonts w:ascii="仿宋_GB2312" w:hAnsi="仿宋_GB2312" w:cs="仿宋_GB2312" w:eastAsia="仿宋_GB2312"/>
              </w:rPr>
              <w:t>糟</w:t>
            </w:r>
            <w:r>
              <w:rPr>
                <w:rFonts w:ascii="仿宋_GB2312" w:hAnsi="仿宋_GB2312" w:cs="仿宋_GB2312" w:eastAsia="仿宋_GB2312"/>
              </w:rPr>
              <w:t>朽</w:t>
            </w:r>
            <w:r>
              <w:rPr>
                <w:rFonts w:ascii="仿宋_GB2312" w:hAnsi="仿宋_GB2312" w:cs="仿宋_GB2312" w:eastAsia="仿宋_GB2312"/>
                <w:sz w:val="21"/>
              </w:rPr>
              <w:t>木椽、望板，重新瓦瓦等。</w:t>
            </w:r>
          </w:p>
          <w:p>
            <w:pPr>
              <w:pStyle w:val="null3"/>
              <w:jc w:val="both"/>
            </w:pPr>
            <w:r>
              <w:rPr>
                <w:rFonts w:ascii="仿宋_GB2312" w:hAnsi="仿宋_GB2312" w:cs="仿宋_GB2312" w:eastAsia="仿宋_GB2312"/>
                <w:sz w:val="21"/>
              </w:rPr>
              <w:t>2.项目实施地点：韩城市。</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工程量清单</w:t>
            </w:r>
            <w:r>
              <w:rPr>
                <w:rFonts w:ascii="仿宋_GB2312" w:hAnsi="仿宋_GB2312" w:cs="仿宋_GB2312" w:eastAsia="仿宋_GB2312"/>
                <w:sz w:val="21"/>
                <w:b/>
              </w:rPr>
              <w:t>编制依据：</w:t>
            </w:r>
          </w:p>
          <w:p>
            <w:pPr>
              <w:pStyle w:val="null3"/>
            </w:pPr>
            <w:r>
              <w:rPr>
                <w:rFonts w:ascii="仿宋_GB2312" w:hAnsi="仿宋_GB2312" w:cs="仿宋_GB2312" w:eastAsia="仿宋_GB2312"/>
                <w:sz w:val="21"/>
              </w:rPr>
              <w:t>1.陕西省建设工程工程量清单计价计算标准(2025）、陕西省建设工程费用规则（2025）、陕西省房屋建筑与装修工程基价表(2025)、陕西省通用安装工程基价表(2025)、陕西省市政工程基价表(2025)、《陕西省房屋建筑与装饰工程消耗量定额》（2025）、陕西省通用安装工程消耗量定额(2025)、陕西省市政工程消耗量定额(2025)、陕西省建设工程施工机械台班费用定额（2025）、陕西省建设工程施工仪器表台班费用定额（2025）；</w:t>
            </w:r>
          </w:p>
          <w:p>
            <w:pPr>
              <w:pStyle w:val="null3"/>
            </w:pPr>
            <w:r>
              <w:rPr>
                <w:rFonts w:ascii="仿宋_GB2312" w:hAnsi="仿宋_GB2312" w:cs="仿宋_GB2312" w:eastAsia="仿宋_GB2312"/>
                <w:sz w:val="21"/>
              </w:rPr>
              <w:t>2.韩城市堡安古建筑群南、北戏台保护修缮工程设计图纸；</w:t>
            </w:r>
          </w:p>
          <w:p>
            <w:pPr>
              <w:pStyle w:val="null3"/>
            </w:pPr>
            <w:r>
              <w:rPr>
                <w:rFonts w:ascii="仿宋_GB2312" w:hAnsi="仿宋_GB2312" w:cs="仿宋_GB2312" w:eastAsia="仿宋_GB2312"/>
                <w:sz w:val="21"/>
              </w:rPr>
              <w:t>3.软件使用广联达云计价平台GCCP7.0(版本号7.5000.23.3)。</w:t>
            </w:r>
          </w:p>
          <w:p>
            <w:pPr>
              <w:pStyle w:val="null3"/>
            </w:pPr>
            <w:r>
              <w:rPr>
                <w:rFonts w:ascii="仿宋_GB2312" w:hAnsi="仿宋_GB2312" w:cs="仿宋_GB2312" w:eastAsia="仿宋_GB2312"/>
                <w:sz w:val="21"/>
              </w:rPr>
              <w:t>三、工程量清单及图纸</w:t>
            </w:r>
          </w:p>
          <w:p>
            <w:pPr>
              <w:pStyle w:val="null3"/>
            </w:pPr>
            <w:r>
              <w:rPr>
                <w:rFonts w:ascii="仿宋_GB2312" w:hAnsi="仿宋_GB2312" w:cs="仿宋_GB2312" w:eastAsia="仿宋_GB2312"/>
                <w:sz w:val="21"/>
              </w:rPr>
              <w:t>1、</w:t>
            </w:r>
            <w:r>
              <w:rPr>
                <w:rFonts w:ascii="仿宋_GB2312" w:hAnsi="仿宋_GB2312" w:cs="仿宋_GB2312" w:eastAsia="仿宋_GB2312"/>
                <w:sz w:val="21"/>
              </w:rPr>
              <w:t>工程量清单：</w:t>
            </w:r>
            <w:r>
              <w:rPr>
                <w:rFonts w:ascii="仿宋_GB2312" w:hAnsi="仿宋_GB2312" w:cs="仿宋_GB2312" w:eastAsia="仿宋_GB2312"/>
                <w:sz w:val="21"/>
              </w:rPr>
              <w:t>详见附件</w:t>
            </w:r>
            <w:r>
              <w:rPr>
                <w:rFonts w:ascii="仿宋_GB2312" w:hAnsi="仿宋_GB2312" w:cs="仿宋_GB2312" w:eastAsia="仿宋_GB2312"/>
                <w:sz w:val="21"/>
              </w:rPr>
              <w:t>。</w:t>
            </w:r>
          </w:p>
          <w:p>
            <w:pPr>
              <w:pStyle w:val="null3"/>
            </w:pPr>
            <w:r>
              <w:rPr>
                <w:rFonts w:ascii="仿宋_GB2312" w:hAnsi="仿宋_GB2312" w:cs="仿宋_GB2312" w:eastAsia="仿宋_GB2312"/>
                <w:sz w:val="21"/>
              </w:rPr>
              <w:t>2、图纸：</w:t>
            </w:r>
            <w:r>
              <w:rPr>
                <w:rFonts w:ascii="仿宋_GB2312" w:hAnsi="仿宋_GB2312" w:cs="仿宋_GB2312" w:eastAsia="仿宋_GB2312"/>
                <w:sz w:val="21"/>
              </w:rPr>
              <w:t>详见附件</w:t>
            </w:r>
            <w:r>
              <w:rPr>
                <w:rFonts w:ascii="仿宋_GB2312" w:hAnsi="仿宋_GB2312" w:cs="仿宋_GB2312" w:eastAsia="仿宋_GB2312"/>
                <w:sz w:val="21"/>
              </w:rPr>
              <w:t>。</w:t>
            </w:r>
          </w:p>
          <w:p>
            <w:pPr>
              <w:pStyle w:val="null3"/>
            </w:pPr>
            <w:r>
              <w:rPr>
                <w:rFonts w:ascii="仿宋_GB2312" w:hAnsi="仿宋_GB2312" w:cs="仿宋_GB2312" w:eastAsia="仿宋_GB2312"/>
                <w:sz w:val="21"/>
              </w:rPr>
              <w:t>四、工期：</w:t>
            </w:r>
            <w:r>
              <w:rPr>
                <w:rFonts w:ascii="仿宋_GB2312" w:hAnsi="仿宋_GB2312" w:cs="仿宋_GB2312" w:eastAsia="仿宋_GB2312"/>
                <w:sz w:val="21"/>
              </w:rPr>
              <w:t>90</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五、</w:t>
            </w:r>
            <w:r>
              <w:rPr>
                <w:rFonts w:ascii="仿宋_GB2312" w:hAnsi="仿宋_GB2312" w:cs="仿宋_GB2312" w:eastAsia="仿宋_GB2312"/>
                <w:sz w:val="21"/>
              </w:rPr>
              <w:t>最高限价</w:t>
            </w:r>
            <w:r>
              <w:rPr>
                <w:rFonts w:ascii="仿宋_GB2312" w:hAnsi="仿宋_GB2312" w:cs="仿宋_GB2312" w:eastAsia="仿宋_GB2312"/>
                <w:sz w:val="21"/>
              </w:rPr>
              <w:t>：</w:t>
            </w:r>
            <w:r>
              <w:rPr>
                <w:rFonts w:ascii="仿宋_GB2312" w:hAnsi="仿宋_GB2312" w:cs="仿宋_GB2312" w:eastAsia="仿宋_GB2312"/>
                <w:sz w:val="21"/>
              </w:rPr>
              <w:t>507526.96元</w:t>
            </w:r>
          </w:p>
          <w:p>
            <w:pPr>
              <w:pStyle w:val="null3"/>
            </w:pPr>
            <w:r>
              <w:rPr>
                <w:rFonts w:ascii="仿宋_GB2312" w:hAnsi="仿宋_GB2312" w:cs="仿宋_GB2312" w:eastAsia="仿宋_GB2312"/>
                <w:sz w:val="21"/>
              </w:rPr>
              <w:t>六、质量要求：不低于国家工程质量验收合格标准。</w:t>
            </w:r>
          </w:p>
          <w:p>
            <w:pPr>
              <w:pStyle w:val="null3"/>
            </w:pPr>
            <w:r>
              <w:rPr>
                <w:rFonts w:ascii="仿宋_GB2312" w:hAnsi="仿宋_GB2312" w:cs="仿宋_GB2312" w:eastAsia="仿宋_GB2312"/>
                <w:sz w:val="21"/>
              </w:rPr>
              <w:t>七、</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1、预付款，合同签订后，达到付款条件起15个工作日内，支付合同总金额的40.0%</w:t>
            </w:r>
          </w:p>
          <w:p>
            <w:pPr>
              <w:pStyle w:val="null3"/>
              <w:jc w:val="both"/>
            </w:pPr>
            <w:r>
              <w:rPr>
                <w:rFonts w:ascii="仿宋_GB2312" w:hAnsi="仿宋_GB2312" w:cs="仿宋_GB2312" w:eastAsia="仿宋_GB2312"/>
                <w:sz w:val="21"/>
              </w:rPr>
              <w:t>2、进度款，完工并验收合格后，达到付款条件起15个工作日内，支付合同总金额的50.0%</w:t>
            </w:r>
          </w:p>
          <w:p>
            <w:pPr>
              <w:pStyle w:val="null3"/>
            </w:pPr>
            <w:r>
              <w:rPr>
                <w:rFonts w:ascii="仿宋_GB2312" w:hAnsi="仿宋_GB2312" w:cs="仿宋_GB2312" w:eastAsia="仿宋_GB2312"/>
                <w:sz w:val="21"/>
                <w:color w:val="000000"/>
              </w:rPr>
              <w:t>3、进度款，待竣工验收、决算和审计工作完成后，达到付款条件起15个工作日内，支付合同总金额的10.0%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不低于国家工程质量验收合格标准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单位在领取中标通知书时须提供纸质响应文件正本壹份、副本贰份。递交地址：西安市未央区太华路与凤城三路十字西南角禾旭四海中心1002室（可邮寄，邮寄地址：陕西省西安市未央区太华路与凤城三路十字西南角禾旭四海中心1002室，联系人：雷蕾，联系电话：18220542129）。2.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在项目电子化交易系统中按要求上传相应证明文件并进行电子签章。（提供2025年度完整的经审计的财务报告（成立时间至提交响应文件截止时间不足一年的可提供成立后任意时段的资产负债表）， 或其投标前三个月内基本存款账户开户银行出具的资信证明（如提供资信证明，须同时提供基本存款账户开户许可证或开户银行打印的含有企业基本存款账户编号的《基本存款账户信息》））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提供2025年度完整的经审计的财务报告（成立时间至提交响应文件截止时间不足一年的可提供成立后任意时段的资产负债表）， 或其投标前三个月内基本存款账户开户银行出具的资信证明（如提供资信证明，须同时提供基本存款账户开户许可证或开户银行打印的含有企业基本存款账户编号的《基本存款账户信息》）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具备文物行政主管部门颁发的文物保护工程施工二级及以上资质（业务范围包含古建筑），且具备有效的安全生产许可证。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具备文物保护工程责任工程师证书（从业范围包含古建筑），并提供投标截止日期前连续6个月的养老保险缴纳证明（若为退休人员，无需提供社保证明，须提供退休证（或退休证明文件）及返聘合同），且无在建项目（提供无在建承诺，承诺真实性的法律责任自负）；</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 ”网站被列为失信被执行人（页面跳转至“中国执行信息公开网”）、重大税收违法失信主体、政府采购严重违法失信行为记录名单，不得在“中国政府采购网”被列入政府采购严重违法失信行为记录名单。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供应商名称和公章、营业执照等证书一致</w:t>
            </w:r>
          </w:p>
        </w:tc>
        <w:tc>
          <w:tcPr>
            <w:tcW w:type="dxa" w:w="1661"/>
          </w:tcPr>
          <w:p>
            <w:pPr>
              <w:pStyle w:val="null3"/>
            </w:pPr>
            <w:r>
              <w:rPr>
                <w:rFonts w:ascii="仿宋_GB2312" w:hAnsi="仿宋_GB2312" w:cs="仿宋_GB2312" w:eastAsia="仿宋_GB2312"/>
              </w:rPr>
              <w:t>响应文件封面 供应商应提交的资格证明文件.docx 技术方案.docx 已标价工程量清单 供应商类似项目业绩一览表.docx 中小企业声明函 残疾人福利性单位声明函 技术服务合同条款及其他商务要求应答表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响应文件的签署、盖章符合磋商文件要求</w:t>
            </w:r>
          </w:p>
        </w:tc>
        <w:tc>
          <w:tcPr>
            <w:tcW w:type="dxa" w:w="1661"/>
          </w:tcPr>
          <w:p>
            <w:pPr>
              <w:pStyle w:val="null3"/>
            </w:pPr>
            <w:r>
              <w:rPr>
                <w:rFonts w:ascii="仿宋_GB2312" w:hAnsi="仿宋_GB2312" w:cs="仿宋_GB2312" w:eastAsia="仿宋_GB2312"/>
              </w:rPr>
              <w:t>响应文件封面 供应商应提交的资格证明文件.docx 技术方案.docx 已标价工程量清单 供应商类似项目业绩一览表.docx 中小企业声明函 残疾人福利性单位声明函 技术服务合同条款及其他商务要求应答表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技术方案.docx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没有不符合法律法规或招标文件规定的被视为无效响应的其他条款。</w:t>
            </w:r>
          </w:p>
        </w:tc>
        <w:tc>
          <w:tcPr>
            <w:tcW w:type="dxa" w:w="1661"/>
          </w:tcPr>
          <w:p>
            <w:pPr>
              <w:pStyle w:val="null3"/>
            </w:pPr>
            <w:r>
              <w:rPr>
                <w:rFonts w:ascii="仿宋_GB2312" w:hAnsi="仿宋_GB2312" w:cs="仿宋_GB2312" w:eastAsia="仿宋_GB2312"/>
              </w:rPr>
              <w:t>响应文件封面 供应商应提交的资格证明文件.docx 技术方案.docx 已标价工程量清单 供应商类似项目业绩一览表.docx 中小企业声明函 残疾人福利性单位声明函 技术服务合同条款及其他商务要求应答表 响应函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相关证明材料（提供岗位证或注册证或职业资格证等相关证书，及上述人员在投标截止日期前连续6个月由投标人为其缴纳的养老保险证明并加盖投标人公章作为评审依据，若社保由投标单位上级主管单位或所属法人主体代缴的，可提供该单位缴纳的社保证明，同时附双方隶属关系、人事管理相关证明材料；若为退休人员，无需提供社保证明，须提供退休证（或退休证明文件）及返聘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内容至少包括①文物保护维修服务承诺；②保修措施和响应时限；③紧急情况应急维护；④发生质量问题后的补救措施等。二、评审标准：1、完善性：方案必须全面，对评审内容中的各项要求有详细阐述；2、可实施性：切合本项目实际情况，提出步骤清晰、合理的方案；3、针对性：方案能够紧扣项目实际情况，内容科学合理。上述评审内容全部满足评审标准得6分，每有一个评审内容缺项扣1.5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供应商近三年（2023年8月1日至今）具有类似项目业绩，每份计2分，最多得4分。（以合同签订时间为准， 附合同复印件）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