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5264F">
      <w:pPr>
        <w:keepNext/>
        <w:keepLines/>
        <w:pageBreakBefore w:val="0"/>
        <w:widowControl w:val="0"/>
        <w:kinsoku/>
        <w:wordWrap/>
        <w:overflowPunct/>
        <w:topLinePunct w:val="0"/>
        <w:autoSpaceDE/>
        <w:autoSpaceDN/>
        <w:bidi w:val="0"/>
        <w:adjustRightInd/>
        <w:snapToGrid/>
        <w:spacing w:line="413"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一般资格审查</w:t>
      </w:r>
      <w:r>
        <w:rPr>
          <w:rFonts w:hint="eastAsia" w:ascii="宋体" w:hAnsi="宋体" w:cs="宋体"/>
          <w:b/>
          <w:bCs/>
          <w:sz w:val="24"/>
          <w:szCs w:val="24"/>
          <w:lang w:val="en-US" w:eastAsia="zh-CN"/>
        </w:rPr>
        <w:t>:</w:t>
      </w:r>
    </w:p>
    <w:p w14:paraId="4B392051">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1、1、具有独立承担民事责任能力的法人、其他组织或自然人：具有独立承担民事责任能力的法人、其他组织或自然人，提供合法有效的统一社会信用代码营业执照（事业单位提供事业单位法人证书，自然人应提供身份证）； </w:t>
      </w:r>
    </w:p>
    <w:p w14:paraId="711848EF">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w:t>
      </w:r>
    </w:p>
    <w:p w14:paraId="44EEC311">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3、税收缴纳证明：提供2025年6月以来任意一个月的依法缴纳税收的相关凭据（时间以税款所属时期为准），凭据应有税务机关或代收机关的公章或业务专用章。依法免税或无须缴纳税收的供应商，应提供相应证明文件； </w:t>
      </w:r>
    </w:p>
    <w:p w14:paraId="0D68C325">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4、社会保障资金缴纳证明：提供2025年6月以来任意一个月的社会保障资金缴存单据或社保机构开具的社会保险参保缴费情况证明。依法不需要缴纳社会保障资金的供应商应提供相关文件证明； </w:t>
      </w:r>
    </w:p>
    <w:p w14:paraId="4C12C632">
      <w:pPr>
        <w:numPr>
          <w:ilvl w:val="0"/>
          <w:numId w:val="0"/>
        </w:numPr>
        <w:spacing w:line="500" w:lineRule="exact"/>
        <w:jc w:val="center"/>
        <w:rPr>
          <w:rFonts w:hint="eastAsia" w:ascii="宋体" w:hAnsi="宋体" w:cs="宋体"/>
          <w:sz w:val="24"/>
          <w:szCs w:val="24"/>
          <w:lang w:val="en-US" w:eastAsia="zh-CN"/>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w:t>
      </w:r>
      <w:r>
        <w:rPr>
          <w:rFonts w:hint="eastAsia" w:ascii="宋体" w:hAnsi="宋体" w:cs="宋体"/>
          <w:sz w:val="24"/>
          <w:szCs w:val="24"/>
          <w:lang w:val="en-US" w:eastAsia="zh-CN"/>
        </w:rPr>
        <w:t>具有履行合同所必需的设备和专业技术能力的书面声明：</w:t>
      </w:r>
    </w:p>
    <w:p w14:paraId="583BAA05">
      <w:pPr>
        <w:widowControl/>
        <w:snapToGrid w:val="0"/>
        <w:spacing w:line="480" w:lineRule="auto"/>
        <w:jc w:val="left"/>
        <w:rPr>
          <w:rFonts w:hint="eastAsia" w:ascii="宋体" w:hAnsi="宋体" w:eastAsia="宋体" w:cs="宋体"/>
          <w:kern w:val="0"/>
          <w:sz w:val="24"/>
          <w:szCs w:val="24"/>
        </w:rPr>
      </w:pPr>
    </w:p>
    <w:p w14:paraId="1092A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C47406B">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6E2EDB0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2D235D6">
      <w:pPr>
        <w:pStyle w:val="6"/>
        <w:spacing w:line="500" w:lineRule="exact"/>
        <w:jc w:val="left"/>
        <w:rPr>
          <w:rFonts w:hint="eastAsia" w:ascii="宋体" w:hAnsi="宋体" w:eastAsia="宋体" w:cs="宋体"/>
          <w:sz w:val="24"/>
          <w:szCs w:val="24"/>
        </w:rPr>
      </w:pPr>
    </w:p>
    <w:p w14:paraId="266AD1A3">
      <w:pPr>
        <w:pStyle w:val="6"/>
        <w:spacing w:line="480" w:lineRule="auto"/>
        <w:jc w:val="left"/>
        <w:rPr>
          <w:rFonts w:hint="eastAsia" w:ascii="宋体" w:hAnsi="宋体" w:eastAsia="宋体" w:cs="宋体"/>
          <w:sz w:val="24"/>
          <w:szCs w:val="24"/>
        </w:rPr>
      </w:pPr>
    </w:p>
    <w:p w14:paraId="66BDF4C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9162CE">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803AA9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D48B77A">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6297DC2B">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7B081812">
      <w:pPr>
        <w:rPr>
          <w:rFonts w:hint="eastAsia" w:ascii="宋体" w:hAnsi="宋体" w:eastAsia="宋体" w:cs="宋体"/>
          <w:sz w:val="24"/>
          <w:szCs w:val="24"/>
        </w:rPr>
      </w:pPr>
    </w:p>
    <w:p w14:paraId="5D738FD5">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FE70EA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2142801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EE0E1C3">
      <w:pPr>
        <w:pStyle w:val="6"/>
        <w:spacing w:line="500" w:lineRule="exact"/>
        <w:jc w:val="left"/>
        <w:rPr>
          <w:rFonts w:hint="eastAsia" w:ascii="宋体" w:hAnsi="宋体" w:eastAsia="宋体" w:cs="宋体"/>
          <w:sz w:val="24"/>
          <w:szCs w:val="24"/>
        </w:rPr>
      </w:pPr>
    </w:p>
    <w:p w14:paraId="61AD1889">
      <w:pPr>
        <w:pStyle w:val="6"/>
        <w:spacing w:line="480" w:lineRule="auto"/>
        <w:jc w:val="left"/>
        <w:rPr>
          <w:rFonts w:hint="eastAsia" w:ascii="宋体" w:hAnsi="宋体" w:eastAsia="宋体" w:cs="宋体"/>
          <w:sz w:val="24"/>
          <w:szCs w:val="24"/>
        </w:rPr>
      </w:pPr>
    </w:p>
    <w:p w14:paraId="3329F54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374034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AFB243E">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ED734FF">
      <w:pPr>
        <w:rPr>
          <w:rFonts w:hint="eastAsia" w:ascii="宋体" w:hAnsi="宋体" w:cs="宋体"/>
          <w:sz w:val="24"/>
          <w:szCs w:val="24"/>
          <w:lang w:eastAsia="zh-CN"/>
        </w:rPr>
      </w:pPr>
      <w:r>
        <w:rPr>
          <w:rFonts w:hint="eastAsia" w:ascii="宋体" w:hAnsi="宋体" w:eastAsia="宋体" w:cs="宋体"/>
          <w:sz w:val="24"/>
          <w:szCs w:val="24"/>
        </w:rPr>
        <w:br w:type="page"/>
      </w:r>
    </w:p>
    <w:p w14:paraId="06B62CAB">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6F47F1EF">
      <w:pPr>
        <w:jc w:val="left"/>
        <w:rPr>
          <w:rFonts w:hint="eastAsia" w:ascii="宋体" w:hAnsi="宋体" w:eastAsia="宋体" w:cs="宋体"/>
          <w:b/>
          <w:sz w:val="28"/>
          <w:szCs w:val="24"/>
          <w:lang w:val="en-US" w:eastAsia="zh-CN"/>
        </w:rPr>
      </w:pPr>
      <w:r>
        <w:rPr>
          <w:rFonts w:hint="eastAsia" w:ascii="宋体" w:hAnsi="宋体" w:eastAsia="宋体" w:cs="宋体"/>
          <w:b/>
          <w:sz w:val="28"/>
          <w:szCs w:val="24"/>
        </w:rPr>
        <w:t>特殊资格审查</w:t>
      </w:r>
      <w:r>
        <w:rPr>
          <w:rFonts w:hint="eastAsia" w:ascii="宋体" w:hAnsi="宋体" w:eastAsia="宋体" w:cs="宋体"/>
          <w:b/>
          <w:sz w:val="28"/>
          <w:szCs w:val="24"/>
          <w:lang w:val="en-US" w:eastAsia="zh-CN"/>
        </w:rPr>
        <w:t>:</w:t>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1</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113B0286">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3D9572C5">
      <w:pPr>
        <w:widowControl/>
        <w:spacing w:line="360" w:lineRule="auto"/>
        <w:rPr>
          <w:rFonts w:hint="eastAsia" w:ascii="宋体" w:hAnsi="宋体" w:cs="宋体"/>
          <w:kern w:val="0"/>
          <w:sz w:val="24"/>
          <w:szCs w:val="24"/>
          <w:lang w:val="en-US" w:eastAsia="zh-CN"/>
        </w:rPr>
        <w:sectPr>
          <w:headerReference r:id="rId6" w:type="default"/>
          <w:footerReference r:id="rId7" w:type="default"/>
          <w:pgSz w:w="11906" w:h="16838"/>
          <w:pgMar w:top="1440" w:right="1800" w:bottom="1440" w:left="1800" w:header="851" w:footer="992" w:gutter="0"/>
          <w:cols w:space="720" w:num="1"/>
          <w:docGrid w:type="lines" w:linePitch="312" w:charSpace="0"/>
        </w:sectPr>
      </w:pPr>
      <w:r>
        <w:rPr>
          <w:rFonts w:hint="eastAsia" w:ascii="宋体" w:hAnsi="宋体" w:cs="宋体"/>
          <w:kern w:val="0"/>
          <w:sz w:val="24"/>
          <w:szCs w:val="24"/>
          <w:lang w:val="en-US" w:eastAsia="zh-CN"/>
        </w:rPr>
        <w:t>2、特定资质:供应商为生产企业的提供兽药生产许可证、兽药GMP证书、产品生产批准文号；供应商为经销商的提供兽药经营许可证，生产厂家的兽药生产许可证、兽药GMP证书和产品生产批准文号；</w:t>
      </w:r>
      <w:bookmarkStart w:id="0" w:name="_GoBack"/>
      <w:bookmarkEnd w:id="0"/>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E39F">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107E0A8">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2107E0A8">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62798">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C572066"/>
    <w:rsid w:val="1D514750"/>
    <w:rsid w:val="247F4759"/>
    <w:rsid w:val="25341F0E"/>
    <w:rsid w:val="269A3CE3"/>
    <w:rsid w:val="2A397D45"/>
    <w:rsid w:val="2BF01ABF"/>
    <w:rsid w:val="30B43DD6"/>
    <w:rsid w:val="37AD6E19"/>
    <w:rsid w:val="38A77DBD"/>
    <w:rsid w:val="399B02E5"/>
    <w:rsid w:val="43B02E63"/>
    <w:rsid w:val="4F5E1FBC"/>
    <w:rsid w:val="51672402"/>
    <w:rsid w:val="526F65B0"/>
    <w:rsid w:val="53F65BEF"/>
    <w:rsid w:val="541E1459"/>
    <w:rsid w:val="62345C33"/>
    <w:rsid w:val="73DD099F"/>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1364</Words>
  <Characters>1813</Characters>
  <Lines>0</Lines>
  <Paragraphs>0</Paragraphs>
  <TotalTime>0</TotalTime>
  <ScaleCrop>false</ScaleCrop>
  <LinksUpToDate>false</LinksUpToDate>
  <CharactersWithSpaces>1851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2026-04-28T02:00:03Z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