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064CB0">
      <w:pPr>
        <w:keepNext w:val="0"/>
        <w:keepLines w:val="0"/>
        <w:pageBreakBefore w:val="0"/>
        <w:widowControl/>
        <w:kinsoku/>
        <w:wordWrap/>
        <w:overflowPunct/>
        <w:topLinePunct w:val="0"/>
        <w:bidi w:val="0"/>
        <w:spacing w:line="460" w:lineRule="exact"/>
        <w:ind w:right="0" w:rightChars="0"/>
        <w:jc w:val="center"/>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政府采购需求书</w:t>
      </w:r>
    </w:p>
    <w:p w14:paraId="5D289F92">
      <w:pPr>
        <w:pStyle w:val="2"/>
        <w:rPr>
          <w:rFonts w:hint="eastAsia"/>
        </w:rPr>
      </w:pPr>
    </w:p>
    <w:tbl>
      <w:tblPr>
        <w:tblStyle w:val="10"/>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9"/>
        <w:gridCol w:w="1556"/>
        <w:gridCol w:w="7067"/>
      </w:tblGrid>
      <w:tr w14:paraId="3AD00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439F9122">
            <w:pPr>
              <w:keepNext w:val="0"/>
              <w:keepLines w:val="0"/>
              <w:pageBreakBefore w:val="0"/>
              <w:kinsoku/>
              <w:wordWrap/>
              <w:overflowPunct/>
              <w:topLinePunct w:val="0"/>
              <w:bidi w:val="0"/>
              <w:snapToGrid w:val="0"/>
              <w:spacing w:line="460" w:lineRule="exact"/>
              <w:ind w:right="0" w:rightChars="0"/>
              <w:jc w:val="both"/>
              <w:rPr>
                <w:rFonts w:hint="eastAsia" w:ascii="宋体" w:hAnsi="宋体" w:eastAsia="宋体" w:cs="宋体"/>
                <w:b/>
                <w:sz w:val="24"/>
              </w:rPr>
            </w:pPr>
            <w:r>
              <w:rPr>
                <w:rFonts w:hint="eastAsia" w:ascii="宋体" w:hAnsi="宋体" w:eastAsia="宋体" w:cs="宋体"/>
                <w:b/>
                <w:sz w:val="28"/>
                <w:szCs w:val="28"/>
                <w:lang w:val="zh-CN"/>
              </w:rPr>
              <w:t>序号</w:t>
            </w:r>
          </w:p>
        </w:tc>
        <w:tc>
          <w:tcPr>
            <w:tcW w:w="1556" w:type="dxa"/>
            <w:vAlign w:val="center"/>
          </w:tcPr>
          <w:p w14:paraId="6411ABB4">
            <w:pPr>
              <w:pStyle w:val="34"/>
              <w:keepNext w:val="0"/>
              <w:keepLines w:val="0"/>
              <w:pageBreakBefore w:val="0"/>
              <w:kinsoku/>
              <w:wordWrap/>
              <w:overflowPunct/>
              <w:topLinePunct w:val="0"/>
              <w:bidi w:val="0"/>
              <w:spacing w:line="460" w:lineRule="exact"/>
              <w:ind w:right="0" w:rightChars="0"/>
              <w:jc w:val="both"/>
              <w:rPr>
                <w:rFonts w:hint="eastAsia" w:ascii="宋体" w:hAnsi="宋体" w:eastAsia="宋体" w:cs="宋体"/>
                <w:b/>
                <w:kern w:val="2"/>
                <w:lang w:val="zh-CN"/>
              </w:rPr>
            </w:pPr>
            <w:r>
              <w:rPr>
                <w:rFonts w:hint="eastAsia" w:ascii="宋体" w:hAnsi="宋体" w:eastAsia="宋体" w:cs="宋体"/>
                <w:b/>
                <w:kern w:val="2"/>
                <w:sz w:val="28"/>
                <w:szCs w:val="28"/>
                <w:lang w:val="zh-CN"/>
              </w:rPr>
              <w:t>关键事项</w:t>
            </w:r>
          </w:p>
        </w:tc>
        <w:tc>
          <w:tcPr>
            <w:tcW w:w="7067" w:type="dxa"/>
            <w:vAlign w:val="center"/>
          </w:tcPr>
          <w:p w14:paraId="6E58F4E5">
            <w:pPr>
              <w:pStyle w:val="34"/>
              <w:keepNext w:val="0"/>
              <w:keepLines w:val="0"/>
              <w:pageBreakBefore w:val="0"/>
              <w:kinsoku/>
              <w:wordWrap/>
              <w:overflowPunct/>
              <w:topLinePunct w:val="0"/>
              <w:bidi w:val="0"/>
              <w:spacing w:line="460" w:lineRule="exact"/>
              <w:ind w:left="0" w:right="0" w:rightChars="0" w:firstLine="562" w:firstLineChars="200"/>
              <w:jc w:val="center"/>
              <w:rPr>
                <w:rFonts w:hint="eastAsia" w:ascii="宋体" w:hAnsi="宋体" w:eastAsia="宋体" w:cs="宋体"/>
                <w:b/>
                <w:kern w:val="2"/>
                <w:lang w:val="zh-CN"/>
              </w:rPr>
            </w:pPr>
            <w:r>
              <w:rPr>
                <w:rFonts w:hint="eastAsia" w:ascii="宋体" w:hAnsi="宋体" w:eastAsia="宋体" w:cs="宋体"/>
                <w:b/>
                <w:kern w:val="2"/>
                <w:sz w:val="28"/>
                <w:szCs w:val="28"/>
                <w:lang w:val="zh-CN"/>
              </w:rPr>
              <w:t>说明和要求</w:t>
            </w:r>
          </w:p>
        </w:tc>
      </w:tr>
      <w:tr w14:paraId="587AC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4985BD0C">
            <w:pPr>
              <w:keepNext w:val="0"/>
              <w:keepLines w:val="0"/>
              <w:pageBreakBefore w:val="0"/>
              <w:kinsoku/>
              <w:wordWrap/>
              <w:overflowPunct/>
              <w:topLinePunct w:val="0"/>
              <w:bidi w:val="0"/>
              <w:snapToGrid w:val="0"/>
              <w:spacing w:line="460" w:lineRule="exact"/>
              <w:ind w:right="0" w:rightChars="0"/>
              <w:jc w:val="both"/>
              <w:rPr>
                <w:rFonts w:hint="eastAsia" w:ascii="宋体" w:hAnsi="宋体" w:eastAsia="宋体" w:cs="宋体"/>
                <w:sz w:val="28"/>
                <w:szCs w:val="28"/>
                <w:lang w:val="en-US" w:eastAsia="zh-CN"/>
              </w:rPr>
            </w:pPr>
            <w:r>
              <w:rPr>
                <w:rFonts w:hint="eastAsia" w:ascii="宋体" w:hAnsi="宋体" w:cs="宋体"/>
                <w:sz w:val="28"/>
                <w:szCs w:val="28"/>
                <w:lang w:val="en-US" w:eastAsia="zh-CN"/>
              </w:rPr>
              <w:t>1</w:t>
            </w:r>
          </w:p>
        </w:tc>
        <w:tc>
          <w:tcPr>
            <w:tcW w:w="1556" w:type="dxa"/>
            <w:vAlign w:val="center"/>
          </w:tcPr>
          <w:p w14:paraId="38B74209">
            <w:pPr>
              <w:pStyle w:val="34"/>
              <w:keepNext w:val="0"/>
              <w:keepLines w:val="0"/>
              <w:pageBreakBefore w:val="0"/>
              <w:kinsoku/>
              <w:wordWrap/>
              <w:overflowPunct/>
              <w:topLinePunct w:val="0"/>
              <w:bidi w:val="0"/>
              <w:spacing w:line="460" w:lineRule="exact"/>
              <w:ind w:right="0" w:rightChars="0"/>
              <w:jc w:val="both"/>
              <w:rPr>
                <w:rFonts w:hint="eastAsia" w:ascii="宋体" w:hAnsi="宋体" w:eastAsia="宋体" w:cs="宋体"/>
                <w:kern w:val="2"/>
                <w:lang w:val="en-US" w:eastAsia="zh-CN"/>
              </w:rPr>
            </w:pPr>
            <w:r>
              <w:rPr>
                <w:rFonts w:hint="eastAsia" w:cs="宋体"/>
                <w:kern w:val="2"/>
                <w:lang w:val="en-US" w:eastAsia="zh-CN"/>
              </w:rPr>
              <w:t>项目名称</w:t>
            </w:r>
          </w:p>
        </w:tc>
        <w:tc>
          <w:tcPr>
            <w:tcW w:w="7067" w:type="dxa"/>
            <w:vAlign w:val="center"/>
          </w:tcPr>
          <w:p w14:paraId="0C8AE927">
            <w:pPr>
              <w:pStyle w:val="34"/>
              <w:keepNext w:val="0"/>
              <w:keepLines w:val="0"/>
              <w:pageBreakBefore w:val="0"/>
              <w:kinsoku/>
              <w:wordWrap/>
              <w:overflowPunct/>
              <w:topLinePunct w:val="0"/>
              <w:bidi w:val="0"/>
              <w:spacing w:line="460" w:lineRule="exact"/>
              <w:ind w:right="0" w:rightChars="0" w:firstLine="482" w:firstLineChars="200"/>
              <w:jc w:val="left"/>
              <w:rPr>
                <w:rFonts w:hint="eastAsia" w:ascii="宋体" w:hAnsi="宋体" w:eastAsia="宋体" w:cs="宋体"/>
                <w:b/>
                <w:kern w:val="2"/>
                <w:lang w:val="zh-CN"/>
              </w:rPr>
            </w:pPr>
            <w:r>
              <w:rPr>
                <w:rFonts w:hint="eastAsia" w:ascii="宋体" w:hAnsi="宋体" w:eastAsia="宋体" w:cs="宋体"/>
                <w:b/>
                <w:kern w:val="2"/>
                <w:lang w:val="zh-CN" w:eastAsia="zh-CN"/>
              </w:rPr>
              <w:t>高新区集贤园2026年度市政基础设施维护服务项目</w:t>
            </w:r>
          </w:p>
        </w:tc>
      </w:tr>
      <w:tr w14:paraId="3E701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3683A40B">
            <w:pPr>
              <w:keepNext w:val="0"/>
              <w:keepLines w:val="0"/>
              <w:pageBreakBefore w:val="0"/>
              <w:kinsoku/>
              <w:wordWrap/>
              <w:overflowPunct/>
              <w:topLinePunct w:val="0"/>
              <w:bidi w:val="0"/>
              <w:snapToGrid w:val="0"/>
              <w:spacing w:line="460" w:lineRule="exact"/>
              <w:ind w:right="0" w:rightChars="0"/>
              <w:jc w:val="both"/>
              <w:rPr>
                <w:rFonts w:hint="default" w:ascii="宋体" w:hAnsi="宋体" w:cs="宋体"/>
                <w:sz w:val="28"/>
                <w:szCs w:val="28"/>
                <w:lang w:val="en-US" w:eastAsia="zh-CN"/>
              </w:rPr>
            </w:pPr>
            <w:r>
              <w:rPr>
                <w:rFonts w:hint="eastAsia" w:ascii="宋体" w:hAnsi="宋体" w:cs="宋体"/>
                <w:sz w:val="28"/>
                <w:szCs w:val="28"/>
                <w:lang w:val="en-US" w:eastAsia="zh-CN"/>
              </w:rPr>
              <w:t>2</w:t>
            </w:r>
          </w:p>
        </w:tc>
        <w:tc>
          <w:tcPr>
            <w:tcW w:w="1556" w:type="dxa"/>
            <w:vAlign w:val="center"/>
          </w:tcPr>
          <w:p w14:paraId="3DF7B6CB">
            <w:pPr>
              <w:pStyle w:val="34"/>
              <w:keepNext w:val="0"/>
              <w:keepLines w:val="0"/>
              <w:pageBreakBefore w:val="0"/>
              <w:kinsoku/>
              <w:wordWrap/>
              <w:overflowPunct/>
              <w:topLinePunct w:val="0"/>
              <w:bidi w:val="0"/>
              <w:spacing w:line="460" w:lineRule="exact"/>
              <w:ind w:right="0" w:rightChars="0"/>
              <w:jc w:val="both"/>
              <w:rPr>
                <w:rFonts w:hint="default" w:cs="宋体"/>
                <w:kern w:val="2"/>
                <w:lang w:val="en-US" w:eastAsia="zh-CN"/>
              </w:rPr>
            </w:pPr>
            <w:r>
              <w:rPr>
                <w:rFonts w:hint="eastAsia" w:cs="宋体"/>
                <w:kern w:val="2"/>
                <w:lang w:val="en-US" w:eastAsia="zh-CN"/>
              </w:rPr>
              <w:t>采购数量</w:t>
            </w:r>
          </w:p>
        </w:tc>
        <w:tc>
          <w:tcPr>
            <w:tcW w:w="7067" w:type="dxa"/>
            <w:vAlign w:val="center"/>
          </w:tcPr>
          <w:p w14:paraId="1BF42383">
            <w:pPr>
              <w:pStyle w:val="34"/>
              <w:keepNext w:val="0"/>
              <w:keepLines w:val="0"/>
              <w:pageBreakBefore w:val="0"/>
              <w:kinsoku/>
              <w:wordWrap/>
              <w:overflowPunct/>
              <w:topLinePunct w:val="0"/>
              <w:bidi w:val="0"/>
              <w:spacing w:line="460" w:lineRule="exact"/>
              <w:ind w:right="0" w:rightChars="0" w:firstLine="482" w:firstLineChars="200"/>
              <w:jc w:val="left"/>
              <w:rPr>
                <w:rFonts w:hint="default" w:ascii="宋体" w:hAnsi="宋体" w:eastAsia="宋体" w:cs="宋体"/>
                <w:b/>
                <w:kern w:val="2"/>
                <w:lang w:val="en-US" w:eastAsia="zh-CN"/>
              </w:rPr>
            </w:pPr>
            <w:r>
              <w:rPr>
                <w:rFonts w:hint="eastAsia" w:cs="宋体"/>
                <w:b/>
                <w:kern w:val="2"/>
                <w:lang w:val="en-US" w:eastAsia="zh-CN"/>
              </w:rPr>
              <w:t>1项</w:t>
            </w:r>
          </w:p>
        </w:tc>
      </w:tr>
      <w:tr w14:paraId="02FAE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679430A6">
            <w:pPr>
              <w:keepNext w:val="0"/>
              <w:keepLines w:val="0"/>
              <w:pageBreakBefore w:val="0"/>
              <w:kinsoku/>
              <w:wordWrap/>
              <w:overflowPunct/>
              <w:topLinePunct w:val="0"/>
              <w:bidi w:val="0"/>
              <w:snapToGrid w:val="0"/>
              <w:spacing w:line="460" w:lineRule="exact"/>
              <w:ind w:right="0" w:rightChars="0"/>
              <w:jc w:val="both"/>
              <w:rPr>
                <w:rFonts w:hint="default" w:ascii="宋体" w:hAnsi="宋体" w:cs="宋体"/>
                <w:sz w:val="28"/>
                <w:szCs w:val="28"/>
                <w:lang w:val="en-US" w:eastAsia="zh-CN"/>
              </w:rPr>
            </w:pPr>
            <w:r>
              <w:rPr>
                <w:rFonts w:hint="eastAsia" w:ascii="宋体" w:hAnsi="宋体" w:cs="宋体"/>
                <w:sz w:val="28"/>
                <w:szCs w:val="28"/>
                <w:lang w:val="en-US" w:eastAsia="zh-CN"/>
              </w:rPr>
              <w:t>3</w:t>
            </w:r>
          </w:p>
        </w:tc>
        <w:tc>
          <w:tcPr>
            <w:tcW w:w="1556" w:type="dxa"/>
            <w:vAlign w:val="center"/>
          </w:tcPr>
          <w:p w14:paraId="4F4E89EA">
            <w:pPr>
              <w:pStyle w:val="34"/>
              <w:keepNext w:val="0"/>
              <w:keepLines w:val="0"/>
              <w:pageBreakBefore w:val="0"/>
              <w:kinsoku/>
              <w:wordWrap/>
              <w:overflowPunct/>
              <w:topLinePunct w:val="0"/>
              <w:bidi w:val="0"/>
              <w:spacing w:line="460" w:lineRule="exact"/>
              <w:ind w:right="0" w:rightChars="0"/>
              <w:jc w:val="both"/>
              <w:rPr>
                <w:rFonts w:hint="default" w:cs="宋体"/>
                <w:kern w:val="2"/>
                <w:lang w:val="en-US" w:eastAsia="zh-CN"/>
              </w:rPr>
            </w:pPr>
            <w:r>
              <w:rPr>
                <w:rFonts w:hint="eastAsia" w:cs="宋体"/>
                <w:kern w:val="2"/>
                <w:lang w:val="en-US" w:eastAsia="zh-CN"/>
              </w:rPr>
              <w:t>采购标的</w:t>
            </w:r>
          </w:p>
        </w:tc>
        <w:tc>
          <w:tcPr>
            <w:tcW w:w="7067" w:type="dxa"/>
            <w:vAlign w:val="center"/>
          </w:tcPr>
          <w:p w14:paraId="5A157A88">
            <w:pPr>
              <w:pStyle w:val="34"/>
              <w:keepNext w:val="0"/>
              <w:keepLines w:val="0"/>
              <w:pageBreakBefore w:val="0"/>
              <w:kinsoku/>
              <w:wordWrap/>
              <w:overflowPunct/>
              <w:topLinePunct w:val="0"/>
              <w:bidi w:val="0"/>
              <w:spacing w:line="460" w:lineRule="exact"/>
              <w:ind w:right="0" w:rightChars="0" w:firstLine="482" w:firstLineChars="200"/>
              <w:jc w:val="left"/>
              <w:rPr>
                <w:rFonts w:hint="eastAsia" w:ascii="宋体" w:hAnsi="宋体" w:eastAsia="宋体" w:cs="宋体"/>
                <w:b/>
                <w:kern w:val="2"/>
                <w:lang w:val="zh-CN" w:eastAsia="zh-CN"/>
              </w:rPr>
            </w:pPr>
            <w:r>
              <w:rPr>
                <w:rFonts w:hint="eastAsia" w:ascii="宋体" w:hAnsi="宋体" w:eastAsia="宋体" w:cs="宋体"/>
                <w:b/>
                <w:kern w:val="2"/>
                <w:lang w:val="zh-CN" w:eastAsia="zh-CN"/>
              </w:rPr>
              <w:t>高新区集贤园2026年度市政基础设施维护服务项目</w:t>
            </w:r>
          </w:p>
        </w:tc>
      </w:tr>
      <w:tr w14:paraId="56072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7449A350">
            <w:pPr>
              <w:keepNext w:val="0"/>
              <w:keepLines w:val="0"/>
              <w:pageBreakBefore w:val="0"/>
              <w:kinsoku/>
              <w:wordWrap/>
              <w:overflowPunct/>
              <w:topLinePunct w:val="0"/>
              <w:bidi w:val="0"/>
              <w:snapToGrid w:val="0"/>
              <w:spacing w:line="460" w:lineRule="exact"/>
              <w:ind w:right="0" w:rightChars="0"/>
              <w:jc w:val="both"/>
              <w:rPr>
                <w:rFonts w:hint="eastAsia" w:ascii="宋体" w:hAnsi="宋体" w:eastAsia="宋体" w:cs="宋体"/>
                <w:sz w:val="28"/>
                <w:szCs w:val="28"/>
                <w:lang w:val="zh-CN" w:eastAsia="zh-CN"/>
              </w:rPr>
            </w:pPr>
            <w:r>
              <w:rPr>
                <w:rFonts w:hint="eastAsia" w:ascii="宋体" w:hAnsi="宋体" w:cs="宋体"/>
                <w:sz w:val="28"/>
                <w:szCs w:val="28"/>
                <w:lang w:val="en-US" w:eastAsia="zh-CN"/>
              </w:rPr>
              <w:t>4</w:t>
            </w:r>
          </w:p>
        </w:tc>
        <w:tc>
          <w:tcPr>
            <w:tcW w:w="1556" w:type="dxa"/>
            <w:vAlign w:val="center"/>
          </w:tcPr>
          <w:p w14:paraId="6EA319D6">
            <w:pPr>
              <w:pStyle w:val="34"/>
              <w:keepNext w:val="0"/>
              <w:keepLines w:val="0"/>
              <w:pageBreakBefore w:val="0"/>
              <w:kinsoku/>
              <w:wordWrap/>
              <w:overflowPunct/>
              <w:topLinePunct w:val="0"/>
              <w:bidi w:val="0"/>
              <w:spacing w:line="460" w:lineRule="exact"/>
              <w:ind w:right="0" w:rightChars="0"/>
              <w:jc w:val="both"/>
              <w:rPr>
                <w:rFonts w:hint="eastAsia" w:ascii="宋体" w:hAnsi="宋体" w:eastAsia="宋体" w:cs="宋体"/>
                <w:kern w:val="2"/>
                <w:lang w:val="zh-CN"/>
              </w:rPr>
            </w:pPr>
            <w:r>
              <w:rPr>
                <w:rFonts w:hint="eastAsia" w:ascii="宋体" w:hAnsi="宋体" w:eastAsia="宋体" w:cs="宋体"/>
                <w:kern w:val="2"/>
                <w:lang w:val="zh-CN"/>
              </w:rPr>
              <w:t>采购预算</w:t>
            </w:r>
          </w:p>
        </w:tc>
        <w:tc>
          <w:tcPr>
            <w:tcW w:w="7067" w:type="dxa"/>
            <w:vAlign w:val="center"/>
          </w:tcPr>
          <w:p w14:paraId="700FE170">
            <w:pPr>
              <w:pStyle w:val="34"/>
              <w:keepNext w:val="0"/>
              <w:keepLines w:val="0"/>
              <w:pageBreakBefore w:val="0"/>
              <w:kinsoku/>
              <w:wordWrap/>
              <w:overflowPunct/>
              <w:topLinePunct w:val="0"/>
              <w:bidi w:val="0"/>
              <w:spacing w:line="460" w:lineRule="exact"/>
              <w:ind w:right="0" w:rightChars="0" w:firstLine="482" w:firstLineChars="200"/>
              <w:jc w:val="left"/>
              <w:rPr>
                <w:rFonts w:hint="eastAsia" w:ascii="宋体" w:hAnsi="宋体" w:eastAsia="宋体" w:cs="宋体"/>
                <w:b/>
                <w:kern w:val="2"/>
                <w:lang w:val="zh-CN"/>
              </w:rPr>
            </w:pPr>
            <w:r>
              <w:rPr>
                <w:rFonts w:hint="eastAsia" w:ascii="宋体" w:hAnsi="宋体" w:eastAsia="宋体" w:cs="宋体"/>
                <w:b/>
                <w:kern w:val="2"/>
                <w:lang w:val="zh-CN"/>
              </w:rPr>
              <w:t>人民币</w:t>
            </w:r>
            <w:r>
              <w:rPr>
                <w:rFonts w:hint="eastAsia" w:ascii="宋体" w:hAnsi="宋体" w:eastAsia="宋体" w:cs="宋体"/>
                <w:b/>
                <w:kern w:val="2"/>
                <w:u w:val="single"/>
                <w:lang w:val="zh-CN" w:eastAsia="zh-CN"/>
              </w:rPr>
              <w:t>1055366.90</w:t>
            </w:r>
            <w:r>
              <w:rPr>
                <w:rFonts w:hint="eastAsia" w:ascii="宋体" w:hAnsi="宋体" w:eastAsia="宋体" w:cs="宋体"/>
                <w:b/>
                <w:kern w:val="2"/>
                <w:lang w:val="zh-CN"/>
              </w:rPr>
              <w:t>元</w:t>
            </w:r>
          </w:p>
        </w:tc>
      </w:tr>
      <w:tr w14:paraId="5ADE9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4B71FE28">
            <w:pPr>
              <w:keepNext w:val="0"/>
              <w:keepLines w:val="0"/>
              <w:pageBreakBefore w:val="0"/>
              <w:kinsoku/>
              <w:wordWrap/>
              <w:overflowPunct/>
              <w:topLinePunct w:val="0"/>
              <w:bidi w:val="0"/>
              <w:snapToGrid w:val="0"/>
              <w:spacing w:line="460" w:lineRule="exact"/>
              <w:ind w:right="0" w:rightChars="0"/>
              <w:jc w:val="both"/>
              <w:rPr>
                <w:rFonts w:hint="eastAsia" w:ascii="宋体" w:hAnsi="宋体" w:eastAsia="宋体" w:cs="宋体"/>
                <w:sz w:val="28"/>
                <w:szCs w:val="28"/>
                <w:lang w:val="zh-CN" w:eastAsia="zh-CN"/>
              </w:rPr>
            </w:pPr>
            <w:r>
              <w:rPr>
                <w:rFonts w:hint="eastAsia" w:ascii="宋体" w:hAnsi="宋体" w:cs="宋体"/>
                <w:sz w:val="28"/>
                <w:szCs w:val="28"/>
                <w:lang w:val="en-US" w:eastAsia="zh-CN"/>
              </w:rPr>
              <w:t>5</w:t>
            </w:r>
          </w:p>
        </w:tc>
        <w:tc>
          <w:tcPr>
            <w:tcW w:w="1556" w:type="dxa"/>
            <w:vAlign w:val="center"/>
          </w:tcPr>
          <w:p w14:paraId="282DF07C">
            <w:pPr>
              <w:pStyle w:val="34"/>
              <w:keepNext w:val="0"/>
              <w:keepLines w:val="0"/>
              <w:pageBreakBefore w:val="0"/>
              <w:kinsoku/>
              <w:wordWrap/>
              <w:overflowPunct/>
              <w:topLinePunct w:val="0"/>
              <w:bidi w:val="0"/>
              <w:spacing w:line="460" w:lineRule="exact"/>
              <w:ind w:right="0" w:rightChars="0"/>
              <w:jc w:val="both"/>
              <w:rPr>
                <w:rFonts w:hint="eastAsia" w:ascii="宋体" w:hAnsi="宋体" w:eastAsia="宋体" w:cs="宋体"/>
                <w:kern w:val="2"/>
                <w:lang w:val="zh-CN"/>
              </w:rPr>
            </w:pPr>
            <w:r>
              <w:rPr>
                <w:rFonts w:hint="eastAsia" w:ascii="宋体" w:hAnsi="宋体" w:eastAsia="宋体" w:cs="宋体"/>
                <w:kern w:val="2"/>
                <w:lang w:val="zh-CN"/>
              </w:rPr>
              <w:t>最高限价</w:t>
            </w:r>
          </w:p>
        </w:tc>
        <w:tc>
          <w:tcPr>
            <w:tcW w:w="7067" w:type="dxa"/>
            <w:vAlign w:val="center"/>
          </w:tcPr>
          <w:p w14:paraId="2E07DA29">
            <w:pPr>
              <w:pStyle w:val="34"/>
              <w:keepNext w:val="0"/>
              <w:keepLines w:val="0"/>
              <w:pageBreakBefore w:val="0"/>
              <w:kinsoku/>
              <w:wordWrap/>
              <w:overflowPunct/>
              <w:topLinePunct w:val="0"/>
              <w:bidi w:val="0"/>
              <w:spacing w:line="460" w:lineRule="exact"/>
              <w:ind w:right="0" w:rightChars="0" w:firstLine="482" w:firstLineChars="200"/>
              <w:jc w:val="left"/>
              <w:rPr>
                <w:rFonts w:hint="eastAsia" w:ascii="宋体" w:hAnsi="宋体" w:eastAsia="宋体" w:cs="宋体"/>
                <w:b/>
                <w:kern w:val="2"/>
                <w:lang w:val="zh-CN"/>
              </w:rPr>
            </w:pPr>
            <w:r>
              <w:rPr>
                <w:rFonts w:hint="eastAsia" w:ascii="宋体" w:hAnsi="宋体" w:eastAsia="宋体" w:cs="宋体"/>
                <w:b/>
                <w:kern w:val="2"/>
                <w:lang w:val="zh-CN"/>
              </w:rPr>
              <w:t>人民币</w:t>
            </w:r>
            <w:r>
              <w:rPr>
                <w:rFonts w:hint="eastAsia" w:cs="宋体"/>
                <w:b/>
                <w:kern w:val="2"/>
                <w:u w:val="single"/>
                <w:lang w:val="en-US" w:eastAsia="zh-CN"/>
              </w:rPr>
              <w:t xml:space="preserve"> </w:t>
            </w:r>
            <w:r>
              <w:rPr>
                <w:rFonts w:hint="eastAsia" w:ascii="宋体" w:hAnsi="宋体" w:eastAsia="宋体" w:cs="宋体"/>
                <w:b/>
                <w:kern w:val="2"/>
                <w:u w:val="single"/>
                <w:lang w:val="zh-CN" w:eastAsia="zh-CN"/>
              </w:rPr>
              <w:t>1055366.90</w:t>
            </w:r>
            <w:r>
              <w:rPr>
                <w:rFonts w:hint="eastAsia" w:ascii="宋体" w:hAnsi="宋体" w:eastAsia="宋体" w:cs="宋体"/>
                <w:b/>
                <w:kern w:val="2"/>
                <w:lang w:val="zh-CN"/>
              </w:rPr>
              <w:t>元</w:t>
            </w:r>
          </w:p>
          <w:p w14:paraId="1F3A6A58">
            <w:pPr>
              <w:pStyle w:val="34"/>
              <w:keepNext w:val="0"/>
              <w:keepLines w:val="0"/>
              <w:pageBreakBefore w:val="0"/>
              <w:kinsoku/>
              <w:wordWrap/>
              <w:overflowPunct/>
              <w:topLinePunct w:val="0"/>
              <w:bidi w:val="0"/>
              <w:spacing w:line="460" w:lineRule="exact"/>
              <w:ind w:right="0" w:rightChars="0"/>
              <w:jc w:val="left"/>
              <w:rPr>
                <w:rFonts w:hint="eastAsia" w:ascii="宋体" w:hAnsi="宋体" w:eastAsia="宋体" w:cs="宋体"/>
                <w:b/>
                <w:kern w:val="2"/>
                <w:lang w:val="zh-CN"/>
              </w:rPr>
            </w:pPr>
            <w:r>
              <w:rPr>
                <w:rFonts w:hint="eastAsia" w:ascii="宋体" w:hAnsi="宋体" w:eastAsia="宋体" w:cs="宋体"/>
                <w:kern w:val="2"/>
                <w:sz w:val="21"/>
                <w:szCs w:val="21"/>
                <w:lang w:val="zh-CN"/>
              </w:rPr>
              <w:t>供应商投标报价高于最高限价的则其投标文件将按无效投标文件处理。</w:t>
            </w:r>
          </w:p>
        </w:tc>
      </w:tr>
      <w:tr w14:paraId="59C1D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7DC451BA">
            <w:pPr>
              <w:keepNext w:val="0"/>
              <w:keepLines w:val="0"/>
              <w:pageBreakBefore w:val="0"/>
              <w:kinsoku/>
              <w:wordWrap/>
              <w:overflowPunct/>
              <w:topLinePunct w:val="0"/>
              <w:bidi w:val="0"/>
              <w:snapToGrid w:val="0"/>
              <w:spacing w:line="460" w:lineRule="exact"/>
              <w:ind w:right="0" w:rightChars="0"/>
              <w:jc w:val="both"/>
              <w:rPr>
                <w:rFonts w:hint="default" w:ascii="宋体" w:hAnsi="宋体" w:cs="宋体"/>
                <w:sz w:val="28"/>
                <w:szCs w:val="28"/>
                <w:lang w:val="en-US" w:eastAsia="zh-CN"/>
              </w:rPr>
            </w:pPr>
            <w:r>
              <w:rPr>
                <w:rFonts w:hint="eastAsia" w:ascii="宋体" w:hAnsi="宋体" w:cs="宋体"/>
                <w:sz w:val="28"/>
                <w:szCs w:val="28"/>
                <w:lang w:val="en-US" w:eastAsia="zh-CN"/>
              </w:rPr>
              <w:t>6</w:t>
            </w:r>
          </w:p>
        </w:tc>
        <w:tc>
          <w:tcPr>
            <w:tcW w:w="1556" w:type="dxa"/>
            <w:vAlign w:val="center"/>
          </w:tcPr>
          <w:p w14:paraId="2E8AEBA0">
            <w:pPr>
              <w:pStyle w:val="34"/>
              <w:keepNext w:val="0"/>
              <w:keepLines w:val="0"/>
              <w:pageBreakBefore w:val="0"/>
              <w:kinsoku/>
              <w:wordWrap/>
              <w:overflowPunct/>
              <w:topLinePunct w:val="0"/>
              <w:bidi w:val="0"/>
              <w:spacing w:line="460" w:lineRule="exact"/>
              <w:ind w:right="0" w:rightChars="0"/>
              <w:jc w:val="both"/>
              <w:rPr>
                <w:rFonts w:hint="default" w:cs="宋体"/>
                <w:kern w:val="2"/>
                <w:lang w:val="en-US" w:eastAsia="zh-CN"/>
              </w:rPr>
            </w:pPr>
            <w:r>
              <w:rPr>
                <w:rFonts w:hint="eastAsia" w:cs="宋体"/>
                <w:kern w:val="2"/>
                <w:lang w:val="en-US" w:eastAsia="zh-CN"/>
              </w:rPr>
              <w:t>组织形式</w:t>
            </w:r>
          </w:p>
        </w:tc>
        <w:tc>
          <w:tcPr>
            <w:tcW w:w="7067" w:type="dxa"/>
            <w:vAlign w:val="center"/>
          </w:tcPr>
          <w:p w14:paraId="090A3303">
            <w:pPr>
              <w:pStyle w:val="34"/>
              <w:keepNext w:val="0"/>
              <w:keepLines w:val="0"/>
              <w:pageBreakBefore w:val="0"/>
              <w:kinsoku/>
              <w:wordWrap/>
              <w:overflowPunct/>
              <w:topLinePunct w:val="0"/>
              <w:bidi w:val="0"/>
              <w:spacing w:line="460" w:lineRule="exact"/>
              <w:ind w:right="0" w:rightChars="0" w:firstLine="482" w:firstLineChars="200"/>
              <w:jc w:val="left"/>
              <w:rPr>
                <w:rFonts w:hint="default" w:ascii="宋体" w:hAnsi="宋体" w:eastAsia="宋体" w:cs="宋体"/>
                <w:b/>
                <w:kern w:val="2"/>
                <w:lang w:val="en-US" w:eastAsia="zh-CN"/>
              </w:rPr>
            </w:pPr>
            <w:r>
              <w:rPr>
                <w:rFonts w:hint="eastAsia" w:cs="宋体"/>
                <w:b/>
                <w:kern w:val="2"/>
                <w:lang w:val="en-US" w:eastAsia="zh-CN"/>
              </w:rPr>
              <w:t>部门集中采购</w:t>
            </w:r>
          </w:p>
        </w:tc>
      </w:tr>
      <w:tr w14:paraId="2989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0A872493">
            <w:pPr>
              <w:keepNext w:val="0"/>
              <w:keepLines w:val="0"/>
              <w:pageBreakBefore w:val="0"/>
              <w:kinsoku/>
              <w:wordWrap/>
              <w:overflowPunct/>
              <w:topLinePunct w:val="0"/>
              <w:bidi w:val="0"/>
              <w:snapToGrid w:val="0"/>
              <w:spacing w:line="460" w:lineRule="exact"/>
              <w:ind w:right="0" w:rightChars="0"/>
              <w:jc w:val="both"/>
              <w:rPr>
                <w:rFonts w:hint="eastAsia" w:ascii="宋体" w:hAnsi="宋体" w:eastAsia="宋体" w:cs="宋体"/>
                <w:sz w:val="28"/>
                <w:szCs w:val="28"/>
                <w:lang w:val="en-US" w:eastAsia="zh-CN"/>
              </w:rPr>
            </w:pPr>
            <w:r>
              <w:rPr>
                <w:rFonts w:hint="eastAsia" w:ascii="宋体" w:hAnsi="宋体" w:cs="宋体"/>
                <w:sz w:val="28"/>
                <w:szCs w:val="28"/>
                <w:lang w:val="en-US" w:eastAsia="zh-CN"/>
              </w:rPr>
              <w:t>7</w:t>
            </w:r>
          </w:p>
        </w:tc>
        <w:tc>
          <w:tcPr>
            <w:tcW w:w="1556" w:type="dxa"/>
            <w:vAlign w:val="center"/>
          </w:tcPr>
          <w:p w14:paraId="76851397">
            <w:pPr>
              <w:pStyle w:val="34"/>
              <w:keepNext w:val="0"/>
              <w:keepLines w:val="0"/>
              <w:pageBreakBefore w:val="0"/>
              <w:kinsoku/>
              <w:wordWrap/>
              <w:overflowPunct/>
              <w:topLinePunct w:val="0"/>
              <w:bidi w:val="0"/>
              <w:spacing w:line="460" w:lineRule="exact"/>
              <w:ind w:right="0" w:rightChars="0"/>
              <w:jc w:val="both"/>
              <w:rPr>
                <w:rFonts w:hint="eastAsia" w:ascii="宋体" w:hAnsi="宋体" w:eastAsia="宋体" w:cs="宋体"/>
                <w:kern w:val="2"/>
                <w:lang w:val="en-US" w:eastAsia="zh-CN"/>
              </w:rPr>
            </w:pPr>
            <w:r>
              <w:rPr>
                <w:rFonts w:hint="eastAsia" w:cs="宋体"/>
                <w:kern w:val="2"/>
                <w:lang w:val="en-US" w:eastAsia="zh-CN"/>
              </w:rPr>
              <w:t>采购方式</w:t>
            </w:r>
          </w:p>
        </w:tc>
        <w:tc>
          <w:tcPr>
            <w:tcW w:w="7067" w:type="dxa"/>
            <w:vAlign w:val="center"/>
          </w:tcPr>
          <w:p w14:paraId="46321259">
            <w:pPr>
              <w:pStyle w:val="34"/>
              <w:keepNext w:val="0"/>
              <w:keepLines w:val="0"/>
              <w:pageBreakBefore w:val="0"/>
              <w:kinsoku/>
              <w:wordWrap/>
              <w:overflowPunct/>
              <w:topLinePunct w:val="0"/>
              <w:bidi w:val="0"/>
              <w:spacing w:line="460" w:lineRule="exact"/>
              <w:ind w:right="0" w:rightChars="0" w:firstLine="482" w:firstLineChars="200"/>
              <w:jc w:val="left"/>
              <w:rPr>
                <w:rFonts w:hint="default" w:ascii="宋体" w:hAnsi="宋体" w:eastAsia="宋体" w:cs="宋体"/>
                <w:kern w:val="2"/>
                <w:sz w:val="21"/>
                <w:szCs w:val="21"/>
                <w:lang w:val="en-US" w:eastAsia="zh-CN"/>
              </w:rPr>
            </w:pPr>
            <w:r>
              <w:rPr>
                <w:rFonts w:hint="eastAsia" w:ascii="宋体" w:hAnsi="宋体" w:eastAsia="宋体" w:cs="宋体"/>
                <w:b/>
                <w:kern w:val="2"/>
                <w:lang w:val="en-US" w:eastAsia="zh-CN"/>
              </w:rPr>
              <w:t>竞争性磋商</w:t>
            </w:r>
          </w:p>
        </w:tc>
      </w:tr>
      <w:tr w14:paraId="5087B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16D0E0FF">
            <w:pPr>
              <w:keepNext w:val="0"/>
              <w:keepLines w:val="0"/>
              <w:pageBreakBefore w:val="0"/>
              <w:kinsoku/>
              <w:wordWrap/>
              <w:overflowPunct/>
              <w:topLinePunct w:val="0"/>
              <w:bidi w:val="0"/>
              <w:snapToGrid w:val="0"/>
              <w:spacing w:line="460" w:lineRule="exact"/>
              <w:ind w:right="0" w:rightChars="0"/>
              <w:jc w:val="both"/>
              <w:rPr>
                <w:rFonts w:hint="eastAsia" w:ascii="宋体" w:hAnsi="宋体" w:eastAsia="宋体" w:cs="宋体"/>
                <w:sz w:val="28"/>
                <w:szCs w:val="28"/>
                <w:lang w:val="zh-CN" w:eastAsia="zh-CN"/>
              </w:rPr>
            </w:pPr>
            <w:r>
              <w:rPr>
                <w:rFonts w:hint="eastAsia" w:ascii="宋体" w:hAnsi="宋体" w:cs="宋体"/>
                <w:sz w:val="28"/>
                <w:szCs w:val="28"/>
                <w:lang w:val="en-US" w:eastAsia="zh-CN"/>
              </w:rPr>
              <w:t>8</w:t>
            </w:r>
          </w:p>
        </w:tc>
        <w:tc>
          <w:tcPr>
            <w:tcW w:w="1556" w:type="dxa"/>
            <w:vMerge w:val="restart"/>
            <w:vAlign w:val="center"/>
          </w:tcPr>
          <w:p w14:paraId="37E59565">
            <w:pPr>
              <w:pStyle w:val="34"/>
              <w:keepNext w:val="0"/>
              <w:keepLines w:val="0"/>
              <w:pageBreakBefore w:val="0"/>
              <w:kinsoku/>
              <w:wordWrap/>
              <w:overflowPunct/>
              <w:topLinePunct w:val="0"/>
              <w:bidi w:val="0"/>
              <w:spacing w:line="460" w:lineRule="exact"/>
              <w:ind w:right="0" w:rightChars="0"/>
              <w:jc w:val="both"/>
              <w:rPr>
                <w:rFonts w:hint="eastAsia" w:ascii="宋体" w:hAnsi="宋体" w:eastAsia="宋体" w:cs="宋体"/>
                <w:kern w:val="2"/>
                <w:lang w:val="zh-CN"/>
              </w:rPr>
            </w:pPr>
            <w:r>
              <w:rPr>
                <w:rFonts w:hint="eastAsia" w:ascii="宋体" w:hAnsi="宋体" w:eastAsia="宋体" w:cs="宋体"/>
                <w:kern w:val="2"/>
                <w:highlight w:val="none"/>
                <w:lang w:val="zh-CN"/>
              </w:rPr>
              <w:t>项目性质</w:t>
            </w:r>
          </w:p>
        </w:tc>
        <w:tc>
          <w:tcPr>
            <w:tcW w:w="7067" w:type="dxa"/>
            <w:vAlign w:val="center"/>
          </w:tcPr>
          <w:p w14:paraId="0C600394">
            <w:pPr>
              <w:pStyle w:val="34"/>
              <w:keepNext w:val="0"/>
              <w:keepLines w:val="0"/>
              <w:pageBreakBefore w:val="0"/>
              <w:kinsoku/>
              <w:wordWrap/>
              <w:overflowPunct/>
              <w:topLinePunct w:val="0"/>
              <w:bidi w:val="0"/>
              <w:spacing w:line="460" w:lineRule="exact"/>
              <w:ind w:right="0" w:rightChars="0" w:firstLine="482" w:firstLineChars="200"/>
              <w:jc w:val="left"/>
              <w:rPr>
                <w:rFonts w:hint="eastAsia" w:ascii="宋体" w:hAnsi="宋体" w:eastAsia="宋体" w:cs="宋体"/>
                <w:b/>
                <w:kern w:val="2"/>
                <w:lang w:val="zh-CN"/>
              </w:rPr>
            </w:pPr>
            <w:r>
              <w:rPr>
                <w:rFonts w:hint="eastAsia" w:ascii="宋体" w:hAnsi="宋体" w:eastAsia="宋体" w:cs="宋体"/>
                <w:b/>
                <w:sz w:val="24"/>
                <w:szCs w:val="24"/>
                <w:lang w:val="zh-CN"/>
              </w:rPr>
              <w:t>○</w:t>
            </w:r>
            <w:r>
              <w:rPr>
                <w:rFonts w:hint="eastAsia" w:ascii="宋体" w:hAnsi="宋体" w:eastAsia="宋体" w:cs="宋体"/>
                <w:b/>
                <w:kern w:val="2"/>
                <w:lang w:val="zh-CN"/>
              </w:rPr>
              <w:t>专门面向中小企业采购</w:t>
            </w:r>
          </w:p>
          <w:p w14:paraId="55011921">
            <w:pPr>
              <w:pStyle w:val="34"/>
              <w:keepNext w:val="0"/>
              <w:keepLines w:val="0"/>
              <w:pageBreakBefore w:val="0"/>
              <w:kinsoku/>
              <w:wordWrap/>
              <w:overflowPunct/>
              <w:topLinePunct w:val="0"/>
              <w:bidi w:val="0"/>
              <w:spacing w:line="460" w:lineRule="exact"/>
              <w:ind w:right="0" w:rightChars="0"/>
              <w:jc w:val="left"/>
              <w:rPr>
                <w:rFonts w:hint="eastAsia" w:ascii="宋体" w:hAnsi="宋体" w:eastAsia="宋体" w:cs="宋体"/>
                <w:b/>
                <w:kern w:val="2"/>
                <w:lang w:val="zh-CN"/>
              </w:rPr>
            </w:pPr>
            <w:r>
              <w:rPr>
                <w:rFonts w:hint="eastAsia" w:ascii="宋体" w:hAnsi="宋体" w:eastAsia="宋体" w:cs="宋体"/>
                <w:kern w:val="2"/>
                <w:sz w:val="21"/>
                <w:szCs w:val="21"/>
                <w:lang w:val="zh-CN"/>
              </w:rPr>
              <w:t>仅允许中小企业或小型、微型企业参与投标。</w:t>
            </w:r>
          </w:p>
        </w:tc>
      </w:tr>
      <w:tr w14:paraId="61963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02281EB8">
            <w:pPr>
              <w:keepNext w:val="0"/>
              <w:keepLines w:val="0"/>
              <w:pageBreakBefore w:val="0"/>
              <w:kinsoku/>
              <w:wordWrap/>
              <w:overflowPunct/>
              <w:topLinePunct w:val="0"/>
              <w:bidi w:val="0"/>
              <w:snapToGrid w:val="0"/>
              <w:spacing w:line="460" w:lineRule="exact"/>
              <w:ind w:left="0" w:right="0" w:rightChars="0" w:firstLine="562" w:firstLineChars="200"/>
              <w:jc w:val="center"/>
              <w:rPr>
                <w:rFonts w:hint="eastAsia" w:ascii="宋体" w:hAnsi="宋体" w:eastAsia="宋体" w:cs="宋体"/>
                <w:b/>
                <w:sz w:val="28"/>
                <w:szCs w:val="28"/>
                <w:lang w:val="zh-CN"/>
              </w:rPr>
            </w:pPr>
          </w:p>
        </w:tc>
        <w:tc>
          <w:tcPr>
            <w:tcW w:w="1556" w:type="dxa"/>
            <w:vMerge w:val="continue"/>
            <w:vAlign w:val="center"/>
          </w:tcPr>
          <w:p w14:paraId="37CDE549">
            <w:pPr>
              <w:pStyle w:val="34"/>
              <w:keepNext w:val="0"/>
              <w:keepLines w:val="0"/>
              <w:pageBreakBefore w:val="0"/>
              <w:kinsoku/>
              <w:wordWrap/>
              <w:overflowPunct/>
              <w:topLinePunct w:val="0"/>
              <w:bidi w:val="0"/>
              <w:spacing w:line="460" w:lineRule="exact"/>
              <w:ind w:left="0" w:right="0" w:rightChars="0" w:firstLine="480" w:firstLineChars="200"/>
              <w:jc w:val="center"/>
              <w:rPr>
                <w:rFonts w:hint="eastAsia" w:ascii="宋体" w:hAnsi="宋体" w:eastAsia="宋体" w:cs="宋体"/>
                <w:kern w:val="2"/>
                <w:lang w:val="zh-CN"/>
              </w:rPr>
            </w:pPr>
          </w:p>
        </w:tc>
        <w:tc>
          <w:tcPr>
            <w:tcW w:w="7067" w:type="dxa"/>
            <w:vAlign w:val="center"/>
          </w:tcPr>
          <w:p w14:paraId="7EA1A838">
            <w:pPr>
              <w:keepNext w:val="0"/>
              <w:keepLines w:val="0"/>
              <w:pageBreakBefore w:val="0"/>
              <w:kinsoku/>
              <w:wordWrap/>
              <w:overflowPunct/>
              <w:topLinePunct w:val="0"/>
              <w:bidi w:val="0"/>
              <w:spacing w:line="460" w:lineRule="exact"/>
              <w:ind w:right="0" w:rightChars="0" w:firstLine="480" w:firstLineChars="200"/>
              <w:jc w:val="left"/>
              <w:rPr>
                <w:rFonts w:hint="eastAsia" w:ascii="宋体" w:hAnsi="宋体" w:eastAsia="宋体" w:cs="宋体"/>
                <w:b/>
                <w:sz w:val="24"/>
                <w:szCs w:val="24"/>
                <w:lang w:val="zh-CN"/>
              </w:rPr>
            </w:pPr>
            <w:r>
              <w:rPr>
                <w:rFonts w:hint="eastAsia" w:ascii="宋体" w:hAnsi="宋体" w:eastAsia="宋体" w:cs="宋体"/>
                <w:sz w:val="24"/>
                <w:szCs w:val="24"/>
              </w:rPr>
              <w:t>√</w:t>
            </w:r>
            <w:r>
              <w:rPr>
                <w:rFonts w:hint="eastAsia" w:ascii="宋体" w:hAnsi="宋体" w:eastAsia="宋体" w:cs="宋体"/>
                <w:b/>
                <w:sz w:val="24"/>
                <w:szCs w:val="24"/>
                <w:lang w:val="zh-CN"/>
              </w:rPr>
              <w:t>非专门面向中小企业采购</w:t>
            </w:r>
          </w:p>
          <w:p w14:paraId="069B92C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95" w:lineRule="atLeast"/>
              <w:ind w:right="0" w:firstLine="480" w:firstLineChars="200"/>
              <w:jc w:val="left"/>
              <w:rPr>
                <w:rFonts w:hint="eastAsia" w:ascii="宋体" w:hAnsi="宋体" w:eastAsia="宋体" w:cs="宋体"/>
                <w:b/>
                <w:szCs w:val="21"/>
              </w:rPr>
            </w:pPr>
            <w:r>
              <w:rPr>
                <w:rFonts w:hint="eastAsia" w:ascii="宋体" w:hAnsi="宋体" w:eastAsia="宋体" w:cs="宋体"/>
                <w:color w:val="000000" w:themeColor="text1"/>
                <w:kern w:val="0"/>
                <w:szCs w:val="21"/>
                <w:highlight w:val="none"/>
                <w:lang w:val="zh-CN"/>
                <w14:textFill>
                  <w14:solidFill>
                    <w14:schemeClr w14:val="tx1"/>
                  </w14:solidFill>
                </w14:textFill>
              </w:rPr>
              <w:t>对符合关于进一步加大政府采购支持中小企业力度的通知</w:t>
            </w:r>
            <w:r>
              <w:rPr>
                <w:rFonts w:hint="eastAsia" w:ascii="宋体" w:hAnsi="宋体" w:cs="宋体"/>
                <w:color w:val="000000" w:themeColor="text1"/>
                <w:kern w:val="0"/>
                <w:szCs w:val="21"/>
                <w:highlight w:val="none"/>
                <w:lang w:val="en-US" w:eastAsia="zh-CN"/>
                <w14:textFill>
                  <w14:solidFill>
                    <w14:schemeClr w14:val="tx1"/>
                  </w14:solidFill>
                </w14:textFill>
              </w:rPr>
              <w:t>(</w:t>
            </w:r>
            <w:r>
              <w:rPr>
                <w:rFonts w:hint="eastAsia" w:ascii="宋体" w:hAnsi="宋体" w:eastAsia="宋体" w:cs="宋体"/>
                <w:color w:val="000000" w:themeColor="text1"/>
                <w:kern w:val="0"/>
                <w:szCs w:val="21"/>
                <w:highlight w:val="none"/>
                <w:lang w:val="zh-CN"/>
                <w14:textFill>
                  <w14:solidFill>
                    <w14:schemeClr w14:val="tx1"/>
                  </w14:solidFill>
                </w14:textFill>
              </w:rPr>
              <w:t>财库〔</w:t>
            </w:r>
            <w:r>
              <w:rPr>
                <w:rFonts w:hint="eastAsia" w:ascii="宋体" w:hAnsi="宋体" w:eastAsia="宋体" w:cs="宋体"/>
                <w:color w:val="000000" w:themeColor="text1"/>
                <w:kern w:val="0"/>
                <w:szCs w:val="21"/>
                <w:highlight w:val="none"/>
                <w:lang w:val="en-US"/>
                <w14:textFill>
                  <w14:solidFill>
                    <w14:schemeClr w14:val="tx1"/>
                  </w14:solidFill>
                </w14:textFill>
              </w:rPr>
              <w:t>2022</w:t>
            </w:r>
            <w:r>
              <w:rPr>
                <w:rFonts w:hint="eastAsia" w:ascii="宋体" w:hAnsi="宋体" w:eastAsia="宋体" w:cs="宋体"/>
                <w:color w:val="000000" w:themeColor="text1"/>
                <w:kern w:val="0"/>
                <w:szCs w:val="21"/>
                <w:highlight w:val="none"/>
                <w:lang w:val="zh-CN"/>
                <w14:textFill>
                  <w14:solidFill>
                    <w14:schemeClr w14:val="tx1"/>
                  </w14:solidFill>
                </w14:textFill>
              </w:rPr>
              <w:t>〕</w:t>
            </w:r>
            <w:r>
              <w:rPr>
                <w:rFonts w:hint="eastAsia" w:ascii="宋体" w:hAnsi="宋体" w:eastAsia="宋体" w:cs="宋体"/>
                <w:color w:val="000000" w:themeColor="text1"/>
                <w:kern w:val="0"/>
                <w:szCs w:val="21"/>
                <w:highlight w:val="none"/>
                <w:lang w:val="en-US"/>
                <w14:textFill>
                  <w14:solidFill>
                    <w14:schemeClr w14:val="tx1"/>
                  </w14:solidFill>
                </w14:textFill>
              </w:rPr>
              <w:t>19</w:t>
            </w:r>
            <w:r>
              <w:rPr>
                <w:rFonts w:hint="eastAsia" w:ascii="宋体" w:hAnsi="宋体" w:eastAsia="宋体" w:cs="宋体"/>
                <w:color w:val="000000" w:themeColor="text1"/>
                <w:kern w:val="0"/>
                <w:szCs w:val="21"/>
                <w:highlight w:val="none"/>
                <w:lang w:val="zh-CN"/>
                <w14:textFill>
                  <w14:solidFill>
                    <w14:schemeClr w14:val="tx1"/>
                  </w14:solidFill>
                </w14:textFill>
              </w:rPr>
              <w:t>号</w:t>
            </w:r>
            <w:r>
              <w:rPr>
                <w:rFonts w:hint="eastAsia" w:ascii="宋体" w:hAnsi="宋体" w:cs="宋体"/>
                <w:color w:val="000000" w:themeColor="text1"/>
                <w:kern w:val="0"/>
                <w:szCs w:val="21"/>
                <w:highlight w:val="none"/>
                <w:lang w:val="en-US" w:eastAsia="zh-CN"/>
                <w14:textFill>
                  <w14:solidFill>
                    <w14:schemeClr w14:val="tx1"/>
                  </w14:solidFill>
                </w14:textFill>
              </w:rPr>
              <w:t>)</w:t>
            </w:r>
            <w:r>
              <w:rPr>
                <w:rFonts w:hint="eastAsia" w:ascii="宋体" w:hAnsi="宋体" w:eastAsia="宋体" w:cs="宋体"/>
                <w:color w:val="000000" w:themeColor="text1"/>
                <w:kern w:val="0"/>
                <w:szCs w:val="21"/>
                <w:highlight w:val="none"/>
                <w:lang w:val="zh-CN"/>
                <w14:textFill>
                  <w14:solidFill>
                    <w14:schemeClr w14:val="tx1"/>
                  </w14:solidFill>
                </w14:textFill>
              </w:rPr>
              <w:t>规定的小微企业（监狱企业视同小型、微型企业）的报价</w:t>
            </w:r>
            <w:r>
              <w:rPr>
                <w:rFonts w:hint="eastAsia" w:ascii="宋体" w:hAnsi="宋体" w:eastAsia="宋体" w:cs="宋体"/>
                <w:b/>
                <w:color w:val="000000" w:themeColor="text1"/>
                <w:kern w:val="0"/>
                <w:szCs w:val="21"/>
                <w:highlight w:val="none"/>
                <w:lang w:val="zh-CN"/>
                <w14:textFill>
                  <w14:solidFill>
                    <w14:schemeClr w14:val="tx1"/>
                  </w14:solidFill>
                </w14:textFill>
              </w:rPr>
              <w:t>给予</w:t>
            </w:r>
            <w:r>
              <w:rPr>
                <w:rFonts w:hint="eastAsia" w:ascii="宋体" w:hAnsi="宋体" w:cs="宋体"/>
                <w:b/>
                <w:sz w:val="24"/>
                <w:highlight w:val="none"/>
                <w:u w:val="single"/>
                <w:lang w:val="en-US" w:eastAsia="zh-CN"/>
              </w:rPr>
              <w:t xml:space="preserve"> 10 </w:t>
            </w:r>
            <w:r>
              <w:rPr>
                <w:rFonts w:hint="eastAsia" w:ascii="宋体" w:hAnsi="宋体" w:eastAsia="宋体" w:cs="宋体"/>
                <w:b/>
                <w:color w:val="000000" w:themeColor="text1"/>
                <w:kern w:val="0"/>
                <w:szCs w:val="21"/>
                <w:highlight w:val="none"/>
                <w:lang w:val="zh-CN"/>
                <w14:textFill>
                  <w14:solidFill>
                    <w14:schemeClr w14:val="tx1"/>
                  </w14:solidFill>
                </w14:textFill>
              </w:rPr>
              <w:t>%</w:t>
            </w:r>
            <w:r>
              <w:rPr>
                <w:rFonts w:hint="eastAsia" w:ascii="宋体" w:hAnsi="宋体" w:eastAsia="宋体" w:cs="宋体"/>
                <w:b/>
                <w:szCs w:val="21"/>
                <w:lang w:val="zh-CN"/>
              </w:rPr>
              <w:t>（</w:t>
            </w:r>
            <w:r>
              <w:rPr>
                <w:rFonts w:hint="eastAsia" w:ascii="宋体" w:hAnsi="宋体" w:eastAsia="宋体" w:cs="宋体"/>
                <w:b/>
                <w:szCs w:val="21"/>
                <w:lang w:val="en-US"/>
              </w:rPr>
              <w:t>10%</w:t>
            </w:r>
            <w:r>
              <w:rPr>
                <w:rFonts w:hint="eastAsia" w:ascii="宋体" w:hAnsi="宋体" w:eastAsia="宋体" w:cs="宋体"/>
                <w:b/>
                <w:szCs w:val="21"/>
                <w:lang w:val="zh-CN"/>
              </w:rPr>
              <w:t>—</w:t>
            </w:r>
            <w:r>
              <w:rPr>
                <w:rFonts w:hint="eastAsia" w:ascii="宋体" w:hAnsi="宋体" w:eastAsia="宋体" w:cs="宋体"/>
                <w:b/>
                <w:szCs w:val="21"/>
                <w:lang w:val="en-US"/>
              </w:rPr>
              <w:t>20%</w:t>
            </w:r>
            <w:r>
              <w:rPr>
                <w:rFonts w:hint="eastAsia" w:ascii="宋体" w:hAnsi="宋体" w:eastAsia="宋体" w:cs="宋体"/>
                <w:b/>
                <w:szCs w:val="21"/>
                <w:lang w:val="zh-CN"/>
              </w:rPr>
              <w:t>）</w:t>
            </w:r>
            <w:r>
              <w:rPr>
                <w:rFonts w:hint="eastAsia" w:ascii="宋体" w:hAnsi="宋体" w:eastAsia="宋体" w:cs="宋体"/>
                <w:b/>
                <w:color w:val="000000" w:themeColor="text1"/>
                <w:kern w:val="0"/>
                <w:szCs w:val="21"/>
                <w:highlight w:val="none"/>
                <w:lang w:val="zh-CN"/>
                <w14:textFill>
                  <w14:solidFill>
                    <w14:schemeClr w14:val="tx1"/>
                  </w14:solidFill>
                </w14:textFill>
              </w:rPr>
              <w:t>的扣除</w:t>
            </w:r>
            <w:r>
              <w:rPr>
                <w:rFonts w:hint="eastAsia" w:ascii="宋体" w:hAnsi="宋体" w:eastAsia="宋体" w:cs="宋体"/>
                <w:color w:val="000000" w:themeColor="text1"/>
                <w:kern w:val="0"/>
                <w:szCs w:val="21"/>
                <w:highlight w:val="none"/>
                <w:lang w:val="zh-CN"/>
                <w14:textFill>
                  <w14:solidFill>
                    <w14:schemeClr w14:val="tx1"/>
                  </w14:solidFill>
                </w14:textFill>
              </w:rPr>
              <w:t>，用扣除后的价格参加评审。</w:t>
            </w:r>
          </w:p>
        </w:tc>
      </w:tr>
      <w:tr w14:paraId="431DE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326279DB">
            <w:pPr>
              <w:keepNext w:val="0"/>
              <w:keepLines w:val="0"/>
              <w:pageBreakBefore w:val="0"/>
              <w:kinsoku/>
              <w:wordWrap/>
              <w:overflowPunct/>
              <w:topLinePunct w:val="0"/>
              <w:bidi w:val="0"/>
              <w:snapToGrid w:val="0"/>
              <w:spacing w:line="460" w:lineRule="exact"/>
              <w:ind w:right="0" w:rightChars="0"/>
              <w:jc w:val="both"/>
              <w:rPr>
                <w:rFonts w:hint="eastAsia" w:ascii="宋体" w:hAnsi="宋体" w:eastAsia="宋体" w:cs="宋体"/>
                <w:sz w:val="24"/>
                <w:lang w:eastAsia="zh-CN"/>
              </w:rPr>
            </w:pPr>
            <w:r>
              <w:rPr>
                <w:rFonts w:hint="eastAsia" w:ascii="宋体" w:hAnsi="宋体" w:cs="宋体"/>
                <w:sz w:val="24"/>
                <w:lang w:val="en-US" w:eastAsia="zh-CN"/>
              </w:rPr>
              <w:t>9</w:t>
            </w:r>
          </w:p>
        </w:tc>
        <w:tc>
          <w:tcPr>
            <w:tcW w:w="1556" w:type="dxa"/>
            <w:vAlign w:val="center"/>
          </w:tcPr>
          <w:p w14:paraId="74C07068">
            <w:pPr>
              <w:pStyle w:val="34"/>
              <w:keepNext w:val="0"/>
              <w:keepLines w:val="0"/>
              <w:pageBreakBefore w:val="0"/>
              <w:kinsoku/>
              <w:wordWrap/>
              <w:overflowPunct/>
              <w:topLinePunct w:val="0"/>
              <w:bidi w:val="0"/>
              <w:spacing w:line="460" w:lineRule="exact"/>
              <w:ind w:right="0" w:rightChars="0"/>
              <w:jc w:val="both"/>
              <w:rPr>
                <w:rFonts w:hint="eastAsia" w:ascii="宋体" w:hAnsi="宋体" w:eastAsia="宋体" w:cs="宋体"/>
                <w:kern w:val="2"/>
                <w:lang w:val="zh-CN"/>
              </w:rPr>
            </w:pPr>
            <w:r>
              <w:rPr>
                <w:rFonts w:hint="eastAsia" w:ascii="宋体" w:hAnsi="宋体" w:eastAsia="宋体" w:cs="宋体"/>
                <w:kern w:val="2"/>
                <w:lang w:val="zh-CN"/>
              </w:rPr>
              <w:t>对供应商的</w:t>
            </w:r>
            <w:r>
              <w:rPr>
                <w:rFonts w:hint="eastAsia" w:ascii="宋体" w:hAnsi="宋体" w:eastAsia="宋体" w:cs="宋体"/>
                <w:kern w:val="2"/>
                <w:lang w:val="zh-CN"/>
              </w:rPr>
              <w:br w:type="textWrapping"/>
            </w:r>
            <w:r>
              <w:rPr>
                <w:rFonts w:hint="eastAsia" w:ascii="宋体" w:hAnsi="宋体" w:eastAsia="宋体" w:cs="宋体"/>
                <w:kern w:val="2"/>
                <w:lang w:val="zh-CN"/>
              </w:rPr>
              <w:t>资格要求</w:t>
            </w:r>
          </w:p>
        </w:tc>
        <w:tc>
          <w:tcPr>
            <w:tcW w:w="7067" w:type="dxa"/>
            <w:vAlign w:val="center"/>
          </w:tcPr>
          <w:p w14:paraId="0E3DDC88">
            <w:pPr>
              <w:pStyle w:val="34"/>
              <w:keepNext w:val="0"/>
              <w:keepLines w:val="0"/>
              <w:pageBreakBefore w:val="0"/>
              <w:kinsoku/>
              <w:wordWrap/>
              <w:overflowPunct/>
              <w:topLinePunct w:val="0"/>
              <w:bidi w:val="0"/>
              <w:spacing w:line="460" w:lineRule="exact"/>
              <w:ind w:right="0" w:rightChars="0"/>
              <w:jc w:val="left"/>
              <w:rPr>
                <w:rFonts w:hint="eastAsia" w:cs="宋体"/>
                <w:kern w:val="2"/>
                <w:sz w:val="21"/>
                <w:szCs w:val="21"/>
                <w:lang w:val="zh-CN" w:eastAsia="zh-Hans"/>
              </w:rPr>
            </w:pPr>
            <w:r>
              <w:rPr>
                <w:rFonts w:hint="eastAsia" w:cs="宋体"/>
                <w:kern w:val="2"/>
                <w:sz w:val="21"/>
                <w:szCs w:val="21"/>
                <w:lang w:val="zh-CN" w:eastAsia="zh-Hans"/>
              </w:rPr>
              <w:t>（1）供应商须具有独立承担民事责任能力的法人、其他组织或自然人，提供营业执照/事业单位法人证书/非企业专业服务机构执业许可证/自然人身份证；</w:t>
            </w:r>
          </w:p>
          <w:p w14:paraId="056B6B60">
            <w:pPr>
              <w:pStyle w:val="34"/>
              <w:keepNext w:val="0"/>
              <w:keepLines w:val="0"/>
              <w:pageBreakBefore w:val="0"/>
              <w:kinsoku/>
              <w:wordWrap/>
              <w:overflowPunct/>
              <w:topLinePunct w:val="0"/>
              <w:bidi w:val="0"/>
              <w:spacing w:line="460" w:lineRule="exact"/>
              <w:ind w:right="0" w:rightChars="0"/>
              <w:jc w:val="left"/>
              <w:rPr>
                <w:rFonts w:hint="eastAsia" w:cs="宋体"/>
                <w:kern w:val="2"/>
                <w:sz w:val="21"/>
                <w:szCs w:val="21"/>
                <w:lang w:val="zh-CN" w:eastAsia="zh-Hans"/>
              </w:rPr>
            </w:pPr>
            <w:r>
              <w:rPr>
                <w:rFonts w:hint="eastAsia" w:cs="宋体"/>
                <w:kern w:val="2"/>
                <w:sz w:val="21"/>
                <w:szCs w:val="21"/>
                <w:lang w:val="zh-CN" w:eastAsia="zh-Hans"/>
              </w:rPr>
              <w:t>（2）供应商应授权合法的人员参加磋商全过程，其中法定代表人直接参加磋商的，须出具法人身份证复印件，并与营业执照上信息一致。法定代表人授权代表参加磋商的，须出具法定代表人授权书；</w:t>
            </w:r>
          </w:p>
          <w:p w14:paraId="2BB7CBA5">
            <w:pPr>
              <w:pStyle w:val="34"/>
              <w:keepNext w:val="0"/>
              <w:keepLines w:val="0"/>
              <w:pageBreakBefore w:val="0"/>
              <w:kinsoku/>
              <w:wordWrap/>
              <w:overflowPunct/>
              <w:topLinePunct w:val="0"/>
              <w:bidi w:val="0"/>
              <w:spacing w:line="460" w:lineRule="exact"/>
              <w:ind w:right="0" w:rightChars="0"/>
              <w:jc w:val="left"/>
              <w:rPr>
                <w:rFonts w:hint="eastAsia" w:cs="宋体"/>
                <w:kern w:val="2"/>
                <w:sz w:val="21"/>
                <w:szCs w:val="21"/>
                <w:lang w:val="zh-CN" w:eastAsia="zh-Hans"/>
              </w:rPr>
            </w:pPr>
            <w:r>
              <w:rPr>
                <w:rFonts w:hint="eastAsia" w:cs="宋体"/>
                <w:kern w:val="2"/>
                <w:sz w:val="21"/>
                <w:szCs w:val="21"/>
                <w:lang w:val="zh-CN" w:eastAsia="zh-Hans"/>
              </w:rPr>
              <w:t>（3）提供2024年度或2025年度的财务报告（财务报告是指经会计师事务所审计的上述指定年度整个会计年度财务报表，复印件至少须包括报告正文、资产负债表、现金流量表、利润表、附注和会计师事务所营业执照，报告正文应当有会计师事务所公章和2名注册会计师的签字及盖章。且审计报告应当经过注册会计师行业统一监管平台备案赋码，成立时间至提交响应文件截止时间不足一年的可提供成立后任意时段的资产负债表），或其开标前三个月内基本存款账户开户银行出具的资信证明及基本存款账户开户许可证（或基本账户信息）；</w:t>
            </w:r>
          </w:p>
          <w:p w14:paraId="45B634A9">
            <w:pPr>
              <w:pStyle w:val="34"/>
              <w:keepNext w:val="0"/>
              <w:keepLines w:val="0"/>
              <w:pageBreakBefore w:val="0"/>
              <w:kinsoku/>
              <w:wordWrap/>
              <w:overflowPunct/>
              <w:topLinePunct w:val="0"/>
              <w:bidi w:val="0"/>
              <w:spacing w:line="460" w:lineRule="exact"/>
              <w:ind w:right="0" w:rightChars="0"/>
              <w:jc w:val="left"/>
              <w:rPr>
                <w:rFonts w:hint="eastAsia" w:cs="宋体"/>
                <w:kern w:val="2"/>
                <w:sz w:val="21"/>
                <w:szCs w:val="21"/>
                <w:lang w:val="zh-CN" w:eastAsia="zh-Hans"/>
              </w:rPr>
            </w:pPr>
            <w:r>
              <w:rPr>
                <w:rFonts w:hint="eastAsia" w:cs="宋体"/>
                <w:kern w:val="2"/>
                <w:sz w:val="21"/>
                <w:szCs w:val="21"/>
                <w:lang w:val="zh-CN" w:eastAsia="zh-Hans"/>
              </w:rPr>
              <w:t>（4）供应商提交响应文件截止时间前一年内至少一个月的纳税证明或完税证明，纳税证明或完税证明上应有代收机构或税务机关的公章或业务专用章。（依法免税的供应商应提供相应文件证明）；</w:t>
            </w:r>
          </w:p>
          <w:p w14:paraId="7B0A0B0B">
            <w:pPr>
              <w:pStyle w:val="34"/>
              <w:keepNext w:val="0"/>
              <w:keepLines w:val="0"/>
              <w:pageBreakBefore w:val="0"/>
              <w:kinsoku/>
              <w:wordWrap/>
              <w:overflowPunct/>
              <w:topLinePunct w:val="0"/>
              <w:bidi w:val="0"/>
              <w:spacing w:line="460" w:lineRule="exact"/>
              <w:ind w:right="0" w:rightChars="0"/>
              <w:jc w:val="left"/>
              <w:rPr>
                <w:rFonts w:hint="eastAsia" w:cs="宋体"/>
                <w:kern w:val="2"/>
                <w:sz w:val="21"/>
                <w:szCs w:val="21"/>
                <w:lang w:val="zh-CN" w:eastAsia="zh-Hans"/>
              </w:rPr>
            </w:pPr>
            <w:r>
              <w:rPr>
                <w:rFonts w:hint="eastAsia" w:cs="宋体"/>
                <w:kern w:val="2"/>
                <w:sz w:val="21"/>
                <w:szCs w:val="21"/>
                <w:lang w:val="zh-CN" w:eastAsia="zh-Hans"/>
              </w:rPr>
              <w:t>（5）供应商提交响应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p w14:paraId="01493888">
            <w:pPr>
              <w:pStyle w:val="34"/>
              <w:keepNext w:val="0"/>
              <w:keepLines w:val="0"/>
              <w:pageBreakBefore w:val="0"/>
              <w:kinsoku/>
              <w:wordWrap/>
              <w:overflowPunct/>
              <w:topLinePunct w:val="0"/>
              <w:bidi w:val="0"/>
              <w:spacing w:line="460" w:lineRule="exact"/>
              <w:ind w:right="0" w:rightChars="0"/>
              <w:jc w:val="left"/>
              <w:rPr>
                <w:rFonts w:hint="eastAsia" w:cs="宋体"/>
                <w:kern w:val="2"/>
                <w:sz w:val="21"/>
                <w:szCs w:val="21"/>
                <w:lang w:val="zh-CN" w:eastAsia="zh-Hans"/>
              </w:rPr>
            </w:pPr>
            <w:r>
              <w:rPr>
                <w:rFonts w:hint="eastAsia" w:cs="宋体"/>
                <w:kern w:val="2"/>
                <w:sz w:val="21"/>
                <w:szCs w:val="21"/>
                <w:lang w:val="zh-CN" w:eastAsia="zh-Hans"/>
              </w:rPr>
              <w:t>（6）参加本次政府采购活动前三年内，在经营活动中没有重大违法记录的书面声明；</w:t>
            </w:r>
          </w:p>
          <w:p w14:paraId="53B2AAE8">
            <w:pPr>
              <w:pStyle w:val="34"/>
              <w:keepNext w:val="0"/>
              <w:keepLines w:val="0"/>
              <w:pageBreakBefore w:val="0"/>
              <w:kinsoku/>
              <w:wordWrap/>
              <w:overflowPunct/>
              <w:topLinePunct w:val="0"/>
              <w:bidi w:val="0"/>
              <w:spacing w:line="460" w:lineRule="exact"/>
              <w:ind w:right="0" w:rightChars="0"/>
              <w:jc w:val="left"/>
              <w:rPr>
                <w:rFonts w:hint="eastAsia" w:cs="宋体"/>
                <w:kern w:val="2"/>
                <w:sz w:val="21"/>
                <w:szCs w:val="21"/>
                <w:lang w:val="zh-CN" w:eastAsia="zh-Hans"/>
              </w:rPr>
            </w:pPr>
            <w:r>
              <w:rPr>
                <w:rFonts w:hint="eastAsia" w:cs="宋体"/>
                <w:kern w:val="2"/>
                <w:sz w:val="21"/>
                <w:szCs w:val="21"/>
                <w:lang w:val="zh-CN" w:eastAsia="zh-Hans"/>
              </w:rPr>
              <w:t>（7）供应商不得为“信用中国”网站中被列入失信被执行人、重大税收违法失信主体名单，不得被列为“中国政府采购网”中政府采购严重违法失信行为记录名单（不强制要求供应商提供查询截图，以开标现场查询结果为评审依据）；</w:t>
            </w:r>
          </w:p>
          <w:p w14:paraId="4E4C8327">
            <w:pPr>
              <w:pStyle w:val="34"/>
              <w:keepNext w:val="0"/>
              <w:keepLines w:val="0"/>
              <w:pageBreakBefore w:val="0"/>
              <w:kinsoku/>
              <w:wordWrap/>
              <w:overflowPunct/>
              <w:topLinePunct w:val="0"/>
              <w:bidi w:val="0"/>
              <w:spacing w:line="460" w:lineRule="exact"/>
              <w:ind w:right="0" w:rightChars="0"/>
              <w:jc w:val="left"/>
              <w:rPr>
                <w:rFonts w:hint="eastAsia" w:cs="宋体"/>
                <w:kern w:val="2"/>
                <w:sz w:val="21"/>
                <w:szCs w:val="21"/>
                <w:lang w:val="zh-CN" w:eastAsia="zh-Hans"/>
              </w:rPr>
            </w:pPr>
            <w:r>
              <w:rPr>
                <w:rFonts w:hint="eastAsia" w:cs="宋体"/>
                <w:kern w:val="2"/>
                <w:sz w:val="21"/>
                <w:szCs w:val="21"/>
                <w:lang w:val="zh-CN" w:eastAsia="zh-Hans"/>
              </w:rPr>
              <w:t>（8）供应商具有履行本合同所必需的专业技术能力的说明及承诺；</w:t>
            </w:r>
          </w:p>
          <w:p w14:paraId="5CD07932">
            <w:pPr>
              <w:pStyle w:val="34"/>
              <w:keepNext w:val="0"/>
              <w:keepLines w:val="0"/>
              <w:pageBreakBefore w:val="0"/>
              <w:kinsoku/>
              <w:wordWrap/>
              <w:overflowPunct/>
              <w:topLinePunct w:val="0"/>
              <w:bidi w:val="0"/>
              <w:spacing w:line="460" w:lineRule="exact"/>
              <w:ind w:right="0" w:rightChars="0"/>
              <w:jc w:val="left"/>
              <w:rPr>
                <w:rFonts w:hint="eastAsia" w:ascii="宋体" w:hAnsi="宋体" w:eastAsia="宋体" w:cs="宋体"/>
                <w:kern w:val="2"/>
                <w:sz w:val="21"/>
                <w:szCs w:val="21"/>
                <w:lang w:val="zh-CN" w:eastAsia="zh-Hans"/>
              </w:rPr>
            </w:pPr>
            <w:r>
              <w:rPr>
                <w:rFonts w:hint="eastAsia" w:cs="宋体"/>
                <w:kern w:val="2"/>
                <w:sz w:val="21"/>
                <w:szCs w:val="21"/>
                <w:lang w:val="zh-CN" w:eastAsia="zh-Hans"/>
              </w:rPr>
              <w:t>（9）单位负责人为同一人或者存在直接控股、管理关系的不同供应商，不得参加本次采购活动。</w:t>
            </w:r>
          </w:p>
          <w:p w14:paraId="129D9235">
            <w:pPr>
              <w:pStyle w:val="34"/>
              <w:keepNext w:val="0"/>
              <w:keepLines w:val="0"/>
              <w:pageBreakBefore w:val="0"/>
              <w:kinsoku/>
              <w:wordWrap/>
              <w:overflowPunct/>
              <w:topLinePunct w:val="0"/>
              <w:bidi w:val="0"/>
              <w:spacing w:line="460" w:lineRule="exact"/>
              <w:ind w:left="0" w:right="0" w:rightChars="0" w:firstLine="420" w:firstLineChars="200"/>
              <w:jc w:val="left"/>
              <w:rPr>
                <w:rFonts w:hint="eastAsia" w:ascii="宋体" w:hAnsi="宋体" w:eastAsia="宋体" w:cs="宋体"/>
                <w:kern w:val="2"/>
                <w:lang w:val="zh-CN"/>
              </w:rPr>
            </w:pPr>
            <w:r>
              <w:rPr>
                <w:rFonts w:hint="eastAsia" w:ascii="宋体" w:hAnsi="宋体" w:eastAsia="宋体" w:cs="宋体"/>
                <w:kern w:val="2"/>
                <w:sz w:val="21"/>
                <w:szCs w:val="21"/>
                <w:lang w:val="zh-CN"/>
              </w:rPr>
              <w:t>根据《政府采购促进中小企业发展管理办法》（财库〔2020〕46号）的规定,不得以企业注册资本、资产总额、营业收入、从业人员、利润、纳税额等规模条件和财务指标作为供应商的资格要求或者评审因素，不得在企业股权结构、经营年限等方面对中小企业实行差别待遇或者歧视待遇。</w:t>
            </w:r>
          </w:p>
        </w:tc>
      </w:tr>
      <w:tr w14:paraId="742EF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5CEFD199">
            <w:pPr>
              <w:keepNext w:val="0"/>
              <w:keepLines w:val="0"/>
              <w:pageBreakBefore w:val="0"/>
              <w:kinsoku/>
              <w:wordWrap/>
              <w:overflowPunct/>
              <w:topLinePunct w:val="0"/>
              <w:bidi w:val="0"/>
              <w:snapToGrid w:val="0"/>
              <w:spacing w:line="460" w:lineRule="exact"/>
              <w:ind w:right="0" w:rightChars="0"/>
              <w:jc w:val="both"/>
              <w:rPr>
                <w:rFonts w:hint="default" w:ascii="宋体" w:hAnsi="宋体" w:eastAsia="宋体" w:cs="宋体"/>
                <w:sz w:val="24"/>
                <w:lang w:val="en-US" w:eastAsia="zh-CN"/>
              </w:rPr>
            </w:pPr>
            <w:r>
              <w:rPr>
                <w:rFonts w:hint="eastAsia" w:ascii="宋体" w:hAnsi="宋体" w:cs="宋体"/>
                <w:sz w:val="24"/>
                <w:lang w:val="en-US" w:eastAsia="zh-CN"/>
              </w:rPr>
              <w:t>10</w:t>
            </w:r>
          </w:p>
        </w:tc>
        <w:tc>
          <w:tcPr>
            <w:tcW w:w="1556" w:type="dxa"/>
            <w:vMerge w:val="restart"/>
            <w:vAlign w:val="center"/>
          </w:tcPr>
          <w:p w14:paraId="0A70DF38">
            <w:pPr>
              <w:pStyle w:val="34"/>
              <w:keepNext w:val="0"/>
              <w:keepLines w:val="0"/>
              <w:pageBreakBefore w:val="0"/>
              <w:kinsoku/>
              <w:wordWrap/>
              <w:overflowPunct/>
              <w:topLinePunct w:val="0"/>
              <w:bidi w:val="0"/>
              <w:spacing w:line="460" w:lineRule="exact"/>
              <w:ind w:right="0" w:rightChars="0"/>
              <w:jc w:val="both"/>
              <w:rPr>
                <w:rFonts w:hint="eastAsia" w:ascii="宋体" w:hAnsi="宋体" w:eastAsia="宋体" w:cs="宋体"/>
                <w:kern w:val="2"/>
                <w:lang w:val="zh-CN"/>
              </w:rPr>
            </w:pPr>
            <w:r>
              <w:rPr>
                <w:rFonts w:hint="eastAsia" w:ascii="宋体" w:hAnsi="宋体" w:eastAsia="宋体" w:cs="宋体"/>
                <w:kern w:val="2"/>
                <w:lang w:val="zh-CN"/>
              </w:rPr>
              <w:t>是否接受</w:t>
            </w:r>
            <w:r>
              <w:rPr>
                <w:rFonts w:hint="eastAsia" w:ascii="宋体" w:hAnsi="宋体" w:eastAsia="宋体" w:cs="宋体"/>
                <w:kern w:val="2"/>
                <w:lang w:val="zh-CN"/>
              </w:rPr>
              <w:br w:type="textWrapping"/>
            </w:r>
            <w:r>
              <w:rPr>
                <w:rFonts w:hint="eastAsia" w:ascii="宋体" w:hAnsi="宋体" w:eastAsia="宋体" w:cs="宋体"/>
                <w:kern w:val="2"/>
                <w:lang w:val="zh-CN"/>
              </w:rPr>
              <w:t>联合体投标</w:t>
            </w:r>
          </w:p>
        </w:tc>
        <w:tc>
          <w:tcPr>
            <w:tcW w:w="7067" w:type="dxa"/>
            <w:vAlign w:val="center"/>
          </w:tcPr>
          <w:p w14:paraId="55AC95D0">
            <w:pPr>
              <w:pStyle w:val="34"/>
              <w:keepNext w:val="0"/>
              <w:keepLines w:val="0"/>
              <w:pageBreakBefore w:val="0"/>
              <w:kinsoku/>
              <w:wordWrap/>
              <w:overflowPunct/>
              <w:topLinePunct w:val="0"/>
              <w:bidi w:val="0"/>
              <w:spacing w:line="460" w:lineRule="exact"/>
              <w:ind w:left="0" w:right="0" w:rightChars="0" w:firstLine="482" w:firstLineChars="200"/>
              <w:jc w:val="left"/>
              <w:rPr>
                <w:rFonts w:hint="eastAsia" w:ascii="宋体" w:hAnsi="宋体" w:eastAsia="宋体" w:cs="宋体"/>
                <w:b/>
                <w:kern w:val="2"/>
                <w:lang w:val="zh-CN"/>
              </w:rPr>
            </w:pPr>
            <w:r>
              <w:rPr>
                <w:rFonts w:hint="eastAsia" w:ascii="宋体" w:hAnsi="宋体" w:eastAsia="宋体" w:cs="宋体"/>
                <w:b/>
                <w:kern w:val="2"/>
                <w:lang w:val="zh-CN"/>
              </w:rPr>
              <w:t>○接受</w:t>
            </w:r>
          </w:p>
          <w:p w14:paraId="24BF58BF">
            <w:pPr>
              <w:pStyle w:val="34"/>
              <w:keepNext w:val="0"/>
              <w:keepLines w:val="0"/>
              <w:pageBreakBefore w:val="0"/>
              <w:kinsoku/>
              <w:wordWrap/>
              <w:overflowPunct/>
              <w:topLinePunct w:val="0"/>
              <w:bidi w:val="0"/>
              <w:spacing w:line="460" w:lineRule="exact"/>
              <w:ind w:left="0" w:right="0" w:rightChars="0" w:firstLine="420" w:firstLineChars="200"/>
              <w:jc w:val="left"/>
              <w:rPr>
                <w:rFonts w:hint="eastAsia" w:ascii="宋体" w:hAnsi="宋体" w:eastAsia="宋体" w:cs="宋体"/>
                <w:b/>
                <w:kern w:val="2"/>
                <w:lang w:val="zh-CN"/>
              </w:rPr>
            </w:pPr>
            <w:r>
              <w:rPr>
                <w:rFonts w:hint="eastAsia" w:ascii="宋体" w:hAnsi="宋体" w:eastAsia="宋体" w:cs="宋体"/>
                <w:kern w:val="2"/>
                <w:sz w:val="21"/>
                <w:szCs w:val="21"/>
                <w:lang w:val="zh-CN"/>
              </w:rPr>
              <w:t>对于联合体协议或者分包意向协议约定小微企业的合同份额占到合同总金额30%以上的，大中型企业与小微企业组成联合体或者大中型企业向小微企业分包的报价</w:t>
            </w:r>
            <w:r>
              <w:rPr>
                <w:rFonts w:hint="eastAsia" w:ascii="宋体" w:hAnsi="宋体" w:eastAsia="宋体" w:cs="宋体"/>
                <w:b/>
                <w:kern w:val="2"/>
                <w:sz w:val="21"/>
                <w:szCs w:val="21"/>
                <w:lang w:val="zh-CN"/>
              </w:rPr>
              <w:t>给予</w:t>
            </w:r>
            <w:r>
              <w:rPr>
                <w:rFonts w:hint="eastAsia" w:ascii="宋体" w:hAnsi="宋体" w:cs="宋体"/>
                <w:b/>
                <w:sz w:val="24"/>
                <w:highlight w:val="none"/>
                <w:u w:val="single"/>
                <w:lang w:val="en-US" w:eastAsia="zh-CN"/>
              </w:rPr>
              <w:t xml:space="preserve"> / </w:t>
            </w:r>
            <w:r>
              <w:rPr>
                <w:rFonts w:hint="eastAsia" w:ascii="宋体" w:hAnsi="宋体" w:eastAsia="宋体" w:cs="宋体"/>
                <w:b/>
                <w:kern w:val="2"/>
                <w:sz w:val="21"/>
                <w:szCs w:val="21"/>
                <w:lang w:val="zh-CN"/>
              </w:rPr>
              <w:t>%（</w:t>
            </w:r>
            <w:r>
              <w:rPr>
                <w:rFonts w:hint="eastAsia" w:cs="宋体"/>
                <w:b/>
                <w:kern w:val="2"/>
                <w:sz w:val="21"/>
                <w:szCs w:val="21"/>
                <w:lang w:val="en-US" w:eastAsia="zh-CN"/>
              </w:rPr>
              <w:t>4%—6%</w:t>
            </w:r>
            <w:r>
              <w:rPr>
                <w:rFonts w:hint="eastAsia" w:cs="宋体"/>
                <w:b/>
                <w:kern w:val="2"/>
                <w:sz w:val="21"/>
                <w:szCs w:val="21"/>
                <w:lang w:val="zh-CN" w:eastAsia="zh-CN"/>
              </w:rPr>
              <w:t>）</w:t>
            </w:r>
            <w:r>
              <w:rPr>
                <w:rFonts w:hint="eastAsia" w:ascii="宋体" w:hAnsi="宋体" w:eastAsia="宋体" w:cs="宋体"/>
                <w:b/>
                <w:kern w:val="2"/>
                <w:sz w:val="21"/>
                <w:szCs w:val="21"/>
                <w:lang w:val="zh-CN"/>
              </w:rPr>
              <w:t>的扣除</w:t>
            </w:r>
            <w:r>
              <w:rPr>
                <w:rFonts w:hint="eastAsia" w:ascii="宋体" w:hAnsi="宋体" w:eastAsia="宋体" w:cs="宋体"/>
                <w:kern w:val="2"/>
                <w:sz w:val="21"/>
                <w:szCs w:val="21"/>
                <w:lang w:val="zh-CN"/>
              </w:rPr>
              <w:t>，用扣除后的报价参加评审。</w:t>
            </w:r>
          </w:p>
        </w:tc>
      </w:tr>
      <w:tr w14:paraId="44F8F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0D940244">
            <w:pPr>
              <w:keepNext w:val="0"/>
              <w:keepLines w:val="0"/>
              <w:pageBreakBefore w:val="0"/>
              <w:kinsoku/>
              <w:wordWrap/>
              <w:overflowPunct/>
              <w:topLinePunct w:val="0"/>
              <w:bidi w:val="0"/>
              <w:snapToGrid w:val="0"/>
              <w:spacing w:line="460" w:lineRule="exact"/>
              <w:ind w:left="0" w:right="0" w:rightChars="0" w:firstLine="480" w:firstLineChars="200"/>
              <w:jc w:val="center"/>
              <w:rPr>
                <w:rFonts w:hint="eastAsia" w:ascii="宋体" w:hAnsi="宋体" w:eastAsia="宋体" w:cs="宋体"/>
                <w:sz w:val="24"/>
              </w:rPr>
            </w:pPr>
          </w:p>
        </w:tc>
        <w:tc>
          <w:tcPr>
            <w:tcW w:w="1556" w:type="dxa"/>
            <w:vMerge w:val="continue"/>
            <w:vAlign w:val="center"/>
          </w:tcPr>
          <w:p w14:paraId="67F8D8A8">
            <w:pPr>
              <w:pStyle w:val="34"/>
              <w:keepNext w:val="0"/>
              <w:keepLines w:val="0"/>
              <w:pageBreakBefore w:val="0"/>
              <w:kinsoku/>
              <w:wordWrap/>
              <w:overflowPunct/>
              <w:topLinePunct w:val="0"/>
              <w:bidi w:val="0"/>
              <w:spacing w:line="460" w:lineRule="exact"/>
              <w:ind w:left="0" w:right="0" w:rightChars="0" w:firstLine="480" w:firstLineChars="200"/>
              <w:jc w:val="center"/>
              <w:rPr>
                <w:rFonts w:hint="eastAsia" w:ascii="宋体" w:hAnsi="宋体" w:eastAsia="宋体" w:cs="宋体"/>
                <w:kern w:val="2"/>
                <w:lang w:val="zh-CN"/>
              </w:rPr>
            </w:pPr>
          </w:p>
        </w:tc>
        <w:tc>
          <w:tcPr>
            <w:tcW w:w="7067" w:type="dxa"/>
            <w:vAlign w:val="center"/>
          </w:tcPr>
          <w:p w14:paraId="46B194A1">
            <w:pPr>
              <w:pStyle w:val="34"/>
              <w:keepNext w:val="0"/>
              <w:keepLines w:val="0"/>
              <w:pageBreakBefore w:val="0"/>
              <w:kinsoku/>
              <w:wordWrap/>
              <w:overflowPunct/>
              <w:topLinePunct w:val="0"/>
              <w:bidi w:val="0"/>
              <w:spacing w:line="460" w:lineRule="exact"/>
              <w:ind w:left="0" w:right="0" w:rightChars="0" w:firstLine="480" w:firstLineChars="200"/>
              <w:jc w:val="left"/>
              <w:rPr>
                <w:rFonts w:hint="eastAsia" w:ascii="宋体" w:hAnsi="宋体" w:eastAsia="宋体" w:cs="宋体"/>
                <w:b/>
                <w:kern w:val="2"/>
                <w:lang w:val="zh-CN"/>
              </w:rPr>
            </w:pPr>
            <w:r>
              <w:rPr>
                <w:rFonts w:hint="eastAsia" w:ascii="宋体" w:hAnsi="宋体" w:eastAsia="宋体" w:cs="宋体"/>
                <w:sz w:val="24"/>
                <w:szCs w:val="24"/>
              </w:rPr>
              <w:t>√</w:t>
            </w:r>
            <w:r>
              <w:rPr>
                <w:rFonts w:hint="eastAsia" w:ascii="宋体" w:hAnsi="宋体" w:eastAsia="宋体" w:cs="宋体"/>
                <w:b/>
                <w:kern w:val="2"/>
                <w:lang w:val="zh-CN"/>
              </w:rPr>
              <w:t>不接受</w:t>
            </w:r>
          </w:p>
        </w:tc>
      </w:tr>
      <w:tr w14:paraId="28562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7654E464">
            <w:pPr>
              <w:keepNext w:val="0"/>
              <w:keepLines w:val="0"/>
              <w:pageBreakBefore w:val="0"/>
              <w:kinsoku/>
              <w:wordWrap/>
              <w:overflowPunct/>
              <w:topLinePunct w:val="0"/>
              <w:bidi w:val="0"/>
              <w:snapToGrid w:val="0"/>
              <w:spacing w:line="460" w:lineRule="exact"/>
              <w:ind w:right="0" w:rightChars="0"/>
              <w:jc w:val="both"/>
              <w:rPr>
                <w:rFonts w:hint="default" w:ascii="宋体" w:hAnsi="宋体" w:eastAsia="宋体" w:cs="宋体"/>
                <w:sz w:val="24"/>
                <w:lang w:val="en-US" w:eastAsia="zh-CN"/>
              </w:rPr>
            </w:pPr>
            <w:r>
              <w:rPr>
                <w:rFonts w:hint="eastAsia" w:ascii="宋体" w:hAnsi="宋体" w:cs="宋体"/>
                <w:sz w:val="24"/>
                <w:lang w:val="en-US" w:eastAsia="zh-CN"/>
              </w:rPr>
              <w:t>11</w:t>
            </w:r>
          </w:p>
        </w:tc>
        <w:tc>
          <w:tcPr>
            <w:tcW w:w="1556" w:type="dxa"/>
            <w:vMerge w:val="restart"/>
            <w:vAlign w:val="center"/>
          </w:tcPr>
          <w:p w14:paraId="3B1E6B2F">
            <w:pPr>
              <w:pStyle w:val="34"/>
              <w:keepNext w:val="0"/>
              <w:keepLines w:val="0"/>
              <w:pageBreakBefore w:val="0"/>
              <w:kinsoku/>
              <w:wordWrap/>
              <w:overflowPunct/>
              <w:topLinePunct w:val="0"/>
              <w:bidi w:val="0"/>
              <w:spacing w:line="460" w:lineRule="exact"/>
              <w:ind w:right="0" w:rightChars="0"/>
              <w:jc w:val="both"/>
              <w:rPr>
                <w:rFonts w:hint="eastAsia" w:ascii="宋体" w:hAnsi="宋体" w:eastAsia="宋体" w:cs="宋体"/>
                <w:kern w:val="2"/>
                <w:highlight w:val="none"/>
                <w:lang w:val="zh-CN"/>
              </w:rPr>
            </w:pPr>
            <w:r>
              <w:rPr>
                <w:rFonts w:hint="eastAsia" w:ascii="宋体" w:hAnsi="宋体" w:eastAsia="宋体" w:cs="宋体"/>
                <w:kern w:val="2"/>
                <w:highlight w:val="none"/>
                <w:lang w:val="zh-CN"/>
              </w:rPr>
              <w:t>履约保证金</w:t>
            </w:r>
          </w:p>
        </w:tc>
        <w:tc>
          <w:tcPr>
            <w:tcW w:w="7067" w:type="dxa"/>
            <w:vAlign w:val="center"/>
          </w:tcPr>
          <w:p w14:paraId="3136EE9A">
            <w:pPr>
              <w:keepNext w:val="0"/>
              <w:keepLines w:val="0"/>
              <w:pageBreakBefore w:val="0"/>
              <w:kinsoku/>
              <w:wordWrap/>
              <w:overflowPunct/>
              <w:topLinePunct w:val="0"/>
              <w:bidi w:val="0"/>
              <w:spacing w:line="460" w:lineRule="exact"/>
              <w:ind w:left="0" w:right="0" w:rightChars="0" w:firstLine="482" w:firstLineChars="200"/>
              <w:jc w:val="left"/>
              <w:rPr>
                <w:rFonts w:hint="eastAsia" w:ascii="宋体" w:hAnsi="宋体" w:eastAsia="宋体" w:cs="宋体"/>
                <w:b/>
                <w:sz w:val="24"/>
                <w:highlight w:val="none"/>
              </w:rPr>
            </w:pPr>
            <w:r>
              <w:rPr>
                <w:rFonts w:hint="eastAsia" w:ascii="宋体" w:hAnsi="宋体" w:eastAsia="宋体" w:cs="宋体"/>
                <w:b/>
                <w:sz w:val="24"/>
                <w:highlight w:val="none"/>
              </w:rPr>
              <w:t>占政府采购合同金额的</w:t>
            </w:r>
            <w:r>
              <w:rPr>
                <w:rFonts w:hint="eastAsia" w:ascii="宋体" w:hAnsi="宋体" w:cs="宋体"/>
                <w:b/>
                <w:sz w:val="24"/>
                <w:highlight w:val="none"/>
                <w:u w:val="single"/>
                <w:lang w:val="en-US" w:eastAsia="zh-CN"/>
              </w:rPr>
              <w:t xml:space="preserve">  /  </w:t>
            </w:r>
            <w:r>
              <w:rPr>
                <w:rFonts w:hint="eastAsia" w:ascii="宋体" w:hAnsi="宋体" w:eastAsia="宋体" w:cs="宋体"/>
                <w:b/>
                <w:sz w:val="24"/>
                <w:highlight w:val="none"/>
              </w:rPr>
              <w:t>%</w:t>
            </w:r>
          </w:p>
          <w:p w14:paraId="6D5B0B4E">
            <w:pPr>
              <w:keepNext w:val="0"/>
              <w:keepLines w:val="0"/>
              <w:pageBreakBefore w:val="0"/>
              <w:kinsoku/>
              <w:wordWrap/>
              <w:overflowPunct/>
              <w:topLinePunct w:val="0"/>
              <w:bidi w:val="0"/>
              <w:spacing w:line="460" w:lineRule="exact"/>
              <w:ind w:left="0" w:right="0" w:rightChars="0"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履约保证金的数额不得超过政府采购合同金额的10%；对于单价合同，其数额不得超过采购预算的10%</w:t>
            </w:r>
          </w:p>
        </w:tc>
      </w:tr>
      <w:tr w14:paraId="7C86A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69DCBFE7">
            <w:pPr>
              <w:keepNext w:val="0"/>
              <w:keepLines w:val="0"/>
              <w:pageBreakBefore w:val="0"/>
              <w:kinsoku/>
              <w:wordWrap/>
              <w:overflowPunct/>
              <w:topLinePunct w:val="0"/>
              <w:bidi w:val="0"/>
              <w:snapToGrid w:val="0"/>
              <w:spacing w:line="460" w:lineRule="exact"/>
              <w:ind w:left="0" w:right="0" w:rightChars="0" w:firstLine="480" w:firstLineChars="200"/>
              <w:jc w:val="center"/>
              <w:rPr>
                <w:rFonts w:hint="eastAsia" w:ascii="宋体" w:hAnsi="宋体" w:eastAsia="宋体" w:cs="宋体"/>
                <w:sz w:val="24"/>
              </w:rPr>
            </w:pPr>
          </w:p>
        </w:tc>
        <w:tc>
          <w:tcPr>
            <w:tcW w:w="1556" w:type="dxa"/>
            <w:vMerge w:val="continue"/>
            <w:vAlign w:val="center"/>
          </w:tcPr>
          <w:p w14:paraId="25D5B229">
            <w:pPr>
              <w:pStyle w:val="34"/>
              <w:keepNext w:val="0"/>
              <w:keepLines w:val="0"/>
              <w:pageBreakBefore w:val="0"/>
              <w:kinsoku/>
              <w:wordWrap/>
              <w:overflowPunct/>
              <w:topLinePunct w:val="0"/>
              <w:bidi w:val="0"/>
              <w:spacing w:line="460" w:lineRule="exact"/>
              <w:ind w:left="0" w:right="0" w:rightChars="0" w:firstLine="480" w:firstLineChars="200"/>
              <w:jc w:val="center"/>
              <w:rPr>
                <w:rFonts w:hint="eastAsia" w:ascii="宋体" w:hAnsi="宋体" w:eastAsia="宋体" w:cs="宋体"/>
                <w:kern w:val="2"/>
                <w:highlight w:val="none"/>
                <w:lang w:val="zh-CN"/>
              </w:rPr>
            </w:pPr>
          </w:p>
        </w:tc>
        <w:tc>
          <w:tcPr>
            <w:tcW w:w="7067" w:type="dxa"/>
            <w:vAlign w:val="center"/>
          </w:tcPr>
          <w:p w14:paraId="61A16156">
            <w:pPr>
              <w:keepNext w:val="0"/>
              <w:keepLines w:val="0"/>
              <w:pageBreakBefore w:val="0"/>
              <w:kinsoku/>
              <w:wordWrap/>
              <w:overflowPunct/>
              <w:topLinePunct w:val="0"/>
              <w:bidi w:val="0"/>
              <w:spacing w:line="460" w:lineRule="exact"/>
              <w:ind w:left="0" w:right="0" w:rightChars="0" w:firstLine="482" w:firstLineChars="200"/>
              <w:jc w:val="left"/>
              <w:rPr>
                <w:rFonts w:hint="eastAsia" w:ascii="宋体" w:hAnsi="宋体" w:eastAsia="宋体" w:cs="宋体"/>
                <w:b/>
                <w:sz w:val="24"/>
                <w:highlight w:val="none"/>
              </w:rPr>
            </w:pPr>
            <w:r>
              <w:rPr>
                <w:rFonts w:hint="eastAsia" w:ascii="宋体" w:hAnsi="宋体" w:eastAsia="宋体" w:cs="宋体"/>
                <w:b/>
                <w:sz w:val="24"/>
                <w:highlight w:val="none"/>
              </w:rPr>
              <w:t>○由采购单位自行收退</w:t>
            </w:r>
          </w:p>
          <w:p w14:paraId="1ABE8A0D">
            <w:pPr>
              <w:keepNext w:val="0"/>
              <w:keepLines w:val="0"/>
              <w:pageBreakBefore w:val="0"/>
              <w:kinsoku/>
              <w:wordWrap/>
              <w:overflowPunct/>
              <w:topLinePunct w:val="0"/>
              <w:bidi w:val="0"/>
              <w:spacing w:line="460" w:lineRule="exact"/>
              <w:ind w:left="0" w:right="0" w:rightChars="0" w:firstLine="482" w:firstLineChars="200"/>
              <w:jc w:val="left"/>
              <w:rPr>
                <w:rFonts w:hint="eastAsia" w:ascii="宋体" w:hAnsi="宋体" w:eastAsia="宋体" w:cs="宋体"/>
                <w:b/>
                <w:sz w:val="24"/>
                <w:highlight w:val="none"/>
              </w:rPr>
            </w:pPr>
            <w:r>
              <w:rPr>
                <w:rFonts w:hint="eastAsia" w:ascii="宋体" w:hAnsi="宋体" w:eastAsia="宋体" w:cs="宋体"/>
                <w:b/>
                <w:sz w:val="24"/>
                <w:highlight w:val="none"/>
              </w:rPr>
              <w:t>○由代理机构负责收退</w:t>
            </w:r>
          </w:p>
        </w:tc>
      </w:tr>
      <w:tr w14:paraId="3E4C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69BECC74">
            <w:pPr>
              <w:keepNext w:val="0"/>
              <w:keepLines w:val="0"/>
              <w:pageBreakBefore w:val="0"/>
              <w:kinsoku/>
              <w:wordWrap/>
              <w:overflowPunct/>
              <w:topLinePunct w:val="0"/>
              <w:bidi w:val="0"/>
              <w:snapToGrid w:val="0"/>
              <w:spacing w:line="460" w:lineRule="exact"/>
              <w:ind w:right="0" w:rightChars="0"/>
              <w:jc w:val="both"/>
              <w:rPr>
                <w:rFonts w:hint="default" w:ascii="宋体" w:hAnsi="宋体" w:eastAsia="宋体" w:cs="宋体"/>
                <w:sz w:val="24"/>
                <w:lang w:val="en-US" w:eastAsia="zh-CN"/>
              </w:rPr>
            </w:pPr>
            <w:r>
              <w:rPr>
                <w:rFonts w:hint="eastAsia" w:ascii="宋体" w:hAnsi="宋体" w:cs="宋体"/>
                <w:sz w:val="24"/>
                <w:lang w:val="en-US" w:eastAsia="zh-CN"/>
              </w:rPr>
              <w:t>12</w:t>
            </w:r>
          </w:p>
        </w:tc>
        <w:tc>
          <w:tcPr>
            <w:tcW w:w="1556" w:type="dxa"/>
            <w:vAlign w:val="center"/>
          </w:tcPr>
          <w:p w14:paraId="54D343D2">
            <w:pPr>
              <w:pStyle w:val="34"/>
              <w:keepNext w:val="0"/>
              <w:keepLines w:val="0"/>
              <w:pageBreakBefore w:val="0"/>
              <w:kinsoku/>
              <w:wordWrap/>
              <w:overflowPunct/>
              <w:topLinePunct w:val="0"/>
              <w:bidi w:val="0"/>
              <w:spacing w:line="460" w:lineRule="exact"/>
              <w:ind w:right="0" w:rightChars="0"/>
              <w:jc w:val="both"/>
              <w:rPr>
                <w:rFonts w:hint="eastAsia" w:ascii="宋体" w:hAnsi="宋体" w:eastAsia="宋体" w:cs="宋体"/>
                <w:kern w:val="2"/>
                <w:lang w:val="zh-CN"/>
              </w:rPr>
            </w:pPr>
            <w:r>
              <w:rPr>
                <w:rFonts w:hint="eastAsia" w:ascii="宋体" w:hAnsi="宋体" w:eastAsia="宋体" w:cs="宋体"/>
                <w:kern w:val="2"/>
                <w:lang w:val="zh-CN"/>
              </w:rPr>
              <w:t>集中答疑</w:t>
            </w:r>
          </w:p>
        </w:tc>
        <w:tc>
          <w:tcPr>
            <w:tcW w:w="7067" w:type="dxa"/>
            <w:vAlign w:val="center"/>
          </w:tcPr>
          <w:p w14:paraId="6EE1C819">
            <w:pPr>
              <w:keepNext w:val="0"/>
              <w:keepLines w:val="0"/>
              <w:pageBreakBefore w:val="0"/>
              <w:kinsoku/>
              <w:wordWrap/>
              <w:overflowPunct/>
              <w:topLinePunct w:val="0"/>
              <w:bidi w:val="0"/>
              <w:spacing w:line="460" w:lineRule="exact"/>
              <w:ind w:left="0" w:right="0" w:rightChars="0" w:firstLine="482" w:firstLineChars="200"/>
              <w:jc w:val="left"/>
              <w:rPr>
                <w:rFonts w:hint="eastAsia" w:ascii="宋体" w:hAnsi="宋体" w:eastAsia="宋体" w:cs="宋体"/>
                <w:b/>
                <w:sz w:val="24"/>
              </w:rPr>
            </w:pPr>
            <w:r>
              <w:rPr>
                <w:rFonts w:hint="eastAsia" w:ascii="宋体" w:hAnsi="宋体" w:eastAsia="宋体" w:cs="宋体"/>
                <w:b/>
                <w:sz w:val="24"/>
              </w:rPr>
              <w:t>○组织，答疑地点为：</w:t>
            </w:r>
            <w:r>
              <w:rPr>
                <w:rFonts w:hint="eastAsia" w:ascii="宋体" w:hAnsi="宋体" w:cs="宋体"/>
                <w:b/>
                <w:sz w:val="24"/>
                <w:highlight w:val="none"/>
                <w:u w:val="single"/>
                <w:lang w:val="en-US" w:eastAsia="zh-CN"/>
              </w:rPr>
              <w:t xml:space="preserve"> / </w:t>
            </w:r>
          </w:p>
          <w:p w14:paraId="78D11A85">
            <w:pPr>
              <w:keepNext w:val="0"/>
              <w:keepLines w:val="0"/>
              <w:pageBreakBefore w:val="0"/>
              <w:kinsoku/>
              <w:wordWrap/>
              <w:overflowPunct/>
              <w:topLinePunct w:val="0"/>
              <w:bidi w:val="0"/>
              <w:spacing w:line="460" w:lineRule="exact"/>
              <w:ind w:left="0" w:right="0" w:rightChars="0" w:firstLine="480" w:firstLineChars="200"/>
              <w:jc w:val="left"/>
              <w:rPr>
                <w:rFonts w:hint="eastAsia" w:ascii="宋体" w:hAnsi="宋体" w:eastAsia="宋体" w:cs="宋体"/>
                <w:b/>
                <w:sz w:val="24"/>
              </w:rPr>
            </w:pPr>
            <w:r>
              <w:rPr>
                <w:rFonts w:hint="eastAsia" w:ascii="宋体" w:hAnsi="宋体" w:eastAsia="宋体" w:cs="宋体"/>
                <w:sz w:val="24"/>
                <w:szCs w:val="24"/>
              </w:rPr>
              <w:t>√</w:t>
            </w:r>
            <w:r>
              <w:rPr>
                <w:rFonts w:hint="eastAsia" w:ascii="宋体" w:hAnsi="宋体" w:eastAsia="宋体" w:cs="宋体"/>
                <w:b/>
                <w:sz w:val="24"/>
              </w:rPr>
              <w:t>不组织</w:t>
            </w:r>
          </w:p>
        </w:tc>
      </w:tr>
      <w:tr w14:paraId="22B46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6C74FEEB">
            <w:pPr>
              <w:keepNext w:val="0"/>
              <w:keepLines w:val="0"/>
              <w:pageBreakBefore w:val="0"/>
              <w:kinsoku/>
              <w:wordWrap/>
              <w:overflowPunct/>
              <w:topLinePunct w:val="0"/>
              <w:bidi w:val="0"/>
              <w:snapToGrid w:val="0"/>
              <w:spacing w:line="460" w:lineRule="exact"/>
              <w:ind w:right="0" w:rightChars="0"/>
              <w:jc w:val="both"/>
              <w:rPr>
                <w:rFonts w:hint="default" w:ascii="宋体" w:hAnsi="宋体" w:eastAsia="宋体" w:cs="宋体"/>
                <w:sz w:val="24"/>
                <w:lang w:val="en-US" w:eastAsia="zh-CN"/>
              </w:rPr>
            </w:pPr>
            <w:r>
              <w:rPr>
                <w:rFonts w:hint="eastAsia" w:ascii="宋体" w:hAnsi="宋体" w:cs="宋体"/>
                <w:sz w:val="24"/>
                <w:lang w:val="en-US" w:eastAsia="zh-CN"/>
              </w:rPr>
              <w:t>13</w:t>
            </w:r>
          </w:p>
        </w:tc>
        <w:tc>
          <w:tcPr>
            <w:tcW w:w="1556" w:type="dxa"/>
            <w:vAlign w:val="center"/>
          </w:tcPr>
          <w:p w14:paraId="1695AB0A">
            <w:pPr>
              <w:pStyle w:val="34"/>
              <w:keepNext w:val="0"/>
              <w:keepLines w:val="0"/>
              <w:pageBreakBefore w:val="0"/>
              <w:kinsoku/>
              <w:wordWrap/>
              <w:overflowPunct/>
              <w:topLinePunct w:val="0"/>
              <w:bidi w:val="0"/>
              <w:spacing w:line="460" w:lineRule="exact"/>
              <w:ind w:right="0" w:rightChars="0"/>
              <w:jc w:val="both"/>
              <w:rPr>
                <w:rFonts w:hint="eastAsia" w:ascii="宋体" w:hAnsi="宋体" w:eastAsia="宋体" w:cs="宋体"/>
                <w:kern w:val="2"/>
                <w:lang w:val="zh-CN"/>
              </w:rPr>
            </w:pPr>
            <w:r>
              <w:rPr>
                <w:rFonts w:hint="eastAsia" w:ascii="宋体" w:hAnsi="宋体" w:eastAsia="宋体" w:cs="宋体"/>
                <w:kern w:val="2"/>
                <w:lang w:val="zh-CN"/>
              </w:rPr>
              <w:t>价格分比重</w:t>
            </w:r>
          </w:p>
        </w:tc>
        <w:tc>
          <w:tcPr>
            <w:tcW w:w="7067" w:type="dxa"/>
            <w:vAlign w:val="center"/>
          </w:tcPr>
          <w:p w14:paraId="782FE466">
            <w:pPr>
              <w:keepNext w:val="0"/>
              <w:keepLines w:val="0"/>
              <w:pageBreakBefore w:val="0"/>
              <w:widowControl/>
              <w:kinsoku/>
              <w:wordWrap/>
              <w:overflowPunct/>
              <w:topLinePunct w:val="0"/>
              <w:bidi w:val="0"/>
              <w:spacing w:line="460" w:lineRule="exact"/>
              <w:ind w:left="0" w:right="0" w:rightChars="0" w:firstLine="482" w:firstLineChars="200"/>
              <w:jc w:val="left"/>
              <w:rPr>
                <w:rFonts w:hint="eastAsia" w:ascii="宋体" w:hAnsi="宋体" w:eastAsia="宋体" w:cs="宋体"/>
                <w:b/>
                <w:kern w:val="0"/>
                <w:sz w:val="24"/>
                <w:szCs w:val="24"/>
                <w:lang w:val="zh-CN"/>
              </w:rPr>
            </w:pPr>
            <w:r>
              <w:rPr>
                <w:rFonts w:hint="eastAsia" w:ascii="宋体" w:hAnsi="宋体" w:eastAsia="宋体" w:cs="宋体"/>
                <w:b/>
                <w:kern w:val="0"/>
                <w:sz w:val="24"/>
                <w:szCs w:val="24"/>
                <w:lang w:val="zh-CN"/>
              </w:rPr>
              <w:t>占总分值的</w:t>
            </w:r>
            <w:r>
              <w:rPr>
                <w:rFonts w:hint="eastAsia" w:ascii="宋体" w:hAnsi="宋体" w:eastAsia="宋体" w:cs="宋体"/>
                <w:b/>
                <w:kern w:val="0"/>
                <w:sz w:val="24"/>
                <w:szCs w:val="24"/>
                <w:u w:val="single"/>
                <w:lang w:val="en-US" w:eastAsia="zh-CN"/>
              </w:rPr>
              <w:t xml:space="preserve"> </w:t>
            </w:r>
            <w:r>
              <w:rPr>
                <w:rFonts w:hint="eastAsia" w:ascii="宋体" w:hAnsi="宋体" w:cs="宋体"/>
                <w:b/>
                <w:kern w:val="0"/>
                <w:sz w:val="24"/>
                <w:szCs w:val="24"/>
                <w:u w:val="single"/>
                <w:lang w:val="en-US" w:eastAsia="zh-CN"/>
              </w:rPr>
              <w:t>1</w:t>
            </w:r>
            <w:r>
              <w:rPr>
                <w:rFonts w:hint="eastAsia" w:ascii="宋体" w:hAnsi="宋体" w:eastAsia="宋体" w:cs="宋体"/>
                <w:b/>
                <w:kern w:val="0"/>
                <w:sz w:val="24"/>
                <w:szCs w:val="24"/>
                <w:u w:val="single"/>
                <w:lang w:val="en-US" w:eastAsia="zh-CN"/>
              </w:rPr>
              <w:t xml:space="preserve">0 </w:t>
            </w:r>
            <w:r>
              <w:rPr>
                <w:rFonts w:hint="eastAsia" w:ascii="宋体" w:hAnsi="宋体" w:eastAsia="宋体" w:cs="宋体"/>
                <w:b/>
                <w:kern w:val="0"/>
                <w:sz w:val="24"/>
                <w:szCs w:val="24"/>
                <w:lang w:val="zh-CN"/>
              </w:rPr>
              <w:t>%</w:t>
            </w:r>
          </w:p>
          <w:p w14:paraId="3611BA75">
            <w:pPr>
              <w:keepNext w:val="0"/>
              <w:keepLines w:val="0"/>
              <w:pageBreakBefore w:val="0"/>
              <w:widowControl/>
              <w:kinsoku/>
              <w:wordWrap/>
              <w:overflowPunct/>
              <w:topLinePunct w:val="0"/>
              <w:bidi w:val="0"/>
              <w:spacing w:line="460" w:lineRule="exact"/>
              <w:ind w:left="0" w:right="0" w:rightChars="0" w:firstLine="420" w:firstLineChars="200"/>
              <w:jc w:val="both"/>
              <w:rPr>
                <w:rFonts w:hint="eastAsia" w:ascii="宋体" w:hAnsi="宋体" w:eastAsia="宋体" w:cs="宋体"/>
                <w:kern w:val="0"/>
                <w:szCs w:val="21"/>
                <w:lang w:val="zh-CN"/>
              </w:rPr>
            </w:pPr>
            <w:r>
              <w:rPr>
                <w:rFonts w:hint="eastAsia" w:ascii="宋体" w:hAnsi="宋体" w:eastAsia="宋体" w:cs="宋体"/>
                <w:kern w:val="0"/>
                <w:szCs w:val="21"/>
                <w:lang w:val="zh-CN"/>
              </w:rPr>
              <w:t>[招标]根据《政府采购货物和服务招标投标管理办法》（财政部87号令）的规定，综合评分法服务项目的价格分值占总分值的比重不得低于10%。执行国家统一定价标准和采用固定价格采购的项目，其价格不列为评审因素。</w:t>
            </w:r>
          </w:p>
          <w:p w14:paraId="29E939BE">
            <w:pPr>
              <w:keepNext w:val="0"/>
              <w:keepLines w:val="0"/>
              <w:pageBreakBefore w:val="0"/>
              <w:widowControl/>
              <w:kinsoku/>
              <w:wordWrap/>
              <w:overflowPunct/>
              <w:topLinePunct w:val="0"/>
              <w:bidi w:val="0"/>
              <w:spacing w:line="460" w:lineRule="exact"/>
              <w:ind w:left="0" w:right="0" w:rightChars="0" w:firstLine="420" w:firstLineChars="200"/>
              <w:jc w:val="both"/>
              <w:rPr>
                <w:rFonts w:hint="eastAsia" w:ascii="宋体" w:hAnsi="宋体" w:eastAsia="宋体" w:cs="宋体"/>
                <w:kern w:val="0"/>
                <w:szCs w:val="21"/>
                <w:lang w:val="zh-CN"/>
              </w:rPr>
            </w:pPr>
            <w:r>
              <w:rPr>
                <w:rFonts w:hint="eastAsia" w:ascii="宋体" w:hAnsi="宋体" w:eastAsia="宋体" w:cs="宋体"/>
                <w:kern w:val="0"/>
                <w:szCs w:val="21"/>
                <w:lang w:val="zh-CN"/>
              </w:rPr>
              <w:t>[磋商]根据《政府采购竞争性磋商采购方式管理暂行办法》（财库〔2014〕214号）的规定，服务项目的价格分值占总分值的比重(即权值)为10%-30%。</w:t>
            </w:r>
          </w:p>
          <w:p w14:paraId="70AFA156">
            <w:pPr>
              <w:keepNext w:val="0"/>
              <w:keepLines w:val="0"/>
              <w:pageBreakBefore w:val="0"/>
              <w:widowControl/>
              <w:kinsoku/>
              <w:wordWrap/>
              <w:overflowPunct/>
              <w:topLinePunct w:val="0"/>
              <w:bidi w:val="0"/>
              <w:spacing w:line="460" w:lineRule="exact"/>
              <w:ind w:left="0" w:right="0" w:rightChars="0" w:firstLine="420" w:firstLineChars="200"/>
              <w:jc w:val="both"/>
              <w:rPr>
                <w:rFonts w:hint="eastAsia" w:ascii="宋体" w:hAnsi="宋体" w:eastAsia="宋体" w:cs="宋体"/>
                <w:kern w:val="0"/>
                <w:szCs w:val="21"/>
                <w:lang w:val="zh-CN"/>
              </w:rPr>
            </w:pPr>
            <w:r>
              <w:rPr>
                <w:rFonts w:hint="eastAsia" w:ascii="宋体" w:hAnsi="宋体" w:eastAsia="宋体" w:cs="宋体"/>
                <w:kern w:val="0"/>
                <w:szCs w:val="21"/>
                <w:lang w:val="zh-CN"/>
              </w:rPr>
              <w:t>[其他采购方式]无须设置。</w:t>
            </w:r>
          </w:p>
        </w:tc>
      </w:tr>
      <w:tr w14:paraId="39253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7DB36BC8">
            <w:pPr>
              <w:keepNext w:val="0"/>
              <w:keepLines w:val="0"/>
              <w:pageBreakBefore w:val="0"/>
              <w:kinsoku/>
              <w:wordWrap/>
              <w:overflowPunct/>
              <w:topLinePunct w:val="0"/>
              <w:bidi w:val="0"/>
              <w:snapToGrid w:val="0"/>
              <w:spacing w:line="460" w:lineRule="exact"/>
              <w:ind w:right="0" w:rightChars="0"/>
              <w:jc w:val="both"/>
              <w:rPr>
                <w:rFonts w:hint="default" w:ascii="宋体" w:hAnsi="宋体" w:eastAsia="宋体" w:cs="宋体"/>
                <w:sz w:val="24"/>
                <w:lang w:val="en-US" w:eastAsia="zh-CN"/>
              </w:rPr>
            </w:pPr>
            <w:r>
              <w:rPr>
                <w:rFonts w:hint="eastAsia" w:ascii="宋体" w:hAnsi="宋体" w:cs="宋体"/>
                <w:sz w:val="24"/>
                <w:lang w:val="en-US" w:eastAsia="zh-CN"/>
              </w:rPr>
              <w:t>14</w:t>
            </w:r>
          </w:p>
        </w:tc>
        <w:tc>
          <w:tcPr>
            <w:tcW w:w="1556" w:type="dxa"/>
            <w:vAlign w:val="center"/>
          </w:tcPr>
          <w:p w14:paraId="280D82E8">
            <w:pPr>
              <w:pStyle w:val="34"/>
              <w:keepNext w:val="0"/>
              <w:keepLines w:val="0"/>
              <w:pageBreakBefore w:val="0"/>
              <w:kinsoku/>
              <w:wordWrap/>
              <w:overflowPunct/>
              <w:topLinePunct w:val="0"/>
              <w:bidi w:val="0"/>
              <w:spacing w:line="460" w:lineRule="exact"/>
              <w:ind w:right="0" w:rightChars="0"/>
              <w:jc w:val="both"/>
              <w:rPr>
                <w:rFonts w:hint="eastAsia" w:ascii="宋体" w:hAnsi="宋体" w:eastAsia="宋体" w:cs="宋体"/>
                <w:kern w:val="2"/>
                <w:lang w:val="zh-CN"/>
              </w:rPr>
            </w:pPr>
            <w:r>
              <w:rPr>
                <w:rFonts w:hint="eastAsia" w:ascii="宋体" w:hAnsi="宋体" w:eastAsia="宋体" w:cs="宋体"/>
                <w:kern w:val="2"/>
                <w:lang w:val="zh-CN"/>
              </w:rPr>
              <w:t>合同类型</w:t>
            </w:r>
          </w:p>
        </w:tc>
        <w:tc>
          <w:tcPr>
            <w:tcW w:w="7067" w:type="dxa"/>
            <w:vAlign w:val="center"/>
          </w:tcPr>
          <w:p w14:paraId="07EFF553">
            <w:pPr>
              <w:keepNext w:val="0"/>
              <w:keepLines w:val="0"/>
              <w:pageBreakBefore w:val="0"/>
              <w:kinsoku/>
              <w:wordWrap/>
              <w:overflowPunct/>
              <w:topLinePunct w:val="0"/>
              <w:bidi w:val="0"/>
              <w:spacing w:line="460" w:lineRule="exact"/>
              <w:ind w:left="0" w:right="0" w:rightChars="0" w:firstLine="480" w:firstLineChars="200"/>
              <w:jc w:val="left"/>
              <w:rPr>
                <w:rFonts w:hint="eastAsia" w:ascii="宋体" w:hAnsi="宋体" w:eastAsia="宋体" w:cs="宋体"/>
                <w:b/>
                <w:sz w:val="24"/>
                <w:lang w:val="zh-CN"/>
              </w:rPr>
            </w:pPr>
            <w:r>
              <w:rPr>
                <w:rFonts w:hint="eastAsia" w:ascii="宋体" w:hAnsi="宋体" w:eastAsia="宋体" w:cs="宋体"/>
                <w:sz w:val="24"/>
                <w:szCs w:val="24"/>
              </w:rPr>
              <w:t>√</w:t>
            </w:r>
            <w:r>
              <w:rPr>
                <w:rFonts w:hint="eastAsia" w:ascii="宋体" w:hAnsi="宋体" w:eastAsia="宋体" w:cs="宋体"/>
                <w:b/>
                <w:sz w:val="24"/>
                <w:lang w:val="zh-CN"/>
              </w:rPr>
              <w:t>固定总价</w:t>
            </w:r>
          </w:p>
          <w:p w14:paraId="34036F74">
            <w:pPr>
              <w:keepNext w:val="0"/>
              <w:keepLines w:val="0"/>
              <w:pageBreakBefore w:val="0"/>
              <w:kinsoku/>
              <w:wordWrap/>
              <w:overflowPunct/>
              <w:topLinePunct w:val="0"/>
              <w:bidi w:val="0"/>
              <w:spacing w:line="460" w:lineRule="exact"/>
              <w:ind w:left="0" w:right="0" w:rightChars="0" w:firstLine="482" w:firstLineChars="200"/>
              <w:jc w:val="left"/>
              <w:rPr>
                <w:rFonts w:hint="eastAsia" w:ascii="宋体" w:hAnsi="宋体" w:eastAsia="宋体" w:cs="宋体"/>
                <w:b/>
                <w:sz w:val="24"/>
                <w:lang w:val="zh-CN"/>
              </w:rPr>
            </w:pPr>
            <w:r>
              <w:rPr>
                <w:rFonts w:hint="eastAsia" w:ascii="宋体" w:hAnsi="宋体" w:eastAsia="宋体" w:cs="宋体"/>
                <w:b/>
                <w:sz w:val="24"/>
                <w:lang w:val="zh-CN"/>
              </w:rPr>
              <w:t>○固定单价（适用于采购数量不定的情形）</w:t>
            </w:r>
          </w:p>
          <w:p w14:paraId="06887E25">
            <w:pPr>
              <w:keepNext w:val="0"/>
              <w:keepLines w:val="0"/>
              <w:pageBreakBefore w:val="0"/>
              <w:widowControl/>
              <w:kinsoku/>
              <w:wordWrap/>
              <w:overflowPunct/>
              <w:topLinePunct w:val="0"/>
              <w:autoSpaceDE/>
              <w:autoSpaceDN/>
              <w:bidi w:val="0"/>
              <w:adjustRightInd/>
              <w:snapToGrid/>
              <w:spacing w:line="460" w:lineRule="exact"/>
              <w:ind w:left="0" w:right="0" w:rightChars="0" w:firstLine="482" w:firstLineChars="200"/>
              <w:textAlignment w:val="auto"/>
              <w:rPr>
                <w:rFonts w:hint="eastAsia" w:ascii="宋体" w:hAnsi="宋体" w:eastAsia="宋体" w:cs="宋体"/>
                <w:sz w:val="24"/>
                <w:lang w:val="zh-CN"/>
              </w:rPr>
            </w:pPr>
            <w:r>
              <w:rPr>
                <w:rFonts w:hint="eastAsia" w:ascii="宋体" w:hAnsi="宋体" w:eastAsia="宋体" w:cs="宋体"/>
                <w:b/>
                <w:sz w:val="24"/>
                <w:lang w:val="zh-CN"/>
              </w:rPr>
              <w:t>○其他：</w:t>
            </w:r>
            <w:r>
              <w:rPr>
                <w:rFonts w:hint="eastAsia" w:ascii="宋体" w:hAnsi="宋体" w:cs="宋体"/>
                <w:b/>
                <w:sz w:val="24"/>
                <w:u w:val="single"/>
                <w:lang w:val="en-US" w:eastAsia="zh-CN"/>
              </w:rPr>
              <w:t xml:space="preserve">  /</w:t>
            </w:r>
            <w:r>
              <w:rPr>
                <w:rFonts w:hint="eastAsia" w:ascii="宋体" w:hAnsi="宋体" w:eastAsia="宋体" w:cs="宋体"/>
                <w:sz w:val="28"/>
                <w:szCs w:val="28"/>
                <w:u w:val="single"/>
                <w:lang w:val="zh-CN" w:eastAsia="zh-CN"/>
              </w:rPr>
              <w:t>。</w:t>
            </w:r>
          </w:p>
        </w:tc>
      </w:tr>
      <w:tr w14:paraId="08CBB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46A3988E">
            <w:pPr>
              <w:keepNext w:val="0"/>
              <w:keepLines w:val="0"/>
              <w:pageBreakBefore w:val="0"/>
              <w:kinsoku/>
              <w:wordWrap/>
              <w:overflowPunct/>
              <w:topLinePunct w:val="0"/>
              <w:bidi w:val="0"/>
              <w:snapToGrid w:val="0"/>
              <w:spacing w:line="460" w:lineRule="exact"/>
              <w:ind w:right="0" w:rightChars="0"/>
              <w:jc w:val="both"/>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cs="宋体"/>
                <w:sz w:val="24"/>
                <w:lang w:val="en-US" w:eastAsia="zh-CN"/>
              </w:rPr>
              <w:t>5</w:t>
            </w:r>
          </w:p>
        </w:tc>
        <w:tc>
          <w:tcPr>
            <w:tcW w:w="1556" w:type="dxa"/>
            <w:vAlign w:val="center"/>
          </w:tcPr>
          <w:p w14:paraId="4CB0B9BB">
            <w:pPr>
              <w:keepNext w:val="0"/>
              <w:keepLines w:val="0"/>
              <w:pageBreakBefore w:val="0"/>
              <w:tabs>
                <w:tab w:val="left" w:pos="7665"/>
              </w:tabs>
              <w:kinsoku/>
              <w:wordWrap/>
              <w:overflowPunct/>
              <w:topLinePunct w:val="0"/>
              <w:bidi w:val="0"/>
              <w:snapToGrid w:val="0"/>
              <w:spacing w:line="460" w:lineRule="exact"/>
              <w:ind w:right="0" w:rightChars="0"/>
              <w:jc w:val="both"/>
              <w:rPr>
                <w:rFonts w:hint="eastAsia" w:ascii="宋体" w:hAnsi="宋体" w:eastAsia="宋体" w:cs="宋体"/>
                <w:sz w:val="24"/>
              </w:rPr>
            </w:pPr>
            <w:r>
              <w:rPr>
                <w:rFonts w:hint="eastAsia" w:ascii="宋体" w:hAnsi="宋体" w:eastAsia="宋体" w:cs="宋体"/>
                <w:sz w:val="24"/>
              </w:rPr>
              <w:t>争议解决途径</w:t>
            </w:r>
          </w:p>
        </w:tc>
        <w:tc>
          <w:tcPr>
            <w:tcW w:w="7067" w:type="dxa"/>
            <w:vAlign w:val="center"/>
          </w:tcPr>
          <w:p w14:paraId="6FDBA060">
            <w:pPr>
              <w:keepNext w:val="0"/>
              <w:keepLines w:val="0"/>
              <w:pageBreakBefore w:val="0"/>
              <w:tabs>
                <w:tab w:val="left" w:pos="7665"/>
              </w:tabs>
              <w:kinsoku/>
              <w:wordWrap/>
              <w:overflowPunct/>
              <w:topLinePunct w:val="0"/>
              <w:bidi w:val="0"/>
              <w:snapToGrid w:val="0"/>
              <w:spacing w:line="460" w:lineRule="exact"/>
              <w:ind w:left="0" w:right="0" w:rightChars="0" w:firstLine="480" w:firstLineChars="200"/>
              <w:jc w:val="left"/>
              <w:rPr>
                <w:rFonts w:hint="eastAsia" w:ascii="宋体" w:hAnsi="宋体" w:eastAsia="宋体" w:cs="宋体"/>
                <w:b/>
                <w:sz w:val="24"/>
              </w:rPr>
            </w:pPr>
            <w:r>
              <w:rPr>
                <w:rFonts w:hint="eastAsia" w:ascii="宋体" w:hAnsi="宋体" w:eastAsia="宋体" w:cs="宋体"/>
                <w:sz w:val="24"/>
                <w:szCs w:val="24"/>
              </w:rPr>
              <w:t>√</w:t>
            </w:r>
            <w:r>
              <w:rPr>
                <w:rFonts w:hint="eastAsia" w:ascii="宋体" w:hAnsi="宋体" w:eastAsia="宋体" w:cs="宋体"/>
                <w:b/>
                <w:sz w:val="24"/>
              </w:rPr>
              <w:t>向有管辖权的人民法院提起诉讼</w:t>
            </w:r>
          </w:p>
          <w:p w14:paraId="0A5B8E19">
            <w:pPr>
              <w:keepNext w:val="0"/>
              <w:keepLines w:val="0"/>
              <w:pageBreakBefore w:val="0"/>
              <w:tabs>
                <w:tab w:val="left" w:pos="7665"/>
              </w:tabs>
              <w:kinsoku/>
              <w:wordWrap/>
              <w:overflowPunct/>
              <w:topLinePunct w:val="0"/>
              <w:bidi w:val="0"/>
              <w:snapToGrid w:val="0"/>
              <w:spacing w:line="460" w:lineRule="exact"/>
              <w:ind w:left="0" w:right="0" w:rightChars="0" w:firstLine="482" w:firstLineChars="200"/>
              <w:jc w:val="left"/>
              <w:rPr>
                <w:rFonts w:hint="eastAsia" w:ascii="宋体" w:hAnsi="宋体" w:eastAsia="宋体" w:cs="宋体"/>
                <w:b/>
                <w:sz w:val="24"/>
              </w:rPr>
            </w:pPr>
            <w:r>
              <w:rPr>
                <w:rFonts w:hint="eastAsia" w:ascii="宋体" w:hAnsi="宋体" w:eastAsia="宋体" w:cs="宋体"/>
                <w:b/>
                <w:sz w:val="24"/>
              </w:rPr>
              <w:t>○向西安仲裁委员会提请仲裁</w:t>
            </w:r>
          </w:p>
          <w:p w14:paraId="1F569B14">
            <w:pPr>
              <w:keepNext w:val="0"/>
              <w:keepLines w:val="0"/>
              <w:pageBreakBefore w:val="0"/>
              <w:tabs>
                <w:tab w:val="left" w:pos="7665"/>
              </w:tabs>
              <w:kinsoku/>
              <w:wordWrap/>
              <w:overflowPunct/>
              <w:topLinePunct w:val="0"/>
              <w:bidi w:val="0"/>
              <w:snapToGrid w:val="0"/>
              <w:spacing w:line="460" w:lineRule="exact"/>
              <w:ind w:left="0" w:right="0" w:rightChars="0" w:firstLine="482" w:firstLineChars="200"/>
              <w:jc w:val="left"/>
              <w:rPr>
                <w:rFonts w:hint="eastAsia" w:ascii="宋体" w:hAnsi="宋体" w:eastAsia="宋体" w:cs="宋体"/>
                <w:sz w:val="24"/>
              </w:rPr>
            </w:pPr>
            <w:r>
              <w:rPr>
                <w:rFonts w:hint="eastAsia" w:ascii="宋体" w:hAnsi="宋体" w:eastAsia="宋体" w:cs="宋体"/>
                <w:b/>
                <w:sz w:val="24"/>
              </w:rPr>
              <w:t>○由供应商做出选择</w:t>
            </w:r>
          </w:p>
        </w:tc>
      </w:tr>
      <w:tr w14:paraId="65C7E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6CD2F35C">
            <w:pPr>
              <w:keepNext w:val="0"/>
              <w:keepLines w:val="0"/>
              <w:pageBreakBefore w:val="0"/>
              <w:kinsoku/>
              <w:wordWrap/>
              <w:overflowPunct/>
              <w:topLinePunct w:val="0"/>
              <w:bidi w:val="0"/>
              <w:snapToGrid w:val="0"/>
              <w:spacing w:line="460" w:lineRule="exact"/>
              <w:ind w:right="0" w:rightChars="0"/>
              <w:jc w:val="both"/>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cs="宋体"/>
                <w:sz w:val="24"/>
                <w:lang w:val="en-US" w:eastAsia="zh-CN"/>
              </w:rPr>
              <w:t>6</w:t>
            </w:r>
          </w:p>
        </w:tc>
        <w:tc>
          <w:tcPr>
            <w:tcW w:w="1556" w:type="dxa"/>
            <w:vAlign w:val="center"/>
          </w:tcPr>
          <w:p w14:paraId="63217F19">
            <w:pPr>
              <w:keepNext w:val="0"/>
              <w:keepLines w:val="0"/>
              <w:pageBreakBefore w:val="0"/>
              <w:kinsoku/>
              <w:wordWrap/>
              <w:overflowPunct/>
              <w:topLinePunct w:val="0"/>
              <w:bidi w:val="0"/>
              <w:snapToGrid w:val="0"/>
              <w:spacing w:line="460" w:lineRule="exact"/>
              <w:ind w:right="0" w:rightChars="0"/>
              <w:jc w:val="both"/>
              <w:rPr>
                <w:rFonts w:hint="eastAsia" w:ascii="宋体" w:hAnsi="宋体" w:eastAsia="宋体" w:cs="宋体"/>
                <w:sz w:val="24"/>
              </w:rPr>
            </w:pPr>
            <w:r>
              <w:rPr>
                <w:rFonts w:hint="eastAsia" w:ascii="宋体" w:hAnsi="宋体" w:eastAsia="宋体" w:cs="宋体"/>
                <w:sz w:val="24"/>
              </w:rPr>
              <w:t>联系方式</w:t>
            </w:r>
          </w:p>
        </w:tc>
        <w:tc>
          <w:tcPr>
            <w:tcW w:w="7067" w:type="dxa"/>
            <w:vAlign w:val="center"/>
          </w:tcPr>
          <w:p w14:paraId="4BE2CFD3">
            <w:pPr>
              <w:keepNext w:val="0"/>
              <w:keepLines w:val="0"/>
              <w:pageBreakBefore w:val="0"/>
              <w:tabs>
                <w:tab w:val="left" w:pos="7665"/>
              </w:tabs>
              <w:kinsoku/>
              <w:wordWrap/>
              <w:overflowPunct/>
              <w:topLinePunct w:val="0"/>
              <w:bidi w:val="0"/>
              <w:snapToGrid w:val="0"/>
              <w:spacing w:line="460" w:lineRule="exact"/>
              <w:ind w:left="0" w:right="0" w:rightChars="0" w:firstLine="482" w:firstLineChars="200"/>
              <w:jc w:val="left"/>
              <w:rPr>
                <w:rFonts w:hint="eastAsia" w:ascii="宋体" w:hAnsi="宋体" w:eastAsia="宋体" w:cs="宋体"/>
                <w:b/>
                <w:bCs/>
                <w:sz w:val="24"/>
                <w:lang w:val="en-US"/>
              </w:rPr>
            </w:pPr>
            <w:r>
              <w:rPr>
                <w:rFonts w:hint="eastAsia" w:ascii="宋体" w:hAnsi="宋体" w:eastAsia="宋体" w:cs="宋体"/>
                <w:b/>
                <w:bCs/>
                <w:sz w:val="24"/>
              </w:rPr>
              <w:t>项目对接人：</w:t>
            </w:r>
            <w:r>
              <w:rPr>
                <w:rFonts w:hint="eastAsia" w:ascii="宋体" w:hAnsi="宋体" w:cs="宋体"/>
                <w:b/>
                <w:bCs/>
                <w:sz w:val="24"/>
                <w:u w:val="single"/>
                <w:lang w:val="en-US" w:eastAsia="zh-CN"/>
              </w:rPr>
              <w:t xml:space="preserve">   郭洁</w:t>
            </w:r>
            <w:r>
              <w:rPr>
                <w:rFonts w:hint="eastAsia" w:ascii="宋体" w:hAnsi="宋体" w:eastAsia="宋体" w:cs="宋体"/>
                <w:b/>
                <w:bCs/>
                <w:sz w:val="24"/>
                <w:u w:val="single"/>
                <w:lang w:val="en-US" w:eastAsia="zh-CN"/>
              </w:rPr>
              <w:t xml:space="preserve">  </w:t>
            </w:r>
          </w:p>
          <w:p w14:paraId="7E1A5C3E">
            <w:pPr>
              <w:keepNext w:val="0"/>
              <w:keepLines w:val="0"/>
              <w:pageBreakBefore w:val="0"/>
              <w:tabs>
                <w:tab w:val="left" w:pos="7665"/>
              </w:tabs>
              <w:kinsoku/>
              <w:wordWrap/>
              <w:overflowPunct/>
              <w:topLinePunct w:val="0"/>
              <w:bidi w:val="0"/>
              <w:snapToGrid w:val="0"/>
              <w:spacing w:line="460" w:lineRule="exact"/>
              <w:ind w:left="0" w:right="0" w:rightChars="0" w:firstLine="482" w:firstLineChars="200"/>
              <w:jc w:val="left"/>
              <w:rPr>
                <w:rFonts w:hint="eastAsia" w:ascii="宋体" w:hAnsi="宋体" w:eastAsia="宋体" w:cs="宋体"/>
                <w:b/>
                <w:bCs/>
                <w:sz w:val="24"/>
                <w:u w:val="single"/>
                <w:lang w:val="en-US" w:eastAsia="zh-CN"/>
              </w:rPr>
            </w:pPr>
            <w:r>
              <w:rPr>
                <w:rFonts w:hint="eastAsia" w:ascii="宋体" w:hAnsi="宋体" w:eastAsia="宋体" w:cs="宋体"/>
                <w:b/>
                <w:bCs/>
                <w:sz w:val="24"/>
              </w:rPr>
              <w:t>联系电话：</w:t>
            </w:r>
            <w:r>
              <w:rPr>
                <w:rFonts w:hint="eastAsia" w:ascii="宋体" w:hAnsi="宋体" w:cs="宋体"/>
                <w:b/>
                <w:bCs/>
                <w:sz w:val="24"/>
                <w:u w:val="single"/>
                <w:lang w:val="en-US" w:eastAsia="zh-CN"/>
              </w:rPr>
              <w:t xml:space="preserve"> </w:t>
            </w:r>
            <w:r>
              <w:rPr>
                <w:rFonts w:hint="eastAsia" w:ascii="宋体" w:hAnsi="宋体" w:eastAsia="宋体" w:cs="宋体"/>
                <w:b/>
                <w:bCs/>
                <w:sz w:val="24"/>
                <w:u w:val="single"/>
                <w:lang w:val="en-US" w:eastAsia="zh-Hans"/>
              </w:rPr>
              <w:t>15902994267</w:t>
            </w:r>
            <w:r>
              <w:rPr>
                <w:rFonts w:hint="eastAsia" w:ascii="宋体" w:hAnsi="宋体" w:cs="宋体"/>
                <w:b/>
                <w:bCs/>
                <w:sz w:val="24"/>
                <w:u w:val="single"/>
                <w:lang w:val="en-US" w:eastAsia="zh-CN"/>
              </w:rPr>
              <w:t xml:space="preserve"> </w:t>
            </w:r>
          </w:p>
          <w:p w14:paraId="530D7F10">
            <w:pPr>
              <w:keepNext w:val="0"/>
              <w:keepLines w:val="0"/>
              <w:pageBreakBefore w:val="0"/>
              <w:tabs>
                <w:tab w:val="left" w:pos="7665"/>
              </w:tabs>
              <w:kinsoku/>
              <w:wordWrap/>
              <w:overflowPunct/>
              <w:topLinePunct w:val="0"/>
              <w:bidi w:val="0"/>
              <w:snapToGrid w:val="0"/>
              <w:spacing w:line="460" w:lineRule="exact"/>
              <w:ind w:left="0" w:right="0" w:rightChars="0" w:firstLine="482" w:firstLineChars="200"/>
              <w:jc w:val="left"/>
              <w:rPr>
                <w:rFonts w:hint="default" w:ascii="宋体" w:hAnsi="宋体" w:eastAsia="宋体" w:cs="宋体"/>
                <w:sz w:val="24"/>
                <w:lang w:val="en-US" w:eastAsia="zh-CN"/>
              </w:rPr>
            </w:pPr>
            <w:r>
              <w:rPr>
                <w:rFonts w:hint="eastAsia" w:ascii="宋体" w:hAnsi="宋体" w:eastAsia="宋体" w:cs="宋体"/>
                <w:b/>
                <w:bCs/>
                <w:sz w:val="24"/>
              </w:rPr>
              <w:t>电子邮箱：</w:t>
            </w:r>
            <w:r>
              <w:rPr>
                <w:rFonts w:hint="eastAsia" w:ascii="宋体" w:hAnsi="宋体" w:cs="宋体"/>
                <w:b/>
                <w:bCs/>
                <w:sz w:val="24"/>
                <w:u w:val="single"/>
                <w:lang w:val="en-US" w:eastAsia="zh-CN"/>
              </w:rPr>
              <w:t xml:space="preserve">   </w:t>
            </w:r>
            <w:r>
              <w:rPr>
                <w:rFonts w:hint="eastAsia" w:ascii="宋体" w:hAnsi="宋体" w:eastAsia="宋体" w:cs="宋体"/>
                <w:b/>
                <w:bCs/>
                <w:sz w:val="24"/>
                <w:u w:val="single"/>
                <w:lang w:val="en-US" w:eastAsia="zh-CN"/>
              </w:rPr>
              <w:t>/</w:t>
            </w:r>
            <w:r>
              <w:rPr>
                <w:rFonts w:hint="eastAsia" w:ascii="宋体" w:hAnsi="宋体" w:cs="宋体"/>
                <w:b/>
                <w:bCs/>
                <w:sz w:val="24"/>
                <w:u w:val="single"/>
                <w:lang w:val="en-US" w:eastAsia="zh-CN"/>
              </w:rPr>
              <w:t xml:space="preserve">    </w:t>
            </w:r>
          </w:p>
        </w:tc>
      </w:tr>
    </w:tbl>
    <w:p w14:paraId="77D09C18">
      <w:pPr>
        <w:keepNext w:val="0"/>
        <w:keepLines w:val="0"/>
        <w:pageBreakBefore w:val="0"/>
        <w:widowControl/>
        <w:kinsoku/>
        <w:wordWrap/>
        <w:overflowPunct/>
        <w:topLinePunct w:val="0"/>
        <w:bidi w:val="0"/>
        <w:spacing w:line="460" w:lineRule="exact"/>
        <w:ind w:left="0" w:right="0" w:rightChars="0" w:firstLine="643" w:firstLineChars="200"/>
        <w:jc w:val="center"/>
        <w:rPr>
          <w:rFonts w:hint="eastAsia" w:ascii="宋体" w:hAnsi="宋体" w:eastAsia="宋体" w:cs="宋体"/>
          <w:b/>
          <w:sz w:val="32"/>
          <w:szCs w:val="32"/>
        </w:rPr>
      </w:pPr>
    </w:p>
    <w:p w14:paraId="5D191D79">
      <w:pPr>
        <w:keepNext w:val="0"/>
        <w:keepLines w:val="0"/>
        <w:pageBreakBefore w:val="0"/>
        <w:widowControl/>
        <w:kinsoku/>
        <w:wordWrap/>
        <w:overflowPunct/>
        <w:topLinePunct w:val="0"/>
        <w:bidi w:val="0"/>
        <w:spacing w:line="460" w:lineRule="exact"/>
        <w:ind w:left="0" w:right="0" w:rightChars="0" w:firstLine="643" w:firstLineChars="200"/>
        <w:jc w:val="center"/>
        <w:rPr>
          <w:rFonts w:hint="eastAsia" w:ascii="宋体" w:hAnsi="宋体" w:eastAsia="宋体" w:cs="宋体"/>
          <w:b/>
          <w:sz w:val="32"/>
          <w:szCs w:val="32"/>
        </w:rPr>
      </w:pPr>
    </w:p>
    <w:p w14:paraId="408AE33A">
      <w:pPr>
        <w:keepNext w:val="0"/>
        <w:keepLines w:val="0"/>
        <w:pageBreakBefore w:val="0"/>
        <w:widowControl/>
        <w:kinsoku/>
        <w:wordWrap/>
        <w:overflowPunct/>
        <w:topLinePunct w:val="0"/>
        <w:bidi w:val="0"/>
        <w:spacing w:line="460" w:lineRule="exact"/>
        <w:ind w:left="0" w:right="0" w:rightChars="0" w:firstLine="643" w:firstLineChars="200"/>
        <w:jc w:val="center"/>
        <w:rPr>
          <w:rFonts w:hint="eastAsia" w:ascii="宋体" w:hAnsi="宋体" w:eastAsia="宋体" w:cs="宋体"/>
          <w:b/>
          <w:sz w:val="32"/>
          <w:szCs w:val="32"/>
        </w:rPr>
      </w:pPr>
    </w:p>
    <w:p w14:paraId="18F69707">
      <w:pPr>
        <w:keepNext w:val="0"/>
        <w:keepLines w:val="0"/>
        <w:pageBreakBefore w:val="0"/>
        <w:widowControl/>
        <w:kinsoku/>
        <w:wordWrap/>
        <w:overflowPunct/>
        <w:topLinePunct w:val="0"/>
        <w:bidi w:val="0"/>
        <w:spacing w:line="460" w:lineRule="exact"/>
        <w:ind w:left="0" w:right="0" w:rightChars="0" w:firstLine="643" w:firstLineChars="200"/>
        <w:jc w:val="center"/>
        <w:rPr>
          <w:rFonts w:hint="eastAsia" w:ascii="宋体" w:hAnsi="宋体" w:eastAsia="宋体" w:cs="宋体"/>
          <w:b/>
          <w:sz w:val="32"/>
          <w:szCs w:val="32"/>
        </w:rPr>
      </w:pPr>
    </w:p>
    <w:p w14:paraId="419A044F">
      <w:pPr>
        <w:pStyle w:val="4"/>
        <w:rPr>
          <w:rFonts w:hint="eastAsia" w:ascii="宋体" w:hAnsi="宋体" w:eastAsia="宋体" w:cs="宋体"/>
          <w:b/>
          <w:sz w:val="32"/>
          <w:szCs w:val="32"/>
        </w:rPr>
      </w:pPr>
    </w:p>
    <w:p w14:paraId="66FB2EC2">
      <w:pPr>
        <w:pStyle w:val="4"/>
        <w:rPr>
          <w:rFonts w:hint="eastAsia" w:ascii="宋体" w:hAnsi="宋体" w:eastAsia="宋体" w:cs="宋体"/>
          <w:b/>
          <w:sz w:val="32"/>
          <w:szCs w:val="32"/>
        </w:rPr>
      </w:pPr>
    </w:p>
    <w:p w14:paraId="77085CC2">
      <w:pPr>
        <w:pStyle w:val="4"/>
        <w:rPr>
          <w:rFonts w:hint="eastAsia" w:ascii="宋体" w:hAnsi="宋体" w:eastAsia="宋体" w:cs="宋体"/>
          <w:b/>
          <w:sz w:val="32"/>
          <w:szCs w:val="32"/>
        </w:rPr>
      </w:pPr>
    </w:p>
    <w:p w14:paraId="35B2629B">
      <w:pPr>
        <w:pStyle w:val="4"/>
        <w:rPr>
          <w:rFonts w:hint="eastAsia" w:ascii="宋体" w:hAnsi="宋体" w:eastAsia="宋体" w:cs="宋体"/>
          <w:b/>
          <w:sz w:val="32"/>
          <w:szCs w:val="32"/>
        </w:rPr>
      </w:pPr>
    </w:p>
    <w:p w14:paraId="52908657">
      <w:pPr>
        <w:keepNext w:val="0"/>
        <w:keepLines w:val="0"/>
        <w:pageBreakBefore w:val="0"/>
        <w:widowControl/>
        <w:kinsoku/>
        <w:wordWrap/>
        <w:overflowPunct/>
        <w:topLinePunct w:val="0"/>
        <w:bidi w:val="0"/>
        <w:spacing w:line="460" w:lineRule="exact"/>
        <w:ind w:right="0" w:rightChars="0"/>
        <w:jc w:val="center"/>
        <w:rPr>
          <w:rFonts w:hint="eastAsia" w:ascii="宋体" w:hAnsi="宋体" w:eastAsia="宋体" w:cs="宋体"/>
          <w:b/>
          <w:sz w:val="32"/>
          <w:szCs w:val="32"/>
        </w:rPr>
      </w:pPr>
      <w:r>
        <w:rPr>
          <w:rFonts w:hint="eastAsia" w:ascii="宋体" w:hAnsi="宋体" w:eastAsia="宋体" w:cs="宋体"/>
          <w:b/>
          <w:sz w:val="32"/>
          <w:szCs w:val="32"/>
        </w:rPr>
        <w:t>需求框架（服务类）</w:t>
      </w:r>
    </w:p>
    <w:p w14:paraId="3C88DF58">
      <w:pPr>
        <w:keepNext w:val="0"/>
        <w:keepLines w:val="0"/>
        <w:pageBreakBefore w:val="0"/>
        <w:pBdr>
          <w:bottom w:val="single" w:color="auto" w:sz="4" w:space="1"/>
        </w:pBdr>
        <w:kinsoku/>
        <w:wordWrap/>
        <w:overflowPunct/>
        <w:topLinePunct w:val="0"/>
        <w:bidi w:val="0"/>
        <w:spacing w:line="460" w:lineRule="exact"/>
        <w:ind w:left="0" w:right="0" w:rightChars="0" w:firstLine="482" w:firstLineChars="200"/>
        <w:rPr>
          <w:rFonts w:hint="eastAsia"/>
          <w:sz w:val="24"/>
          <w:szCs w:val="24"/>
        </w:rPr>
      </w:pPr>
      <w:r>
        <w:rPr>
          <w:rFonts w:hint="eastAsia" w:ascii="宋体" w:hAnsi="宋体" w:eastAsia="宋体" w:cs="宋体"/>
          <w:b/>
          <w:sz w:val="24"/>
          <w:szCs w:val="24"/>
        </w:rPr>
        <w:t>一、项目概况</w:t>
      </w:r>
    </w:p>
    <w:p w14:paraId="73FB7A2C">
      <w:pPr>
        <w:keepNext w:val="0"/>
        <w:keepLines w:val="0"/>
        <w:pageBreakBefore w:val="0"/>
        <w:kinsoku/>
        <w:wordWrap/>
        <w:overflowPunct/>
        <w:topLinePunct w:val="0"/>
        <w:bidi w:val="0"/>
        <w:spacing w:line="460" w:lineRule="exact"/>
        <w:ind w:left="0" w:right="0" w:rightChars="0"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本次招标项目为高新区集贤园2026年度市政基础设施维护服务项目。</w:t>
      </w:r>
    </w:p>
    <w:p w14:paraId="664569B6">
      <w:pPr>
        <w:keepNext w:val="0"/>
        <w:keepLines w:val="0"/>
        <w:pageBreakBefore w:val="0"/>
        <w:pBdr>
          <w:bottom w:val="single" w:color="auto" w:sz="4" w:space="1"/>
        </w:pBdr>
        <w:kinsoku/>
        <w:wordWrap/>
        <w:overflowPunct/>
        <w:topLinePunct w:val="0"/>
        <w:bidi w:val="0"/>
        <w:spacing w:line="460" w:lineRule="exact"/>
        <w:ind w:left="0" w:right="0" w:rightChars="0" w:firstLine="482" w:firstLineChars="200"/>
        <w:rPr>
          <w:rFonts w:hint="eastAsia" w:ascii="宋体" w:hAnsi="宋体" w:eastAsia="宋体" w:cs="宋体"/>
          <w:b/>
          <w:sz w:val="24"/>
          <w:szCs w:val="24"/>
        </w:rPr>
      </w:pPr>
      <w:r>
        <w:rPr>
          <w:rFonts w:hint="eastAsia" w:ascii="宋体" w:hAnsi="宋体" w:eastAsia="宋体" w:cs="宋体"/>
          <w:b/>
          <w:sz w:val="24"/>
          <w:szCs w:val="24"/>
        </w:rPr>
        <w:t>二、服务内容（包括工作区域、工作内容等）</w:t>
      </w:r>
    </w:p>
    <w:p w14:paraId="5FC93CE3">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default" w:ascii="宋体" w:hAnsi="宋体" w:eastAsia="宋体" w:cs="宋体"/>
          <w:sz w:val="24"/>
          <w:szCs w:val="24"/>
          <w:lang w:val="en-US" w:eastAsia="zh-CN"/>
        </w:rPr>
      </w:pPr>
      <w:r>
        <w:rPr>
          <w:rFonts w:hint="eastAsia" w:ascii="宋体" w:hAnsi="宋体" w:cs="宋体"/>
          <w:sz w:val="24"/>
          <w:szCs w:val="24"/>
          <w:lang w:val="en-US" w:eastAsia="zh-CN"/>
        </w:rPr>
        <w:t>市政基础设施维护服务包括了道路、人行道、涵洞、给水管网、雨污水管网、路灯、泵站、市政基础设施相关维护事项、电工、标识标牌、交通隔离墩等集贤园区所有市政基础设施的养护、维护及管理等工作。</w:t>
      </w:r>
    </w:p>
    <w:p w14:paraId="4A7D0D76">
      <w:pPr>
        <w:keepNext w:val="0"/>
        <w:keepLines w:val="0"/>
        <w:pageBreakBefore w:val="0"/>
        <w:pBdr>
          <w:bottom w:val="single" w:color="auto" w:sz="4" w:space="1"/>
        </w:pBdr>
        <w:kinsoku/>
        <w:wordWrap/>
        <w:overflowPunct/>
        <w:topLinePunct w:val="0"/>
        <w:bidi w:val="0"/>
        <w:spacing w:line="460" w:lineRule="exact"/>
        <w:ind w:left="0" w:right="0" w:rightChars="0" w:firstLine="482" w:firstLineChars="200"/>
        <w:rPr>
          <w:rFonts w:hint="eastAsia" w:ascii="宋体" w:hAnsi="宋体" w:eastAsia="宋体" w:cs="宋体"/>
          <w:b/>
          <w:sz w:val="24"/>
          <w:szCs w:val="24"/>
        </w:rPr>
      </w:pPr>
      <w:r>
        <w:rPr>
          <w:rFonts w:hint="eastAsia" w:ascii="宋体" w:hAnsi="宋体" w:eastAsia="宋体" w:cs="宋体"/>
          <w:b/>
          <w:sz w:val="24"/>
          <w:szCs w:val="24"/>
        </w:rPr>
        <w:t>三、</w:t>
      </w:r>
      <w:r>
        <w:rPr>
          <w:rFonts w:hint="eastAsia" w:ascii="宋体" w:hAnsi="宋体" w:cs="宋体"/>
          <w:b/>
          <w:sz w:val="24"/>
          <w:szCs w:val="24"/>
          <w:lang w:val="en-US" w:eastAsia="zh-CN"/>
        </w:rPr>
        <w:t>总体</w:t>
      </w:r>
      <w:r>
        <w:rPr>
          <w:rFonts w:hint="eastAsia" w:ascii="宋体" w:hAnsi="宋体" w:eastAsia="宋体" w:cs="宋体"/>
          <w:b/>
          <w:sz w:val="24"/>
          <w:szCs w:val="24"/>
        </w:rPr>
        <w:t>要求</w:t>
      </w:r>
    </w:p>
    <w:p w14:paraId="36F87E96">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（1）乙方按照《高新区市政设施养护范围》清单、《高新区市政基础设施部管辖边界及数量统计》及内容进行自行勘察，7日内完成交接工作。</w:t>
      </w:r>
    </w:p>
    <w:p w14:paraId="020E0F65">
      <w:pPr>
        <w:keepNext w:val="0"/>
        <w:keepLines w:val="0"/>
        <w:pageBreakBefore w:val="0"/>
        <w:widowControl/>
        <w:kinsoku/>
        <w:wordWrap w:val="0"/>
        <w:overflowPunct/>
        <w:topLinePunct/>
        <w:autoSpaceDE/>
        <w:autoSpaceDN/>
        <w:bidi w:val="0"/>
        <w:adjustRightInd w:val="0"/>
        <w:snapToGrid w:val="0"/>
        <w:spacing w:line="500" w:lineRule="exact"/>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需配备足额的巡查队伍，实行365天*24小时巡查制度，巡查内容为辖区所管辖范围内道路、人行道、排水、照明等各类市政基础设施，建立健全日常养护巡查制度、管理制度、应急处理制度及自查自检制度，并做好养护计划。在巡查过程中要完成发现的力所能及的防撞桶、球歪斜、硬质隔离的整理、雨污水井盖、雨水箅子管理等工作。    </w:t>
      </w:r>
    </w:p>
    <w:p w14:paraId="4AAC2C78">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（3）乙方具备健全的日常养护制度、管理制度、应急处理制度及自查自检制度。</w:t>
      </w:r>
    </w:p>
    <w:p w14:paraId="21BDA625">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（4）乙方</w:t>
      </w:r>
      <w:r>
        <w:rPr>
          <w:rFonts w:hint="eastAsia" w:ascii="宋体" w:hAnsi="宋体" w:eastAsia="宋体" w:cs="宋体"/>
          <w:sz w:val="24"/>
          <w:szCs w:val="24"/>
          <w:highlight w:val="none"/>
          <w:lang w:val="en-US" w:eastAsia="zh-CN"/>
        </w:rPr>
        <w:t>需</w:t>
      </w:r>
      <w:r>
        <w:rPr>
          <w:rFonts w:hint="eastAsia" w:ascii="宋体" w:hAnsi="宋体" w:cs="宋体"/>
          <w:sz w:val="24"/>
          <w:szCs w:val="24"/>
          <w:highlight w:val="none"/>
          <w:lang w:val="en-US" w:eastAsia="zh-CN"/>
        </w:rPr>
        <w:t>制定</w:t>
      </w:r>
      <w:r>
        <w:rPr>
          <w:rFonts w:hint="eastAsia" w:ascii="宋体" w:hAnsi="宋体" w:eastAsia="宋体" w:cs="宋体"/>
          <w:sz w:val="24"/>
          <w:szCs w:val="24"/>
          <w:highlight w:val="none"/>
          <w:lang w:val="en-US" w:eastAsia="zh-CN"/>
        </w:rPr>
        <w:t>全</w:t>
      </w:r>
      <w:r>
        <w:rPr>
          <w:rFonts w:hint="eastAsia" w:ascii="宋体" w:hAnsi="宋体" w:eastAsia="宋体" w:cs="宋体"/>
          <w:sz w:val="24"/>
          <w:szCs w:val="24"/>
          <w:lang w:val="en-US" w:eastAsia="zh-CN"/>
        </w:rPr>
        <w:t>年及每月</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巡查管理方案，实施前需报甲方审核，乙方按照审核后的方案实施工作并接受甲方的监督检查。</w:t>
      </w:r>
    </w:p>
    <w:p w14:paraId="1191542E">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（5）乙方负责养护作业现场的市政设施及人员的安全及安全教育，并与甲方签订“安全生产目标责任书”，特殊工种持证上岗。</w:t>
      </w:r>
    </w:p>
    <w:p w14:paraId="74B100BB">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（6）乙方在养护期间内自觉接受采购人、群众及有关部门监督。接受甲方现场代表的监督检查。突击性任务、重大活动组织和迎检活动须无条件配合，所产生的相关费用据实结算。</w:t>
      </w:r>
    </w:p>
    <w:p w14:paraId="4D3C4D80">
      <w:pPr>
        <w:keepNext w:val="0"/>
        <w:keepLines w:val="0"/>
        <w:pageBreakBefore w:val="0"/>
        <w:pBdr>
          <w:bottom w:val="single" w:color="auto" w:sz="4" w:space="1"/>
        </w:pBdr>
        <w:kinsoku/>
        <w:wordWrap/>
        <w:overflowPunct/>
        <w:topLinePunct w:val="0"/>
        <w:bidi w:val="0"/>
        <w:spacing w:line="460" w:lineRule="exact"/>
        <w:ind w:left="0" w:right="0" w:rightChars="0" w:firstLine="482" w:firstLineChars="200"/>
        <w:rPr>
          <w:rFonts w:hint="eastAsia" w:ascii="宋体" w:hAnsi="宋体" w:eastAsia="宋体" w:cs="宋体"/>
          <w:b/>
          <w:sz w:val="24"/>
          <w:szCs w:val="24"/>
        </w:rPr>
      </w:pPr>
      <w:r>
        <w:rPr>
          <w:rFonts w:hint="eastAsia" w:ascii="宋体" w:hAnsi="宋体" w:eastAsia="宋体" w:cs="宋体"/>
          <w:b/>
          <w:sz w:val="24"/>
          <w:szCs w:val="24"/>
        </w:rPr>
        <w:t>四、服务要求</w:t>
      </w:r>
    </w:p>
    <w:p w14:paraId="4F5FED38">
      <w:pPr>
        <w:pStyle w:val="2"/>
        <w:keepNext w:val="0"/>
        <w:keepLines w:val="0"/>
        <w:pageBreakBefore w:val="0"/>
        <w:widowControl w:val="0"/>
        <w:kinsoku/>
        <w:wordWrap/>
        <w:overflowPunct/>
        <w:topLinePunct w:val="0"/>
        <w:autoSpaceDE/>
        <w:autoSpaceDN/>
        <w:bidi w:val="0"/>
        <w:adjustRightInd/>
        <w:snapToGrid/>
        <w:spacing w:line="460" w:lineRule="exact"/>
        <w:ind w:left="0" w:right="0" w:rightChars="0" w:firstLine="480" w:firstLineChars="200"/>
        <w:jc w:val="left"/>
        <w:textAlignment w:val="auto"/>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参照集贤园市政维护工作管理标准。</w:t>
      </w:r>
    </w:p>
    <w:p w14:paraId="5D5E5007">
      <w:pPr>
        <w:keepNext w:val="0"/>
        <w:keepLines w:val="0"/>
        <w:pageBreakBefore w:val="0"/>
        <w:pBdr>
          <w:bottom w:val="single" w:color="auto" w:sz="4" w:space="1"/>
        </w:pBdr>
        <w:kinsoku/>
        <w:wordWrap/>
        <w:overflowPunct/>
        <w:topLinePunct w:val="0"/>
        <w:bidi w:val="0"/>
        <w:spacing w:line="460" w:lineRule="exact"/>
        <w:ind w:left="0" w:right="0" w:rightChars="0" w:firstLine="482" w:firstLineChars="200"/>
        <w:rPr>
          <w:rFonts w:hint="eastAsia" w:ascii="宋体" w:hAnsi="宋体" w:eastAsia="宋体" w:cs="宋体"/>
          <w:b/>
          <w:sz w:val="24"/>
          <w:szCs w:val="24"/>
        </w:rPr>
      </w:pPr>
      <w:r>
        <w:rPr>
          <w:rFonts w:hint="eastAsia" w:ascii="宋体" w:hAnsi="宋体" w:eastAsia="宋体" w:cs="宋体"/>
          <w:b/>
          <w:sz w:val="24"/>
          <w:szCs w:val="24"/>
        </w:rPr>
        <w:t>五、商务要求</w:t>
      </w:r>
    </w:p>
    <w:p w14:paraId="0B976DB3">
      <w:pPr>
        <w:keepNext w:val="0"/>
        <w:keepLines w:val="0"/>
        <w:pageBreakBefore w:val="0"/>
        <w:kinsoku/>
        <w:wordWrap/>
        <w:overflowPunct/>
        <w:topLinePunct w:val="0"/>
        <w:bidi w:val="0"/>
        <w:spacing w:line="460" w:lineRule="exact"/>
        <w:ind w:left="0" w:right="0" w:rightChars="0" w:firstLine="482" w:firstLineChars="200"/>
        <w:rPr>
          <w:rFonts w:hint="eastAsia"/>
          <w:sz w:val="24"/>
          <w:szCs w:val="24"/>
        </w:rPr>
      </w:pPr>
      <w:r>
        <w:rPr>
          <w:rFonts w:hint="eastAsia" w:ascii="宋体" w:hAnsi="宋体" w:eastAsia="宋体" w:cs="宋体"/>
          <w:b/>
          <w:bCs/>
          <w:sz w:val="24"/>
          <w:szCs w:val="24"/>
        </w:rPr>
        <w:t>服务期限</w:t>
      </w:r>
    </w:p>
    <w:p w14:paraId="3E9D02F6">
      <w:pPr>
        <w:keepNext w:val="0"/>
        <w:keepLines w:val="0"/>
        <w:pageBreakBefore w:val="0"/>
        <w:kinsoku/>
        <w:wordWrap/>
        <w:overflowPunct/>
        <w:topLinePunct w:val="0"/>
        <w:bidi w:val="0"/>
        <w:spacing w:line="460" w:lineRule="exact"/>
        <w:ind w:left="0" w:right="0" w:rightChars="0" w:firstLine="480" w:firstLineChars="200"/>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自合同签订之日起12个月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p>
    <w:p w14:paraId="77C92448">
      <w:pPr>
        <w:keepNext w:val="0"/>
        <w:keepLines w:val="0"/>
        <w:pageBreakBefore w:val="0"/>
        <w:pBdr>
          <w:bottom w:val="single" w:color="auto" w:sz="4" w:space="1"/>
        </w:pBdr>
        <w:kinsoku/>
        <w:wordWrap/>
        <w:overflowPunct/>
        <w:topLinePunct w:val="0"/>
        <w:bidi w:val="0"/>
        <w:spacing w:line="460" w:lineRule="exact"/>
        <w:ind w:left="0" w:right="0" w:rightChars="0" w:firstLine="482" w:firstLineChars="200"/>
        <w:rPr>
          <w:rFonts w:hint="eastAsia" w:ascii="宋体" w:hAnsi="宋体" w:eastAsia="宋体" w:cs="宋体"/>
          <w:b/>
          <w:sz w:val="24"/>
          <w:szCs w:val="24"/>
        </w:rPr>
      </w:pPr>
      <w:r>
        <w:rPr>
          <w:rFonts w:hint="eastAsia" w:ascii="宋体" w:hAnsi="宋体" w:eastAsia="宋体" w:cs="宋体"/>
          <w:b/>
          <w:sz w:val="24"/>
          <w:szCs w:val="24"/>
        </w:rPr>
        <w:t>六、其他（如有要求，请写明）</w:t>
      </w:r>
    </w:p>
    <w:p w14:paraId="64727C80">
      <w:pPr>
        <w:keepNext w:val="0"/>
        <w:keepLines w:val="0"/>
        <w:pageBreakBefore w:val="0"/>
        <w:kinsoku/>
        <w:wordWrap/>
        <w:overflowPunct/>
        <w:topLinePunct w:val="0"/>
        <w:bidi w:val="0"/>
        <w:spacing w:line="460" w:lineRule="exact"/>
        <w:ind w:left="0" w:right="0" w:rightChars="0" w:firstLine="482" w:firstLineChars="200"/>
        <w:rPr>
          <w:rFonts w:hint="eastAsia" w:ascii="宋体" w:hAnsi="宋体" w:eastAsia="宋体" w:cs="宋体"/>
          <w:b/>
          <w:bCs/>
          <w:sz w:val="24"/>
          <w:szCs w:val="24"/>
        </w:rPr>
      </w:pPr>
      <w:r>
        <w:rPr>
          <w:rFonts w:hint="eastAsia" w:ascii="宋体" w:hAnsi="宋体" w:eastAsia="宋体" w:cs="宋体"/>
          <w:b/>
          <w:bCs/>
          <w:sz w:val="24"/>
          <w:szCs w:val="24"/>
        </w:rPr>
        <w:t>（一）对服务商的业绩要求</w:t>
      </w:r>
    </w:p>
    <w:p w14:paraId="26F6F797">
      <w:pPr>
        <w:keepNext w:val="0"/>
        <w:keepLines w:val="0"/>
        <w:pageBreakBefore w:val="0"/>
        <w:widowControl/>
        <w:kinsoku/>
        <w:wordWrap/>
        <w:overflowPunct/>
        <w:topLinePunct w:val="0"/>
        <w:autoSpaceDE/>
        <w:autoSpaceDN/>
        <w:bidi w:val="0"/>
        <w:adjustRightInd/>
        <w:snapToGrid/>
        <w:spacing w:line="460" w:lineRule="exact"/>
        <w:ind w:left="0" w:right="0" w:rightChars="0" w:firstLine="480" w:firstLineChars="200"/>
        <w:textAlignment w:val="auto"/>
        <w:rPr>
          <w:rFonts w:hint="eastAsia"/>
          <w:sz w:val="24"/>
          <w:szCs w:val="24"/>
          <w:lang w:val="zh-CN"/>
        </w:rPr>
      </w:pPr>
      <w:r>
        <w:rPr>
          <w:rFonts w:hint="eastAsia" w:ascii="宋体" w:hAnsi="宋体" w:eastAsia="宋体" w:cs="宋体"/>
          <w:sz w:val="24"/>
          <w:szCs w:val="24"/>
          <w:lang w:val="en-US" w:eastAsia="zh-CN"/>
        </w:rPr>
        <w:t>供应商具有202</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 xml:space="preserve"> 年1月至今的类似项目业绩</w:t>
      </w:r>
      <w:r>
        <w:rPr>
          <w:rFonts w:hint="eastAsia" w:ascii="宋体" w:hAnsi="宋体" w:cs="宋体"/>
          <w:sz w:val="24"/>
          <w:szCs w:val="24"/>
          <w:lang w:val="en-US" w:eastAsia="zh-CN"/>
        </w:rPr>
        <w:t>（以合同签订日期为准），提供合同复印件加盖公章</w:t>
      </w:r>
      <w:r>
        <w:rPr>
          <w:rFonts w:hint="eastAsia" w:ascii="宋体" w:hAnsi="宋体" w:eastAsia="宋体" w:cs="宋体"/>
          <w:sz w:val="24"/>
          <w:szCs w:val="24"/>
          <w:lang w:val="en-US" w:eastAsia="zh-CN"/>
        </w:rPr>
        <w:t>。</w:t>
      </w:r>
    </w:p>
    <w:p w14:paraId="5C6D53C4">
      <w:pPr>
        <w:keepNext w:val="0"/>
        <w:keepLines w:val="0"/>
        <w:pageBreakBefore w:val="0"/>
        <w:widowControl/>
        <w:kinsoku/>
        <w:wordWrap/>
        <w:overflowPunct/>
        <w:topLinePunct w:val="0"/>
        <w:autoSpaceDE/>
        <w:autoSpaceDN/>
        <w:bidi w:val="0"/>
        <w:adjustRightInd/>
        <w:snapToGrid/>
        <w:spacing w:line="460" w:lineRule="exact"/>
        <w:ind w:left="0" w:right="0" w:righ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（二）考核工作</w:t>
      </w:r>
    </w:p>
    <w:p w14:paraId="0F54D47A">
      <w:pPr>
        <w:keepNext w:val="0"/>
        <w:keepLines w:val="0"/>
        <w:pageBreakBefore w:val="0"/>
        <w:widowControl/>
        <w:kinsoku/>
        <w:wordWrap/>
        <w:overflowPunct/>
        <w:topLinePunct w:val="0"/>
        <w:autoSpaceDE/>
        <w:autoSpaceDN/>
        <w:bidi w:val="0"/>
        <w:adjustRightInd/>
        <w:snapToGrid/>
        <w:spacing w:line="460" w:lineRule="exact"/>
        <w:ind w:left="0"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日常养护工作。乙方根据甲方提供的养护范围、养护标准、养护要求制定每月日常养护工作计划于上月25日前报甲方，经甲方审核签字同意后，制定任务单，下发乙方，乙方按照任务单按时按质完成本月的工作任务。次月月初甲方工作人员对上月日常养护工作进行考核，按照考核结果审核签字无误后给乙方核算相应的养护经费。</w:t>
      </w:r>
      <w:bookmarkStart w:id="0" w:name="_GoBack"/>
      <w:bookmarkEnd w:id="0"/>
    </w:p>
    <w:p w14:paraId="0BEB8768">
      <w:pPr>
        <w:keepNext w:val="0"/>
        <w:keepLines w:val="0"/>
        <w:pageBreakBefore w:val="0"/>
        <w:widowControl/>
        <w:kinsoku/>
        <w:wordWrap/>
        <w:overflowPunct/>
        <w:topLinePunct w:val="0"/>
        <w:autoSpaceDE/>
        <w:autoSpaceDN/>
        <w:bidi w:val="0"/>
        <w:adjustRightInd/>
        <w:snapToGrid/>
        <w:spacing w:line="460" w:lineRule="exact"/>
        <w:ind w:left="0" w:right="0" w:rightChars="0" w:firstLine="480" w:firstLineChars="200"/>
        <w:textAlignment w:val="auto"/>
        <w:rPr>
          <w:rFonts w:hint="eastAsia"/>
          <w:sz w:val="24"/>
          <w:szCs w:val="24"/>
        </w:rPr>
      </w:pPr>
      <w:r>
        <w:rPr>
          <w:rFonts w:hint="eastAsia" w:ascii="宋体" w:hAnsi="宋体" w:eastAsia="宋体" w:cs="宋体"/>
          <w:sz w:val="24"/>
          <w:szCs w:val="24"/>
          <w:lang w:val="en-US" w:eastAsia="zh-CN"/>
        </w:rPr>
        <w:t>2.突发、应急性养护工作。甲方根据上级有关部门的安排下派给乙方的任务单，要求乙方按时按质完成任务，任务完成后，甲方将对养护工作进行考核，同时核算养护经费。</w:t>
      </w:r>
    </w:p>
    <w:sectPr>
      <w:pgSz w:w="11906" w:h="16838"/>
      <w:pgMar w:top="1440" w:right="1800" w:bottom="1135"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gxYmJmMmI1NDA1ZGYxMzdlOTBjNGIyMDAwYTU2OGIifQ=="/>
  </w:docVars>
  <w:rsids>
    <w:rsidRoot w:val="0022387C"/>
    <w:rsid w:val="0000159C"/>
    <w:rsid w:val="000019FA"/>
    <w:rsid w:val="00002BB3"/>
    <w:rsid w:val="00003F53"/>
    <w:rsid w:val="00004F9A"/>
    <w:rsid w:val="00006A52"/>
    <w:rsid w:val="00012137"/>
    <w:rsid w:val="00012844"/>
    <w:rsid w:val="00012F9B"/>
    <w:rsid w:val="00013929"/>
    <w:rsid w:val="00014DAF"/>
    <w:rsid w:val="00015802"/>
    <w:rsid w:val="00016042"/>
    <w:rsid w:val="00022F41"/>
    <w:rsid w:val="00023261"/>
    <w:rsid w:val="000234CF"/>
    <w:rsid w:val="000235C8"/>
    <w:rsid w:val="00027E6B"/>
    <w:rsid w:val="0003251F"/>
    <w:rsid w:val="00032BB4"/>
    <w:rsid w:val="00033377"/>
    <w:rsid w:val="00033B5A"/>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51C6"/>
    <w:rsid w:val="00095A8D"/>
    <w:rsid w:val="00096428"/>
    <w:rsid w:val="00097CDB"/>
    <w:rsid w:val="000A0237"/>
    <w:rsid w:val="000A2583"/>
    <w:rsid w:val="000B5ACF"/>
    <w:rsid w:val="000B6858"/>
    <w:rsid w:val="000C048C"/>
    <w:rsid w:val="000C078B"/>
    <w:rsid w:val="000C21A4"/>
    <w:rsid w:val="000C538D"/>
    <w:rsid w:val="000C59A5"/>
    <w:rsid w:val="000D0AF3"/>
    <w:rsid w:val="000D0DE1"/>
    <w:rsid w:val="000D1277"/>
    <w:rsid w:val="000D4097"/>
    <w:rsid w:val="000E3FB5"/>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3379"/>
    <w:rsid w:val="00106530"/>
    <w:rsid w:val="00107B8A"/>
    <w:rsid w:val="001101BD"/>
    <w:rsid w:val="00111F0F"/>
    <w:rsid w:val="001131D6"/>
    <w:rsid w:val="00113B9B"/>
    <w:rsid w:val="00121FC0"/>
    <w:rsid w:val="00122D76"/>
    <w:rsid w:val="001257D4"/>
    <w:rsid w:val="0013015E"/>
    <w:rsid w:val="00131904"/>
    <w:rsid w:val="0013342E"/>
    <w:rsid w:val="001338D9"/>
    <w:rsid w:val="00133ADB"/>
    <w:rsid w:val="00134EE2"/>
    <w:rsid w:val="001351E3"/>
    <w:rsid w:val="00135AA2"/>
    <w:rsid w:val="00136D4A"/>
    <w:rsid w:val="00137E7B"/>
    <w:rsid w:val="00142244"/>
    <w:rsid w:val="001454AD"/>
    <w:rsid w:val="001455F6"/>
    <w:rsid w:val="001456C7"/>
    <w:rsid w:val="0015361E"/>
    <w:rsid w:val="00156ED5"/>
    <w:rsid w:val="001630D0"/>
    <w:rsid w:val="00164101"/>
    <w:rsid w:val="00164EE1"/>
    <w:rsid w:val="00166FD9"/>
    <w:rsid w:val="00167ECE"/>
    <w:rsid w:val="0017054A"/>
    <w:rsid w:val="00171A61"/>
    <w:rsid w:val="00173749"/>
    <w:rsid w:val="00173A35"/>
    <w:rsid w:val="0017410F"/>
    <w:rsid w:val="00174285"/>
    <w:rsid w:val="00175756"/>
    <w:rsid w:val="00176F0E"/>
    <w:rsid w:val="00184F72"/>
    <w:rsid w:val="00187846"/>
    <w:rsid w:val="00191A7E"/>
    <w:rsid w:val="00193B5F"/>
    <w:rsid w:val="001947E8"/>
    <w:rsid w:val="00194890"/>
    <w:rsid w:val="00196A1C"/>
    <w:rsid w:val="001A2103"/>
    <w:rsid w:val="001A5309"/>
    <w:rsid w:val="001A5764"/>
    <w:rsid w:val="001B0699"/>
    <w:rsid w:val="001B2019"/>
    <w:rsid w:val="001B49FD"/>
    <w:rsid w:val="001C0BA3"/>
    <w:rsid w:val="001C0BBD"/>
    <w:rsid w:val="001C25ED"/>
    <w:rsid w:val="001D1BCB"/>
    <w:rsid w:val="001D22C0"/>
    <w:rsid w:val="001D4171"/>
    <w:rsid w:val="001D576E"/>
    <w:rsid w:val="001D70BC"/>
    <w:rsid w:val="001E2BB9"/>
    <w:rsid w:val="001E6A70"/>
    <w:rsid w:val="001F2059"/>
    <w:rsid w:val="001F49A1"/>
    <w:rsid w:val="001F4ACC"/>
    <w:rsid w:val="001F7532"/>
    <w:rsid w:val="00201795"/>
    <w:rsid w:val="0020498C"/>
    <w:rsid w:val="00207790"/>
    <w:rsid w:val="00210CFC"/>
    <w:rsid w:val="00210FBE"/>
    <w:rsid w:val="002125C8"/>
    <w:rsid w:val="00213205"/>
    <w:rsid w:val="002137AF"/>
    <w:rsid w:val="00213CF6"/>
    <w:rsid w:val="002174B0"/>
    <w:rsid w:val="00220787"/>
    <w:rsid w:val="0022387C"/>
    <w:rsid w:val="00230C6A"/>
    <w:rsid w:val="00233D53"/>
    <w:rsid w:val="002345B9"/>
    <w:rsid w:val="00237A3F"/>
    <w:rsid w:val="00237C8C"/>
    <w:rsid w:val="0024210D"/>
    <w:rsid w:val="00244C29"/>
    <w:rsid w:val="00247B11"/>
    <w:rsid w:val="00250468"/>
    <w:rsid w:val="00250A0D"/>
    <w:rsid w:val="00250B6E"/>
    <w:rsid w:val="00252050"/>
    <w:rsid w:val="00253B74"/>
    <w:rsid w:val="002547E0"/>
    <w:rsid w:val="00255DBC"/>
    <w:rsid w:val="0025777A"/>
    <w:rsid w:val="00260306"/>
    <w:rsid w:val="00261898"/>
    <w:rsid w:val="00263576"/>
    <w:rsid w:val="00264014"/>
    <w:rsid w:val="0026501F"/>
    <w:rsid w:val="00266611"/>
    <w:rsid w:val="00267AE5"/>
    <w:rsid w:val="00267C8A"/>
    <w:rsid w:val="00271136"/>
    <w:rsid w:val="00273219"/>
    <w:rsid w:val="002742EA"/>
    <w:rsid w:val="0027449B"/>
    <w:rsid w:val="00276641"/>
    <w:rsid w:val="0028033D"/>
    <w:rsid w:val="00282837"/>
    <w:rsid w:val="00291777"/>
    <w:rsid w:val="0029384E"/>
    <w:rsid w:val="002938B0"/>
    <w:rsid w:val="002961E2"/>
    <w:rsid w:val="00296372"/>
    <w:rsid w:val="00297703"/>
    <w:rsid w:val="00297866"/>
    <w:rsid w:val="002A3B25"/>
    <w:rsid w:val="002A6815"/>
    <w:rsid w:val="002B35C4"/>
    <w:rsid w:val="002B36C2"/>
    <w:rsid w:val="002B59BE"/>
    <w:rsid w:val="002B65AB"/>
    <w:rsid w:val="002B696D"/>
    <w:rsid w:val="002C4511"/>
    <w:rsid w:val="002D2B5F"/>
    <w:rsid w:val="002D327B"/>
    <w:rsid w:val="002D41DD"/>
    <w:rsid w:val="002D7418"/>
    <w:rsid w:val="002E1660"/>
    <w:rsid w:val="002E43F6"/>
    <w:rsid w:val="002E7C3E"/>
    <w:rsid w:val="002F1C19"/>
    <w:rsid w:val="002F1C7D"/>
    <w:rsid w:val="002F1EC9"/>
    <w:rsid w:val="002F25EC"/>
    <w:rsid w:val="002F2EAB"/>
    <w:rsid w:val="002F30DD"/>
    <w:rsid w:val="002F3224"/>
    <w:rsid w:val="002F7D7D"/>
    <w:rsid w:val="00300067"/>
    <w:rsid w:val="00300B27"/>
    <w:rsid w:val="0030123B"/>
    <w:rsid w:val="00301FAE"/>
    <w:rsid w:val="003024CF"/>
    <w:rsid w:val="00305BAD"/>
    <w:rsid w:val="00306470"/>
    <w:rsid w:val="00311862"/>
    <w:rsid w:val="00316D60"/>
    <w:rsid w:val="003172BB"/>
    <w:rsid w:val="00322208"/>
    <w:rsid w:val="003245F8"/>
    <w:rsid w:val="00325D47"/>
    <w:rsid w:val="00325EF1"/>
    <w:rsid w:val="00332A7C"/>
    <w:rsid w:val="00337CFC"/>
    <w:rsid w:val="003406B1"/>
    <w:rsid w:val="00343305"/>
    <w:rsid w:val="003443D3"/>
    <w:rsid w:val="003450CD"/>
    <w:rsid w:val="00345F35"/>
    <w:rsid w:val="00351734"/>
    <w:rsid w:val="00354FCF"/>
    <w:rsid w:val="00360830"/>
    <w:rsid w:val="00364896"/>
    <w:rsid w:val="00366A2C"/>
    <w:rsid w:val="00372CF8"/>
    <w:rsid w:val="00373AE9"/>
    <w:rsid w:val="00374506"/>
    <w:rsid w:val="0037495D"/>
    <w:rsid w:val="00375819"/>
    <w:rsid w:val="00375C89"/>
    <w:rsid w:val="00376DAF"/>
    <w:rsid w:val="003833FB"/>
    <w:rsid w:val="00383F8F"/>
    <w:rsid w:val="00384AC1"/>
    <w:rsid w:val="003872CB"/>
    <w:rsid w:val="00387AFC"/>
    <w:rsid w:val="00390290"/>
    <w:rsid w:val="0039216D"/>
    <w:rsid w:val="00392EBD"/>
    <w:rsid w:val="00393459"/>
    <w:rsid w:val="003943D1"/>
    <w:rsid w:val="0039449C"/>
    <w:rsid w:val="00395695"/>
    <w:rsid w:val="003A0002"/>
    <w:rsid w:val="003A0295"/>
    <w:rsid w:val="003A0D83"/>
    <w:rsid w:val="003B0D75"/>
    <w:rsid w:val="003B3207"/>
    <w:rsid w:val="003C3325"/>
    <w:rsid w:val="003D2606"/>
    <w:rsid w:val="003D39C7"/>
    <w:rsid w:val="003D45F5"/>
    <w:rsid w:val="003D6B60"/>
    <w:rsid w:val="003E010E"/>
    <w:rsid w:val="003E1D81"/>
    <w:rsid w:val="003E7874"/>
    <w:rsid w:val="003F60A3"/>
    <w:rsid w:val="004001BE"/>
    <w:rsid w:val="0040124D"/>
    <w:rsid w:val="004017C8"/>
    <w:rsid w:val="0040181A"/>
    <w:rsid w:val="004024C2"/>
    <w:rsid w:val="004068A7"/>
    <w:rsid w:val="00406C11"/>
    <w:rsid w:val="004106B2"/>
    <w:rsid w:val="00412CBC"/>
    <w:rsid w:val="004156E2"/>
    <w:rsid w:val="0042388D"/>
    <w:rsid w:val="00427ABD"/>
    <w:rsid w:val="004317AB"/>
    <w:rsid w:val="00431DBF"/>
    <w:rsid w:val="00433512"/>
    <w:rsid w:val="0043432D"/>
    <w:rsid w:val="00441D7B"/>
    <w:rsid w:val="00444250"/>
    <w:rsid w:val="00444298"/>
    <w:rsid w:val="004456C5"/>
    <w:rsid w:val="00454666"/>
    <w:rsid w:val="004574A4"/>
    <w:rsid w:val="00463236"/>
    <w:rsid w:val="004657D3"/>
    <w:rsid w:val="0046690A"/>
    <w:rsid w:val="0046782F"/>
    <w:rsid w:val="00471E1E"/>
    <w:rsid w:val="0047278F"/>
    <w:rsid w:val="0047590B"/>
    <w:rsid w:val="00490F98"/>
    <w:rsid w:val="00491349"/>
    <w:rsid w:val="00493684"/>
    <w:rsid w:val="00493E48"/>
    <w:rsid w:val="00496ACE"/>
    <w:rsid w:val="00497530"/>
    <w:rsid w:val="004A00FD"/>
    <w:rsid w:val="004A5CFF"/>
    <w:rsid w:val="004A61D7"/>
    <w:rsid w:val="004A6B5A"/>
    <w:rsid w:val="004B1026"/>
    <w:rsid w:val="004B5992"/>
    <w:rsid w:val="004C093C"/>
    <w:rsid w:val="004C0B7A"/>
    <w:rsid w:val="004C0CA0"/>
    <w:rsid w:val="004C2A01"/>
    <w:rsid w:val="004C5B48"/>
    <w:rsid w:val="004C6493"/>
    <w:rsid w:val="004D2D8E"/>
    <w:rsid w:val="004D4879"/>
    <w:rsid w:val="004D7C23"/>
    <w:rsid w:val="004D7F2C"/>
    <w:rsid w:val="004E07B6"/>
    <w:rsid w:val="004E0B6D"/>
    <w:rsid w:val="004E63AF"/>
    <w:rsid w:val="004F411F"/>
    <w:rsid w:val="004F60D3"/>
    <w:rsid w:val="004F7D8F"/>
    <w:rsid w:val="0050182A"/>
    <w:rsid w:val="00502DB5"/>
    <w:rsid w:val="005053C1"/>
    <w:rsid w:val="00506ECC"/>
    <w:rsid w:val="00510D3F"/>
    <w:rsid w:val="00511E18"/>
    <w:rsid w:val="00512B77"/>
    <w:rsid w:val="00515ADE"/>
    <w:rsid w:val="00515E63"/>
    <w:rsid w:val="005176F4"/>
    <w:rsid w:val="005203BA"/>
    <w:rsid w:val="005220F8"/>
    <w:rsid w:val="00522932"/>
    <w:rsid w:val="0052539A"/>
    <w:rsid w:val="005309DD"/>
    <w:rsid w:val="0053320F"/>
    <w:rsid w:val="005406CD"/>
    <w:rsid w:val="00542C65"/>
    <w:rsid w:val="00544037"/>
    <w:rsid w:val="0054537C"/>
    <w:rsid w:val="00547AD0"/>
    <w:rsid w:val="005509F0"/>
    <w:rsid w:val="00553778"/>
    <w:rsid w:val="00553AC5"/>
    <w:rsid w:val="00554646"/>
    <w:rsid w:val="005555A0"/>
    <w:rsid w:val="0056216F"/>
    <w:rsid w:val="005627E9"/>
    <w:rsid w:val="00572506"/>
    <w:rsid w:val="00573AC9"/>
    <w:rsid w:val="00581DBA"/>
    <w:rsid w:val="00581F60"/>
    <w:rsid w:val="005829C2"/>
    <w:rsid w:val="00582A46"/>
    <w:rsid w:val="0058322B"/>
    <w:rsid w:val="00583A5C"/>
    <w:rsid w:val="0058471F"/>
    <w:rsid w:val="0058487A"/>
    <w:rsid w:val="00592CFD"/>
    <w:rsid w:val="00593C8A"/>
    <w:rsid w:val="005960B9"/>
    <w:rsid w:val="005A3DFC"/>
    <w:rsid w:val="005A5B0F"/>
    <w:rsid w:val="005A69F8"/>
    <w:rsid w:val="005A6B45"/>
    <w:rsid w:val="005A7B9D"/>
    <w:rsid w:val="005B0579"/>
    <w:rsid w:val="005B27CD"/>
    <w:rsid w:val="005B314D"/>
    <w:rsid w:val="005B353B"/>
    <w:rsid w:val="005B547C"/>
    <w:rsid w:val="005B65A5"/>
    <w:rsid w:val="005B67BE"/>
    <w:rsid w:val="005B7116"/>
    <w:rsid w:val="005C6C4F"/>
    <w:rsid w:val="005D000E"/>
    <w:rsid w:val="005D62E5"/>
    <w:rsid w:val="005D7216"/>
    <w:rsid w:val="005E12F7"/>
    <w:rsid w:val="005E548A"/>
    <w:rsid w:val="005E5BCC"/>
    <w:rsid w:val="005E5CCE"/>
    <w:rsid w:val="005E6CCC"/>
    <w:rsid w:val="005F19BB"/>
    <w:rsid w:val="005F3B5B"/>
    <w:rsid w:val="006022C0"/>
    <w:rsid w:val="00602E42"/>
    <w:rsid w:val="00603657"/>
    <w:rsid w:val="0060479B"/>
    <w:rsid w:val="00606A55"/>
    <w:rsid w:val="00611AC2"/>
    <w:rsid w:val="00613BB6"/>
    <w:rsid w:val="0061777B"/>
    <w:rsid w:val="00624066"/>
    <w:rsid w:val="00624620"/>
    <w:rsid w:val="00624946"/>
    <w:rsid w:val="00625173"/>
    <w:rsid w:val="00630CCB"/>
    <w:rsid w:val="00631E71"/>
    <w:rsid w:val="0063350A"/>
    <w:rsid w:val="006340A0"/>
    <w:rsid w:val="0063581A"/>
    <w:rsid w:val="00636BF4"/>
    <w:rsid w:val="00642CB1"/>
    <w:rsid w:val="006431A9"/>
    <w:rsid w:val="006466DF"/>
    <w:rsid w:val="006518D0"/>
    <w:rsid w:val="00652393"/>
    <w:rsid w:val="00656003"/>
    <w:rsid w:val="006571DD"/>
    <w:rsid w:val="0065774D"/>
    <w:rsid w:val="0065792C"/>
    <w:rsid w:val="0066668A"/>
    <w:rsid w:val="00675065"/>
    <w:rsid w:val="00675563"/>
    <w:rsid w:val="00675632"/>
    <w:rsid w:val="00685346"/>
    <w:rsid w:val="00685B24"/>
    <w:rsid w:val="006870E8"/>
    <w:rsid w:val="00690BC5"/>
    <w:rsid w:val="00690C8E"/>
    <w:rsid w:val="006933DD"/>
    <w:rsid w:val="0069471D"/>
    <w:rsid w:val="00695670"/>
    <w:rsid w:val="00695E20"/>
    <w:rsid w:val="006A3BA0"/>
    <w:rsid w:val="006A4EC6"/>
    <w:rsid w:val="006A6DF3"/>
    <w:rsid w:val="006B20D5"/>
    <w:rsid w:val="006B34F6"/>
    <w:rsid w:val="006B4952"/>
    <w:rsid w:val="006B5EA1"/>
    <w:rsid w:val="006B7F10"/>
    <w:rsid w:val="006C042B"/>
    <w:rsid w:val="006C2543"/>
    <w:rsid w:val="006C7C59"/>
    <w:rsid w:val="006D0312"/>
    <w:rsid w:val="006D214E"/>
    <w:rsid w:val="006D2DEA"/>
    <w:rsid w:val="006D2E9C"/>
    <w:rsid w:val="006D30BC"/>
    <w:rsid w:val="006E1A0E"/>
    <w:rsid w:val="006E6E8B"/>
    <w:rsid w:val="006E7C76"/>
    <w:rsid w:val="006F04CD"/>
    <w:rsid w:val="006F07C9"/>
    <w:rsid w:val="006F0A6B"/>
    <w:rsid w:val="006F0F75"/>
    <w:rsid w:val="006F5AC8"/>
    <w:rsid w:val="006F5F50"/>
    <w:rsid w:val="006F721C"/>
    <w:rsid w:val="00704218"/>
    <w:rsid w:val="00706102"/>
    <w:rsid w:val="00711356"/>
    <w:rsid w:val="00716375"/>
    <w:rsid w:val="00724763"/>
    <w:rsid w:val="007326D4"/>
    <w:rsid w:val="007331C5"/>
    <w:rsid w:val="00733D26"/>
    <w:rsid w:val="00733E96"/>
    <w:rsid w:val="00734BE2"/>
    <w:rsid w:val="00734DBA"/>
    <w:rsid w:val="007405AB"/>
    <w:rsid w:val="0074169B"/>
    <w:rsid w:val="007416A5"/>
    <w:rsid w:val="00742326"/>
    <w:rsid w:val="00743F8B"/>
    <w:rsid w:val="007552A7"/>
    <w:rsid w:val="00757FC1"/>
    <w:rsid w:val="00760265"/>
    <w:rsid w:val="00763522"/>
    <w:rsid w:val="00770D89"/>
    <w:rsid w:val="00771FBD"/>
    <w:rsid w:val="00772751"/>
    <w:rsid w:val="00772BFA"/>
    <w:rsid w:val="007732E5"/>
    <w:rsid w:val="00773A1F"/>
    <w:rsid w:val="007750D4"/>
    <w:rsid w:val="00775725"/>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6103"/>
    <w:rsid w:val="007C7079"/>
    <w:rsid w:val="007C745E"/>
    <w:rsid w:val="007C7E4A"/>
    <w:rsid w:val="007D249E"/>
    <w:rsid w:val="007D2EE8"/>
    <w:rsid w:val="007D4745"/>
    <w:rsid w:val="007D596E"/>
    <w:rsid w:val="007D61F2"/>
    <w:rsid w:val="007D6288"/>
    <w:rsid w:val="007D7D00"/>
    <w:rsid w:val="007E1576"/>
    <w:rsid w:val="007E2BD2"/>
    <w:rsid w:val="007E5F41"/>
    <w:rsid w:val="007E6CF2"/>
    <w:rsid w:val="007F1EB4"/>
    <w:rsid w:val="007F5493"/>
    <w:rsid w:val="007F5B53"/>
    <w:rsid w:val="007F6DC7"/>
    <w:rsid w:val="0080075E"/>
    <w:rsid w:val="00802AAC"/>
    <w:rsid w:val="00806FED"/>
    <w:rsid w:val="00811115"/>
    <w:rsid w:val="008134C7"/>
    <w:rsid w:val="008139EB"/>
    <w:rsid w:val="008150A6"/>
    <w:rsid w:val="008151E2"/>
    <w:rsid w:val="00816091"/>
    <w:rsid w:val="00816182"/>
    <w:rsid w:val="00821BA2"/>
    <w:rsid w:val="00822824"/>
    <w:rsid w:val="008228B9"/>
    <w:rsid w:val="00824639"/>
    <w:rsid w:val="00826C95"/>
    <w:rsid w:val="00832985"/>
    <w:rsid w:val="008332CE"/>
    <w:rsid w:val="008345B9"/>
    <w:rsid w:val="008354ED"/>
    <w:rsid w:val="00835DAD"/>
    <w:rsid w:val="008376EF"/>
    <w:rsid w:val="00837760"/>
    <w:rsid w:val="00837F02"/>
    <w:rsid w:val="00840EF2"/>
    <w:rsid w:val="00843C41"/>
    <w:rsid w:val="0084500E"/>
    <w:rsid w:val="008455FB"/>
    <w:rsid w:val="0084584F"/>
    <w:rsid w:val="00850BC8"/>
    <w:rsid w:val="00850E33"/>
    <w:rsid w:val="00856715"/>
    <w:rsid w:val="00856DC0"/>
    <w:rsid w:val="00861CE7"/>
    <w:rsid w:val="00864D01"/>
    <w:rsid w:val="00865BFC"/>
    <w:rsid w:val="008669F7"/>
    <w:rsid w:val="0087394A"/>
    <w:rsid w:val="00874D32"/>
    <w:rsid w:val="00881B84"/>
    <w:rsid w:val="008876A3"/>
    <w:rsid w:val="00887DFB"/>
    <w:rsid w:val="0089283A"/>
    <w:rsid w:val="00892ADC"/>
    <w:rsid w:val="00893813"/>
    <w:rsid w:val="0089658C"/>
    <w:rsid w:val="00896F74"/>
    <w:rsid w:val="00897000"/>
    <w:rsid w:val="008A2458"/>
    <w:rsid w:val="008A66B8"/>
    <w:rsid w:val="008A7EED"/>
    <w:rsid w:val="008B2B1D"/>
    <w:rsid w:val="008B5009"/>
    <w:rsid w:val="008B7E45"/>
    <w:rsid w:val="008C1237"/>
    <w:rsid w:val="008C64FB"/>
    <w:rsid w:val="008C771B"/>
    <w:rsid w:val="008C77A4"/>
    <w:rsid w:val="008D0DB7"/>
    <w:rsid w:val="008D2DAF"/>
    <w:rsid w:val="008D4EEC"/>
    <w:rsid w:val="008E1C91"/>
    <w:rsid w:val="008E2A0E"/>
    <w:rsid w:val="008E2EFF"/>
    <w:rsid w:val="008E3B9E"/>
    <w:rsid w:val="008E4E0F"/>
    <w:rsid w:val="008E738E"/>
    <w:rsid w:val="008F0A84"/>
    <w:rsid w:val="008F0CC3"/>
    <w:rsid w:val="008F44C7"/>
    <w:rsid w:val="008F5035"/>
    <w:rsid w:val="008F5056"/>
    <w:rsid w:val="0090408F"/>
    <w:rsid w:val="00906F8A"/>
    <w:rsid w:val="00915570"/>
    <w:rsid w:val="0091611D"/>
    <w:rsid w:val="00916267"/>
    <w:rsid w:val="00921082"/>
    <w:rsid w:val="00922EFB"/>
    <w:rsid w:val="00923A6C"/>
    <w:rsid w:val="009249C8"/>
    <w:rsid w:val="00933F00"/>
    <w:rsid w:val="00935401"/>
    <w:rsid w:val="0094003A"/>
    <w:rsid w:val="0094004A"/>
    <w:rsid w:val="00946A82"/>
    <w:rsid w:val="00951071"/>
    <w:rsid w:val="0095333C"/>
    <w:rsid w:val="00955186"/>
    <w:rsid w:val="00956EE8"/>
    <w:rsid w:val="009643C2"/>
    <w:rsid w:val="00966B6A"/>
    <w:rsid w:val="0097057C"/>
    <w:rsid w:val="009715C5"/>
    <w:rsid w:val="00971AF2"/>
    <w:rsid w:val="009723B8"/>
    <w:rsid w:val="00974455"/>
    <w:rsid w:val="0098281C"/>
    <w:rsid w:val="0098423D"/>
    <w:rsid w:val="009850E9"/>
    <w:rsid w:val="00985DFA"/>
    <w:rsid w:val="00986315"/>
    <w:rsid w:val="009911E3"/>
    <w:rsid w:val="00994E42"/>
    <w:rsid w:val="00995178"/>
    <w:rsid w:val="009A1C33"/>
    <w:rsid w:val="009A2439"/>
    <w:rsid w:val="009A2BFF"/>
    <w:rsid w:val="009A6D30"/>
    <w:rsid w:val="009B206F"/>
    <w:rsid w:val="009B5F6F"/>
    <w:rsid w:val="009B7A7F"/>
    <w:rsid w:val="009B7A90"/>
    <w:rsid w:val="009B7BA4"/>
    <w:rsid w:val="009C1007"/>
    <w:rsid w:val="009C1F6E"/>
    <w:rsid w:val="009C2514"/>
    <w:rsid w:val="009C3C03"/>
    <w:rsid w:val="009C3EBA"/>
    <w:rsid w:val="009C4C61"/>
    <w:rsid w:val="009C5377"/>
    <w:rsid w:val="009C7BA0"/>
    <w:rsid w:val="009D1B51"/>
    <w:rsid w:val="009D52BF"/>
    <w:rsid w:val="009D6DD3"/>
    <w:rsid w:val="009E3F57"/>
    <w:rsid w:val="009E4F8A"/>
    <w:rsid w:val="009E6771"/>
    <w:rsid w:val="009E67E4"/>
    <w:rsid w:val="009F0511"/>
    <w:rsid w:val="009F1DBD"/>
    <w:rsid w:val="009F22FE"/>
    <w:rsid w:val="009F750B"/>
    <w:rsid w:val="00A00435"/>
    <w:rsid w:val="00A03071"/>
    <w:rsid w:val="00A05B11"/>
    <w:rsid w:val="00A06B7F"/>
    <w:rsid w:val="00A07D9C"/>
    <w:rsid w:val="00A109CC"/>
    <w:rsid w:val="00A13EDB"/>
    <w:rsid w:val="00A14C4D"/>
    <w:rsid w:val="00A15845"/>
    <w:rsid w:val="00A17B52"/>
    <w:rsid w:val="00A2141C"/>
    <w:rsid w:val="00A21B16"/>
    <w:rsid w:val="00A22D76"/>
    <w:rsid w:val="00A24D47"/>
    <w:rsid w:val="00A30370"/>
    <w:rsid w:val="00A32017"/>
    <w:rsid w:val="00A3527C"/>
    <w:rsid w:val="00A37E7E"/>
    <w:rsid w:val="00A4098F"/>
    <w:rsid w:val="00A4193A"/>
    <w:rsid w:val="00A45C6F"/>
    <w:rsid w:val="00A46DCC"/>
    <w:rsid w:val="00A5014E"/>
    <w:rsid w:val="00A562E3"/>
    <w:rsid w:val="00A569D3"/>
    <w:rsid w:val="00A6062B"/>
    <w:rsid w:val="00A62089"/>
    <w:rsid w:val="00A654EF"/>
    <w:rsid w:val="00A658F2"/>
    <w:rsid w:val="00A65AFD"/>
    <w:rsid w:val="00A66B78"/>
    <w:rsid w:val="00A6769B"/>
    <w:rsid w:val="00A677C6"/>
    <w:rsid w:val="00A67E25"/>
    <w:rsid w:val="00A72C38"/>
    <w:rsid w:val="00A72FD2"/>
    <w:rsid w:val="00A7420A"/>
    <w:rsid w:val="00A74D3C"/>
    <w:rsid w:val="00A75DB1"/>
    <w:rsid w:val="00A761C2"/>
    <w:rsid w:val="00A76D29"/>
    <w:rsid w:val="00A86960"/>
    <w:rsid w:val="00A91A54"/>
    <w:rsid w:val="00A91B7E"/>
    <w:rsid w:val="00A96F13"/>
    <w:rsid w:val="00AA1080"/>
    <w:rsid w:val="00AA16D3"/>
    <w:rsid w:val="00AA18CA"/>
    <w:rsid w:val="00AA3BFA"/>
    <w:rsid w:val="00AA5A0A"/>
    <w:rsid w:val="00AA5E84"/>
    <w:rsid w:val="00AA725C"/>
    <w:rsid w:val="00AB3274"/>
    <w:rsid w:val="00AB7A0E"/>
    <w:rsid w:val="00AC0409"/>
    <w:rsid w:val="00AC0C60"/>
    <w:rsid w:val="00AC2E63"/>
    <w:rsid w:val="00AC2EA5"/>
    <w:rsid w:val="00AC3A70"/>
    <w:rsid w:val="00AC63F8"/>
    <w:rsid w:val="00AC7144"/>
    <w:rsid w:val="00AC75AF"/>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2758"/>
    <w:rsid w:val="00B02B5A"/>
    <w:rsid w:val="00B036CF"/>
    <w:rsid w:val="00B04B8A"/>
    <w:rsid w:val="00B04BFB"/>
    <w:rsid w:val="00B104AA"/>
    <w:rsid w:val="00B11872"/>
    <w:rsid w:val="00B13979"/>
    <w:rsid w:val="00B15E4F"/>
    <w:rsid w:val="00B2012B"/>
    <w:rsid w:val="00B20B29"/>
    <w:rsid w:val="00B20CB9"/>
    <w:rsid w:val="00B20D52"/>
    <w:rsid w:val="00B2167C"/>
    <w:rsid w:val="00B246D3"/>
    <w:rsid w:val="00B262C9"/>
    <w:rsid w:val="00B26A2C"/>
    <w:rsid w:val="00B30526"/>
    <w:rsid w:val="00B32FCD"/>
    <w:rsid w:val="00B34577"/>
    <w:rsid w:val="00B34E07"/>
    <w:rsid w:val="00B42D00"/>
    <w:rsid w:val="00B43464"/>
    <w:rsid w:val="00B45223"/>
    <w:rsid w:val="00B45C7D"/>
    <w:rsid w:val="00B461F3"/>
    <w:rsid w:val="00B50C36"/>
    <w:rsid w:val="00B51C5E"/>
    <w:rsid w:val="00B52083"/>
    <w:rsid w:val="00B52525"/>
    <w:rsid w:val="00B52B44"/>
    <w:rsid w:val="00B52D72"/>
    <w:rsid w:val="00B56BAC"/>
    <w:rsid w:val="00B571F4"/>
    <w:rsid w:val="00B64780"/>
    <w:rsid w:val="00B6494B"/>
    <w:rsid w:val="00B65E8E"/>
    <w:rsid w:val="00B67926"/>
    <w:rsid w:val="00B679FA"/>
    <w:rsid w:val="00B72B4C"/>
    <w:rsid w:val="00B75DE1"/>
    <w:rsid w:val="00B76EAC"/>
    <w:rsid w:val="00B81ECA"/>
    <w:rsid w:val="00B838D7"/>
    <w:rsid w:val="00B86A3E"/>
    <w:rsid w:val="00B9113C"/>
    <w:rsid w:val="00B91DE8"/>
    <w:rsid w:val="00B96111"/>
    <w:rsid w:val="00B975ED"/>
    <w:rsid w:val="00B979E2"/>
    <w:rsid w:val="00B97D1F"/>
    <w:rsid w:val="00B97E9D"/>
    <w:rsid w:val="00BA38E0"/>
    <w:rsid w:val="00BA619F"/>
    <w:rsid w:val="00BA7D43"/>
    <w:rsid w:val="00BB02EB"/>
    <w:rsid w:val="00BB0A6C"/>
    <w:rsid w:val="00BB2DBC"/>
    <w:rsid w:val="00BB4AC7"/>
    <w:rsid w:val="00BB4CD0"/>
    <w:rsid w:val="00BB61C1"/>
    <w:rsid w:val="00BB6B4A"/>
    <w:rsid w:val="00BB7E90"/>
    <w:rsid w:val="00BC03CC"/>
    <w:rsid w:val="00BC11D7"/>
    <w:rsid w:val="00BC1B9C"/>
    <w:rsid w:val="00BC2C14"/>
    <w:rsid w:val="00BC31EE"/>
    <w:rsid w:val="00BC3C19"/>
    <w:rsid w:val="00BC4B27"/>
    <w:rsid w:val="00BC5C23"/>
    <w:rsid w:val="00BD15BE"/>
    <w:rsid w:val="00BD3BF3"/>
    <w:rsid w:val="00BD5316"/>
    <w:rsid w:val="00BD6613"/>
    <w:rsid w:val="00BD7E81"/>
    <w:rsid w:val="00BE41BE"/>
    <w:rsid w:val="00BE6F8C"/>
    <w:rsid w:val="00BE735F"/>
    <w:rsid w:val="00BF0B0F"/>
    <w:rsid w:val="00BF150A"/>
    <w:rsid w:val="00BF30A5"/>
    <w:rsid w:val="00BF3210"/>
    <w:rsid w:val="00BF3B09"/>
    <w:rsid w:val="00C03270"/>
    <w:rsid w:val="00C048FB"/>
    <w:rsid w:val="00C04CFA"/>
    <w:rsid w:val="00C076EF"/>
    <w:rsid w:val="00C16C84"/>
    <w:rsid w:val="00C21DB4"/>
    <w:rsid w:val="00C224CD"/>
    <w:rsid w:val="00C25539"/>
    <w:rsid w:val="00C25C2B"/>
    <w:rsid w:val="00C34D95"/>
    <w:rsid w:val="00C357EB"/>
    <w:rsid w:val="00C37015"/>
    <w:rsid w:val="00C40072"/>
    <w:rsid w:val="00C4213E"/>
    <w:rsid w:val="00C438D5"/>
    <w:rsid w:val="00C45741"/>
    <w:rsid w:val="00C472A3"/>
    <w:rsid w:val="00C50C4A"/>
    <w:rsid w:val="00C524B1"/>
    <w:rsid w:val="00C56B9D"/>
    <w:rsid w:val="00C60706"/>
    <w:rsid w:val="00C6464D"/>
    <w:rsid w:val="00C64FE6"/>
    <w:rsid w:val="00C72DBC"/>
    <w:rsid w:val="00C76B39"/>
    <w:rsid w:val="00C8194B"/>
    <w:rsid w:val="00C8510F"/>
    <w:rsid w:val="00C856C4"/>
    <w:rsid w:val="00C8634C"/>
    <w:rsid w:val="00C86F92"/>
    <w:rsid w:val="00C90072"/>
    <w:rsid w:val="00C9533B"/>
    <w:rsid w:val="00CB0748"/>
    <w:rsid w:val="00CB18BD"/>
    <w:rsid w:val="00CB232C"/>
    <w:rsid w:val="00CB2D79"/>
    <w:rsid w:val="00CB2E90"/>
    <w:rsid w:val="00CB4405"/>
    <w:rsid w:val="00CB4EF4"/>
    <w:rsid w:val="00CB5BD0"/>
    <w:rsid w:val="00CB63F6"/>
    <w:rsid w:val="00CC042F"/>
    <w:rsid w:val="00CC11D6"/>
    <w:rsid w:val="00CD2668"/>
    <w:rsid w:val="00CD2FAC"/>
    <w:rsid w:val="00CD495B"/>
    <w:rsid w:val="00CD7C0B"/>
    <w:rsid w:val="00CD7C6C"/>
    <w:rsid w:val="00CE3BDB"/>
    <w:rsid w:val="00CE4305"/>
    <w:rsid w:val="00CE44AB"/>
    <w:rsid w:val="00CE4BC6"/>
    <w:rsid w:val="00CE52BF"/>
    <w:rsid w:val="00CE70DB"/>
    <w:rsid w:val="00CF001E"/>
    <w:rsid w:val="00CF50D5"/>
    <w:rsid w:val="00CF5C9B"/>
    <w:rsid w:val="00CF6662"/>
    <w:rsid w:val="00D01058"/>
    <w:rsid w:val="00D01136"/>
    <w:rsid w:val="00D03474"/>
    <w:rsid w:val="00D03476"/>
    <w:rsid w:val="00D03C0F"/>
    <w:rsid w:val="00D06B71"/>
    <w:rsid w:val="00D105D9"/>
    <w:rsid w:val="00D11FB0"/>
    <w:rsid w:val="00D129B0"/>
    <w:rsid w:val="00D1756F"/>
    <w:rsid w:val="00D21893"/>
    <w:rsid w:val="00D23DB6"/>
    <w:rsid w:val="00D242FC"/>
    <w:rsid w:val="00D26400"/>
    <w:rsid w:val="00D264F9"/>
    <w:rsid w:val="00D35E6A"/>
    <w:rsid w:val="00D361F7"/>
    <w:rsid w:val="00D37A4D"/>
    <w:rsid w:val="00D37BDA"/>
    <w:rsid w:val="00D409F8"/>
    <w:rsid w:val="00D41D8D"/>
    <w:rsid w:val="00D51C08"/>
    <w:rsid w:val="00D51F3E"/>
    <w:rsid w:val="00D55D74"/>
    <w:rsid w:val="00D568D6"/>
    <w:rsid w:val="00D613B2"/>
    <w:rsid w:val="00D61D4F"/>
    <w:rsid w:val="00D62526"/>
    <w:rsid w:val="00D65B3B"/>
    <w:rsid w:val="00D6655A"/>
    <w:rsid w:val="00D7158D"/>
    <w:rsid w:val="00D73BEF"/>
    <w:rsid w:val="00D75DD7"/>
    <w:rsid w:val="00D8461E"/>
    <w:rsid w:val="00D848AF"/>
    <w:rsid w:val="00D84D41"/>
    <w:rsid w:val="00D85867"/>
    <w:rsid w:val="00D90438"/>
    <w:rsid w:val="00D90F7C"/>
    <w:rsid w:val="00D93BBB"/>
    <w:rsid w:val="00D9483F"/>
    <w:rsid w:val="00D9612C"/>
    <w:rsid w:val="00DA0DFD"/>
    <w:rsid w:val="00DA26D1"/>
    <w:rsid w:val="00DB18FC"/>
    <w:rsid w:val="00DB2769"/>
    <w:rsid w:val="00DB4762"/>
    <w:rsid w:val="00DB630A"/>
    <w:rsid w:val="00DB6473"/>
    <w:rsid w:val="00DC4AE1"/>
    <w:rsid w:val="00DC6B38"/>
    <w:rsid w:val="00DC767D"/>
    <w:rsid w:val="00DC7A15"/>
    <w:rsid w:val="00DD0CDD"/>
    <w:rsid w:val="00DD26EA"/>
    <w:rsid w:val="00DD35BB"/>
    <w:rsid w:val="00DD7198"/>
    <w:rsid w:val="00DE3B48"/>
    <w:rsid w:val="00DF0FF1"/>
    <w:rsid w:val="00DF1557"/>
    <w:rsid w:val="00DF7223"/>
    <w:rsid w:val="00DF749E"/>
    <w:rsid w:val="00DF7988"/>
    <w:rsid w:val="00E0112E"/>
    <w:rsid w:val="00E02056"/>
    <w:rsid w:val="00E037D5"/>
    <w:rsid w:val="00E07EB9"/>
    <w:rsid w:val="00E10A87"/>
    <w:rsid w:val="00E114BC"/>
    <w:rsid w:val="00E11D50"/>
    <w:rsid w:val="00E13609"/>
    <w:rsid w:val="00E14B3C"/>
    <w:rsid w:val="00E16067"/>
    <w:rsid w:val="00E212E3"/>
    <w:rsid w:val="00E227F4"/>
    <w:rsid w:val="00E23903"/>
    <w:rsid w:val="00E2575E"/>
    <w:rsid w:val="00E27DAA"/>
    <w:rsid w:val="00E27FDC"/>
    <w:rsid w:val="00E30E7D"/>
    <w:rsid w:val="00E31BA9"/>
    <w:rsid w:val="00E40872"/>
    <w:rsid w:val="00E41594"/>
    <w:rsid w:val="00E46A08"/>
    <w:rsid w:val="00E56FE8"/>
    <w:rsid w:val="00E57C5E"/>
    <w:rsid w:val="00E6057C"/>
    <w:rsid w:val="00E607A7"/>
    <w:rsid w:val="00E63BD1"/>
    <w:rsid w:val="00E6467D"/>
    <w:rsid w:val="00E66BCF"/>
    <w:rsid w:val="00E71342"/>
    <w:rsid w:val="00E728E4"/>
    <w:rsid w:val="00E75741"/>
    <w:rsid w:val="00E83DB2"/>
    <w:rsid w:val="00E85DAF"/>
    <w:rsid w:val="00E87864"/>
    <w:rsid w:val="00E9170D"/>
    <w:rsid w:val="00E9198A"/>
    <w:rsid w:val="00E931C1"/>
    <w:rsid w:val="00E93D73"/>
    <w:rsid w:val="00E94BFD"/>
    <w:rsid w:val="00E94E0E"/>
    <w:rsid w:val="00E97186"/>
    <w:rsid w:val="00E97F6C"/>
    <w:rsid w:val="00EA04D2"/>
    <w:rsid w:val="00EA68DB"/>
    <w:rsid w:val="00EB1A62"/>
    <w:rsid w:val="00EB7A4C"/>
    <w:rsid w:val="00EC2A66"/>
    <w:rsid w:val="00EC3672"/>
    <w:rsid w:val="00ED0960"/>
    <w:rsid w:val="00ED3782"/>
    <w:rsid w:val="00ED56C1"/>
    <w:rsid w:val="00EE1F49"/>
    <w:rsid w:val="00EE1F87"/>
    <w:rsid w:val="00EE3720"/>
    <w:rsid w:val="00EE3F92"/>
    <w:rsid w:val="00EE7634"/>
    <w:rsid w:val="00EF1FCF"/>
    <w:rsid w:val="00EF271D"/>
    <w:rsid w:val="00EF4228"/>
    <w:rsid w:val="00EF4DC8"/>
    <w:rsid w:val="00EF659E"/>
    <w:rsid w:val="00EF6A13"/>
    <w:rsid w:val="00F01751"/>
    <w:rsid w:val="00F02CF2"/>
    <w:rsid w:val="00F0385A"/>
    <w:rsid w:val="00F1070F"/>
    <w:rsid w:val="00F14992"/>
    <w:rsid w:val="00F14DE0"/>
    <w:rsid w:val="00F21D20"/>
    <w:rsid w:val="00F22674"/>
    <w:rsid w:val="00F22B78"/>
    <w:rsid w:val="00F244F9"/>
    <w:rsid w:val="00F25220"/>
    <w:rsid w:val="00F25320"/>
    <w:rsid w:val="00F26FA6"/>
    <w:rsid w:val="00F306D7"/>
    <w:rsid w:val="00F308B7"/>
    <w:rsid w:val="00F31CAB"/>
    <w:rsid w:val="00F32A46"/>
    <w:rsid w:val="00F37170"/>
    <w:rsid w:val="00F43040"/>
    <w:rsid w:val="00F44E00"/>
    <w:rsid w:val="00F44EC3"/>
    <w:rsid w:val="00F459DC"/>
    <w:rsid w:val="00F46B72"/>
    <w:rsid w:val="00F474AB"/>
    <w:rsid w:val="00F476F6"/>
    <w:rsid w:val="00F47A28"/>
    <w:rsid w:val="00F5050C"/>
    <w:rsid w:val="00F5134E"/>
    <w:rsid w:val="00F528DD"/>
    <w:rsid w:val="00F52A18"/>
    <w:rsid w:val="00F52C68"/>
    <w:rsid w:val="00F53CC6"/>
    <w:rsid w:val="00F564CD"/>
    <w:rsid w:val="00F61702"/>
    <w:rsid w:val="00F62E71"/>
    <w:rsid w:val="00F630C8"/>
    <w:rsid w:val="00F64C12"/>
    <w:rsid w:val="00F6552D"/>
    <w:rsid w:val="00F67278"/>
    <w:rsid w:val="00F710E9"/>
    <w:rsid w:val="00F733F0"/>
    <w:rsid w:val="00F76A72"/>
    <w:rsid w:val="00F77340"/>
    <w:rsid w:val="00F8042D"/>
    <w:rsid w:val="00F85256"/>
    <w:rsid w:val="00F87572"/>
    <w:rsid w:val="00F87CA2"/>
    <w:rsid w:val="00F91976"/>
    <w:rsid w:val="00F92C8D"/>
    <w:rsid w:val="00F931AD"/>
    <w:rsid w:val="00F9741A"/>
    <w:rsid w:val="00FA1F53"/>
    <w:rsid w:val="00FA2095"/>
    <w:rsid w:val="00FA244D"/>
    <w:rsid w:val="00FB1215"/>
    <w:rsid w:val="00FB4CB0"/>
    <w:rsid w:val="00FB6392"/>
    <w:rsid w:val="00FC39BA"/>
    <w:rsid w:val="00FC3DAC"/>
    <w:rsid w:val="00FD1428"/>
    <w:rsid w:val="00FD20C5"/>
    <w:rsid w:val="00FD2761"/>
    <w:rsid w:val="00FD37B5"/>
    <w:rsid w:val="00FD4568"/>
    <w:rsid w:val="00FD5B5E"/>
    <w:rsid w:val="00FD613E"/>
    <w:rsid w:val="00FD6F4D"/>
    <w:rsid w:val="00FE05A0"/>
    <w:rsid w:val="00FE3FCF"/>
    <w:rsid w:val="00FF2E19"/>
    <w:rsid w:val="00FF756F"/>
    <w:rsid w:val="01785F13"/>
    <w:rsid w:val="023F0F20"/>
    <w:rsid w:val="05812B41"/>
    <w:rsid w:val="06380747"/>
    <w:rsid w:val="06BD28F3"/>
    <w:rsid w:val="071C0D73"/>
    <w:rsid w:val="07CC279A"/>
    <w:rsid w:val="08CF2D89"/>
    <w:rsid w:val="08D631A4"/>
    <w:rsid w:val="09393719"/>
    <w:rsid w:val="0A1F0598"/>
    <w:rsid w:val="0C8353F1"/>
    <w:rsid w:val="0CE04E0F"/>
    <w:rsid w:val="0D447276"/>
    <w:rsid w:val="0DB22432"/>
    <w:rsid w:val="0E15651D"/>
    <w:rsid w:val="0F4C2412"/>
    <w:rsid w:val="0FDC6720"/>
    <w:rsid w:val="11161C74"/>
    <w:rsid w:val="112F3D99"/>
    <w:rsid w:val="11967974"/>
    <w:rsid w:val="11B73A2C"/>
    <w:rsid w:val="12BC78AF"/>
    <w:rsid w:val="141A663B"/>
    <w:rsid w:val="142E103A"/>
    <w:rsid w:val="14BC5944"/>
    <w:rsid w:val="15316332"/>
    <w:rsid w:val="16034B4F"/>
    <w:rsid w:val="173C0FBE"/>
    <w:rsid w:val="17797B1C"/>
    <w:rsid w:val="197C38F4"/>
    <w:rsid w:val="1A231095"/>
    <w:rsid w:val="1B0B3181"/>
    <w:rsid w:val="1D2247B2"/>
    <w:rsid w:val="22274D44"/>
    <w:rsid w:val="241A4435"/>
    <w:rsid w:val="25BC1C48"/>
    <w:rsid w:val="26B64011"/>
    <w:rsid w:val="26E655A3"/>
    <w:rsid w:val="28CA467C"/>
    <w:rsid w:val="29567CBD"/>
    <w:rsid w:val="29D67050"/>
    <w:rsid w:val="2A7C19A5"/>
    <w:rsid w:val="2B1020EE"/>
    <w:rsid w:val="2C8E59C0"/>
    <w:rsid w:val="2D945258"/>
    <w:rsid w:val="2E00644A"/>
    <w:rsid w:val="2E1C5355"/>
    <w:rsid w:val="2F462582"/>
    <w:rsid w:val="2F904855"/>
    <w:rsid w:val="2FB873F9"/>
    <w:rsid w:val="31175F84"/>
    <w:rsid w:val="31224929"/>
    <w:rsid w:val="324E1E79"/>
    <w:rsid w:val="32987598"/>
    <w:rsid w:val="331C3D26"/>
    <w:rsid w:val="33884F17"/>
    <w:rsid w:val="34955CBB"/>
    <w:rsid w:val="350A1850"/>
    <w:rsid w:val="35531555"/>
    <w:rsid w:val="35DF76EE"/>
    <w:rsid w:val="363C16DB"/>
    <w:rsid w:val="38B13162"/>
    <w:rsid w:val="38BC2FE9"/>
    <w:rsid w:val="393B0C7E"/>
    <w:rsid w:val="39A1380C"/>
    <w:rsid w:val="39F14C64"/>
    <w:rsid w:val="3C242C51"/>
    <w:rsid w:val="3CDC62D4"/>
    <w:rsid w:val="3D5C1616"/>
    <w:rsid w:val="3EDF4C1B"/>
    <w:rsid w:val="40D43E92"/>
    <w:rsid w:val="410F4ECA"/>
    <w:rsid w:val="41361759"/>
    <w:rsid w:val="413B5CBF"/>
    <w:rsid w:val="41967399"/>
    <w:rsid w:val="42B06238"/>
    <w:rsid w:val="43652B30"/>
    <w:rsid w:val="437B6846"/>
    <w:rsid w:val="43E93296"/>
    <w:rsid w:val="46061908"/>
    <w:rsid w:val="477A0BC3"/>
    <w:rsid w:val="47A575EC"/>
    <w:rsid w:val="48784D69"/>
    <w:rsid w:val="49D85C1F"/>
    <w:rsid w:val="4A070E34"/>
    <w:rsid w:val="4AC7389D"/>
    <w:rsid w:val="4C5916EF"/>
    <w:rsid w:val="4DD52262"/>
    <w:rsid w:val="4FD113F6"/>
    <w:rsid w:val="504D7564"/>
    <w:rsid w:val="50521A79"/>
    <w:rsid w:val="51181B78"/>
    <w:rsid w:val="517B42C7"/>
    <w:rsid w:val="529F5982"/>
    <w:rsid w:val="560C332E"/>
    <w:rsid w:val="56821842"/>
    <w:rsid w:val="56FB205F"/>
    <w:rsid w:val="576176AA"/>
    <w:rsid w:val="57FB365A"/>
    <w:rsid w:val="586B2186"/>
    <w:rsid w:val="5A4C4641"/>
    <w:rsid w:val="5A993477"/>
    <w:rsid w:val="5B307ABF"/>
    <w:rsid w:val="5B392E17"/>
    <w:rsid w:val="5CBF559E"/>
    <w:rsid w:val="5D2E3C9A"/>
    <w:rsid w:val="5E0E058B"/>
    <w:rsid w:val="5E36363E"/>
    <w:rsid w:val="5EDA221B"/>
    <w:rsid w:val="5F0E45BB"/>
    <w:rsid w:val="5F2D4A41"/>
    <w:rsid w:val="607C25C0"/>
    <w:rsid w:val="61273712"/>
    <w:rsid w:val="61646714"/>
    <w:rsid w:val="61E57855"/>
    <w:rsid w:val="65670581"/>
    <w:rsid w:val="65C842CB"/>
    <w:rsid w:val="667271DD"/>
    <w:rsid w:val="66DB1226"/>
    <w:rsid w:val="681A38E7"/>
    <w:rsid w:val="68420E31"/>
    <w:rsid w:val="689C2C37"/>
    <w:rsid w:val="68AA0DA2"/>
    <w:rsid w:val="68D756E5"/>
    <w:rsid w:val="68F71C1C"/>
    <w:rsid w:val="690F5BE1"/>
    <w:rsid w:val="69790883"/>
    <w:rsid w:val="69E5416A"/>
    <w:rsid w:val="6C75240F"/>
    <w:rsid w:val="6E070B53"/>
    <w:rsid w:val="6E1312A6"/>
    <w:rsid w:val="6E2A65EF"/>
    <w:rsid w:val="6E5042A8"/>
    <w:rsid w:val="6F490CF7"/>
    <w:rsid w:val="6FDD4DE6"/>
    <w:rsid w:val="70657DB3"/>
    <w:rsid w:val="70CF7EE3"/>
    <w:rsid w:val="721D26F3"/>
    <w:rsid w:val="72CB5037"/>
    <w:rsid w:val="73572787"/>
    <w:rsid w:val="753B10E2"/>
    <w:rsid w:val="76FD50A9"/>
    <w:rsid w:val="78DF4BA6"/>
    <w:rsid w:val="78FE5CD7"/>
    <w:rsid w:val="7A8377B3"/>
    <w:rsid w:val="7B474C85"/>
    <w:rsid w:val="7C076571"/>
    <w:rsid w:val="7C480A5D"/>
    <w:rsid w:val="7D012C11"/>
    <w:rsid w:val="7E1075B0"/>
    <w:rsid w:val="7F9D13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jc w:val="center"/>
    </w:pPr>
  </w:style>
  <w:style w:type="paragraph" w:styleId="3">
    <w:name w:val="annotation text"/>
    <w:basedOn w:val="1"/>
    <w:link w:val="38"/>
    <w:semiHidden/>
    <w:unhideWhenUsed/>
    <w:qFormat/>
    <w:uiPriority w:val="99"/>
    <w:pPr>
      <w:jc w:val="left"/>
    </w:pPr>
  </w:style>
  <w:style w:type="paragraph" w:styleId="4">
    <w:name w:val="Plain Text"/>
    <w:basedOn w:val="1"/>
    <w:qFormat/>
    <w:uiPriority w:val="99"/>
    <w:rPr>
      <w:rFonts w:ascii="宋体" w:hAnsi="Courier New"/>
      <w:sz w:val="22"/>
      <w:szCs w:val="22"/>
    </w:rPr>
  </w:style>
  <w:style w:type="paragraph" w:styleId="5">
    <w:name w:val="Balloon Text"/>
    <w:basedOn w:val="1"/>
    <w:link w:val="40"/>
    <w:semiHidden/>
    <w:unhideWhenUsed/>
    <w:qFormat/>
    <w:uiPriority w:val="99"/>
    <w:rPr>
      <w:sz w:val="18"/>
      <w:szCs w:val="18"/>
    </w:rPr>
  </w:style>
  <w:style w:type="paragraph" w:styleId="6">
    <w:name w:val="footer"/>
    <w:basedOn w:val="1"/>
    <w:link w:val="37"/>
    <w:unhideWhenUsed/>
    <w:qFormat/>
    <w:uiPriority w:val="99"/>
    <w:pPr>
      <w:tabs>
        <w:tab w:val="center" w:pos="4153"/>
        <w:tab w:val="right" w:pos="8306"/>
      </w:tabs>
      <w:snapToGrid w:val="0"/>
      <w:jc w:val="left"/>
    </w:pPr>
    <w:rPr>
      <w:sz w:val="18"/>
      <w:szCs w:val="18"/>
    </w:rPr>
  </w:style>
  <w:style w:type="paragraph" w:styleId="7">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9">
    <w:name w:val="annotation subject"/>
    <w:basedOn w:val="3"/>
    <w:next w:val="3"/>
    <w:link w:val="39"/>
    <w:semiHidden/>
    <w:unhideWhenUsed/>
    <w:qFormat/>
    <w:uiPriority w:val="99"/>
    <w:rPr>
      <w:b/>
      <w:bCs/>
    </w:rPr>
  </w:style>
  <w:style w:type="character" w:styleId="12">
    <w:name w:val="Strong"/>
    <w:basedOn w:val="11"/>
    <w:qFormat/>
    <w:uiPriority w:val="0"/>
    <w:rPr>
      <w:b/>
    </w:rPr>
  </w:style>
  <w:style w:type="character" w:styleId="13">
    <w:name w:val="annotation reference"/>
    <w:basedOn w:val="11"/>
    <w:semiHidden/>
    <w:unhideWhenUsed/>
    <w:qFormat/>
    <w:uiPriority w:val="99"/>
    <w:rPr>
      <w:sz w:val="21"/>
      <w:szCs w:val="21"/>
    </w:rPr>
  </w:style>
  <w:style w:type="paragraph" w:customStyle="1" w:styleId="14">
    <w:name w:val="※封面大标题"/>
    <w:basedOn w:val="1"/>
    <w:next w:val="1"/>
    <w:qFormat/>
    <w:uiPriority w:val="0"/>
    <w:pPr>
      <w:widowControl/>
      <w:jc w:val="center"/>
    </w:pPr>
    <w:rPr>
      <w:rFonts w:ascii="华文中宋" w:hAnsi="华文中宋" w:eastAsia="华文中宋"/>
      <w:sz w:val="96"/>
      <w:szCs w:val="96"/>
    </w:rPr>
  </w:style>
  <w:style w:type="paragraph" w:customStyle="1" w:styleId="15">
    <w:name w:val="※封面题颌"/>
    <w:basedOn w:val="1"/>
    <w:next w:val="1"/>
    <w:qFormat/>
    <w:uiPriority w:val="0"/>
    <w:pPr>
      <w:widowControl/>
      <w:jc w:val="center"/>
    </w:pPr>
    <w:rPr>
      <w:rFonts w:ascii="Calibri Light" w:hAnsi="Calibri Light" w:eastAsia="华文仿宋"/>
      <w:sz w:val="36"/>
      <w:szCs w:val="36"/>
    </w:rPr>
  </w:style>
  <w:style w:type="paragraph" w:customStyle="1" w:styleId="16">
    <w:name w:val="※封面题眉"/>
    <w:basedOn w:val="1"/>
    <w:next w:val="14"/>
    <w:qFormat/>
    <w:uiPriority w:val="0"/>
    <w:pPr>
      <w:widowControl/>
      <w:jc w:val="center"/>
    </w:pPr>
    <w:rPr>
      <w:rFonts w:ascii="华文仿宋" w:hAnsi="华文仿宋" w:eastAsia="华文仿宋"/>
      <w:sz w:val="52"/>
      <w:szCs w:val="28"/>
    </w:rPr>
  </w:style>
  <w:style w:type="paragraph" w:customStyle="1" w:styleId="17">
    <w:name w:val="※封面题须"/>
    <w:basedOn w:val="1"/>
    <w:qFormat/>
    <w:uiPriority w:val="0"/>
    <w:pPr>
      <w:widowControl/>
      <w:ind w:left="850" w:leftChars="350" w:right="250" w:rightChars="250" w:hanging="500" w:hangingChars="500"/>
      <w:jc w:val="left"/>
    </w:pPr>
    <w:rPr>
      <w:rFonts w:ascii="Calibri Light" w:hAnsi="Calibri Light" w:eastAsia="华文仿宋"/>
      <w:sz w:val="36"/>
      <w:szCs w:val="36"/>
    </w:rPr>
  </w:style>
  <w:style w:type="paragraph" w:customStyle="1" w:styleId="18">
    <w:name w:val="※目录（次）"/>
    <w:basedOn w:val="1"/>
    <w:qFormat/>
    <w:uiPriority w:val="0"/>
    <w:pPr>
      <w:widowControl/>
      <w:tabs>
        <w:tab w:val="right" w:leader="hyphen" w:pos="8400"/>
      </w:tabs>
      <w:wordWrap w:val="0"/>
      <w:ind w:left="700" w:leftChars="200" w:right="300" w:rightChars="300" w:hanging="500" w:hangingChars="500"/>
      <w:jc w:val="left"/>
    </w:pPr>
    <w:rPr>
      <w:rFonts w:ascii="Calibri Light" w:hAnsi="Calibri Light" w:eastAsia="华文仿宋"/>
      <w:sz w:val="36"/>
      <w:szCs w:val="28"/>
    </w:rPr>
  </w:style>
  <w:style w:type="paragraph" w:customStyle="1" w:styleId="19">
    <w:name w:val="※目录（主）"/>
    <w:basedOn w:val="1"/>
    <w:qFormat/>
    <w:uiPriority w:val="0"/>
    <w:pPr>
      <w:widowControl/>
      <w:tabs>
        <w:tab w:val="right" w:leader="hyphen" w:pos="8400"/>
      </w:tabs>
      <w:spacing w:after="100" w:afterLines="100" w:line="400" w:lineRule="exact"/>
      <w:ind w:left="200" w:leftChars="200" w:right="200" w:rightChars="200" w:hanging="499" w:hangingChars="400"/>
      <w:jc w:val="left"/>
    </w:pPr>
    <w:rPr>
      <w:rFonts w:ascii="Calibri Light" w:hAnsi="Calibri Light" w:eastAsia="华文仿宋"/>
      <w:sz w:val="36"/>
      <w:szCs w:val="36"/>
    </w:rPr>
  </w:style>
  <w:style w:type="paragraph" w:customStyle="1" w:styleId="20">
    <w:name w:val="※小标题 1"/>
    <w:basedOn w:val="1"/>
    <w:next w:val="1"/>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21">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22">
    <w:name w:val="※小标题 一"/>
    <w:basedOn w:val="21"/>
    <w:next w:val="21"/>
    <w:qFormat/>
    <w:uiPriority w:val="0"/>
    <w:pPr>
      <w:spacing w:before="120" w:line="240" w:lineRule="auto"/>
      <w:outlineLvl w:val="2"/>
    </w:pPr>
    <w:rPr>
      <w:b/>
      <w:color w:val="203864" w:themeColor="accent5" w:themeShade="80"/>
      <w:sz w:val="32"/>
    </w:rPr>
  </w:style>
  <w:style w:type="paragraph" w:customStyle="1" w:styleId="23">
    <w:name w:val="※小标题（1）"/>
    <w:basedOn w:val="1"/>
    <w:next w:val="21"/>
    <w:qFormat/>
    <w:uiPriority w:val="0"/>
    <w:pPr>
      <w:widowControl/>
      <w:wordWrap w:val="0"/>
      <w:spacing w:line="400" w:lineRule="exact"/>
      <w:ind w:firstLine="200" w:firstLineChars="200"/>
      <w:outlineLvl w:val="5"/>
    </w:pPr>
    <w:rPr>
      <w:rFonts w:ascii="Calibri Light" w:hAnsi="Calibri Light" w:eastAsia="华文仿宋"/>
      <w:b/>
      <w:sz w:val="28"/>
      <w:szCs w:val="28"/>
    </w:rPr>
  </w:style>
  <w:style w:type="paragraph" w:customStyle="1" w:styleId="24">
    <w:name w:val="※小标题（一）"/>
    <w:basedOn w:val="1"/>
    <w:next w:val="21"/>
    <w:qFormat/>
    <w:uiPriority w:val="0"/>
    <w:pPr>
      <w:widowControl/>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25">
    <w:name w:val="※页脚（横屏）"/>
    <w:basedOn w:val="1"/>
    <w:qFormat/>
    <w:uiPriority w:val="0"/>
    <w:pPr>
      <w:widowControl/>
      <w:tabs>
        <w:tab w:val="center" w:pos="7000"/>
      </w:tabs>
      <w:wordWrap w:val="0"/>
      <w:spacing w:line="240" w:lineRule="atLeast"/>
      <w:jc w:val="left"/>
    </w:pPr>
    <w:rPr>
      <w:rFonts w:ascii="宋体" w:hAnsi="宋体"/>
      <w:sz w:val="18"/>
      <w:szCs w:val="18"/>
    </w:rPr>
  </w:style>
  <w:style w:type="paragraph" w:customStyle="1" w:styleId="26">
    <w:name w:val="※页脚（竖屏）"/>
    <w:basedOn w:val="1"/>
    <w:qFormat/>
    <w:uiPriority w:val="0"/>
    <w:pPr>
      <w:widowControl/>
      <w:tabs>
        <w:tab w:val="center" w:pos="4536"/>
      </w:tabs>
      <w:wordWrap w:val="0"/>
      <w:spacing w:line="240" w:lineRule="atLeast"/>
      <w:jc w:val="left"/>
    </w:pPr>
    <w:rPr>
      <w:rFonts w:ascii="宋体" w:hAnsi="宋体"/>
      <w:sz w:val="18"/>
      <w:szCs w:val="18"/>
    </w:rPr>
  </w:style>
  <w:style w:type="paragraph" w:customStyle="1" w:styleId="27">
    <w:name w:val="※页眉"/>
    <w:basedOn w:val="21"/>
    <w:qFormat/>
    <w:uiPriority w:val="0"/>
    <w:pPr>
      <w:pBdr>
        <w:bottom w:val="single" w:color="auto" w:sz="4" w:space="1"/>
      </w:pBdr>
      <w:spacing w:line="240" w:lineRule="atLeast"/>
      <w:jc w:val="right"/>
    </w:pPr>
    <w:rPr>
      <w:rFonts w:ascii="宋体" w:hAnsi="宋体" w:eastAsia="宋体"/>
      <w:sz w:val="18"/>
    </w:rPr>
  </w:style>
  <w:style w:type="paragraph" w:customStyle="1" w:styleId="28">
    <w:name w:val="※章节标题（第X章）"/>
    <w:basedOn w:val="1"/>
    <w:qFormat/>
    <w:uiPriority w:val="0"/>
    <w:pPr>
      <w:widowControl/>
      <w:jc w:val="center"/>
      <w:outlineLvl w:val="0"/>
    </w:pPr>
    <w:rPr>
      <w:rFonts w:ascii="Calibri Light" w:hAnsi="Calibri Light" w:eastAsia="黑体"/>
      <w:sz w:val="36"/>
      <w:szCs w:val="28"/>
    </w:rPr>
  </w:style>
  <w:style w:type="paragraph" w:customStyle="1" w:styleId="29">
    <w:name w:val="※章节标题（第Y部分）"/>
    <w:basedOn w:val="1"/>
    <w:next w:val="1"/>
    <w:qFormat/>
    <w:uiPriority w:val="0"/>
    <w:pPr>
      <w:widowControl/>
      <w:jc w:val="center"/>
      <w:outlineLvl w:val="1"/>
    </w:pPr>
    <w:rPr>
      <w:rFonts w:ascii="Calibri Light" w:hAnsi="Calibri Light" w:eastAsia="黑体"/>
      <w:color w:val="1F4E79" w:themeColor="accent1" w:themeShade="80"/>
      <w:sz w:val="32"/>
      <w:szCs w:val="36"/>
    </w:rPr>
  </w:style>
  <w:style w:type="paragraph" w:customStyle="1" w:styleId="30">
    <w:name w:val="※章节标题（第Z部分分项）"/>
    <w:basedOn w:val="29"/>
    <w:qFormat/>
    <w:uiPriority w:val="0"/>
    <w:pPr>
      <w:outlineLvl w:val="2"/>
    </w:pPr>
  </w:style>
  <w:style w:type="paragraph" w:customStyle="1" w:styleId="31">
    <w:name w:val="※正文（落款）"/>
    <w:basedOn w:val="1"/>
    <w:qFormat/>
    <w:uiPriority w:val="0"/>
    <w:pPr>
      <w:widowControl/>
      <w:tabs>
        <w:tab w:val="center" w:pos="6663"/>
      </w:tabs>
      <w:wordWrap w:val="0"/>
      <w:spacing w:line="240" w:lineRule="atLeast"/>
      <w:jc w:val="left"/>
    </w:pPr>
    <w:rPr>
      <w:rFonts w:ascii="Calibri Light" w:hAnsi="Calibri Light" w:eastAsia="华文仿宋"/>
      <w:sz w:val="28"/>
      <w:szCs w:val="28"/>
    </w:rPr>
  </w:style>
  <w:style w:type="paragraph" w:customStyle="1" w:styleId="32">
    <w:name w:val="※正文（缩进2）"/>
    <w:basedOn w:val="21"/>
    <w:qFormat/>
    <w:uiPriority w:val="0"/>
    <w:pPr>
      <w:ind w:firstLine="200" w:firstLineChars="200"/>
    </w:pPr>
  </w:style>
  <w:style w:type="paragraph" w:customStyle="1" w:styleId="33">
    <w:name w:val="※正文（缩进4）"/>
    <w:basedOn w:val="21"/>
    <w:qFormat/>
    <w:uiPriority w:val="0"/>
    <w:pPr>
      <w:ind w:firstLine="400" w:firstLineChars="400"/>
    </w:pPr>
  </w:style>
  <w:style w:type="paragraph" w:customStyle="1" w:styleId="34">
    <w:name w:val="样式"/>
    <w:link w:val="35"/>
    <w:qFormat/>
    <w:uiPriority w:val="0"/>
    <w:pPr>
      <w:widowControl w:val="0"/>
      <w:autoSpaceDE w:val="0"/>
      <w:autoSpaceDN w:val="0"/>
      <w:adjustRightInd w:val="0"/>
    </w:pPr>
    <w:rPr>
      <w:rFonts w:ascii="宋体" w:hAnsi="宋体" w:eastAsia="宋体" w:cs="宋体"/>
      <w:kern w:val="0"/>
      <w:sz w:val="24"/>
      <w:szCs w:val="24"/>
      <w:lang w:val="en-US" w:eastAsia="zh-CN" w:bidi="ar-SA"/>
    </w:rPr>
  </w:style>
  <w:style w:type="character" w:customStyle="1" w:styleId="35">
    <w:name w:val="样式 Char Char"/>
    <w:link w:val="34"/>
    <w:qFormat/>
    <w:locked/>
    <w:uiPriority w:val="0"/>
    <w:rPr>
      <w:rFonts w:ascii="宋体" w:hAnsi="宋体" w:eastAsia="宋体" w:cs="宋体"/>
      <w:kern w:val="0"/>
      <w:sz w:val="24"/>
      <w:szCs w:val="24"/>
    </w:rPr>
  </w:style>
  <w:style w:type="character" w:customStyle="1" w:styleId="36">
    <w:name w:val="页眉 Char"/>
    <w:basedOn w:val="11"/>
    <w:link w:val="7"/>
    <w:qFormat/>
    <w:uiPriority w:val="99"/>
    <w:rPr>
      <w:rFonts w:ascii="Calibri" w:hAnsi="Calibri" w:eastAsia="宋体" w:cs="Times New Roman"/>
      <w:sz w:val="18"/>
      <w:szCs w:val="18"/>
    </w:rPr>
  </w:style>
  <w:style w:type="character" w:customStyle="1" w:styleId="37">
    <w:name w:val="页脚 Char"/>
    <w:basedOn w:val="11"/>
    <w:link w:val="6"/>
    <w:qFormat/>
    <w:uiPriority w:val="99"/>
    <w:rPr>
      <w:rFonts w:ascii="Calibri" w:hAnsi="Calibri" w:eastAsia="宋体" w:cs="Times New Roman"/>
      <w:sz w:val="18"/>
      <w:szCs w:val="18"/>
    </w:rPr>
  </w:style>
  <w:style w:type="character" w:customStyle="1" w:styleId="38">
    <w:name w:val="批注文字 Char"/>
    <w:basedOn w:val="11"/>
    <w:link w:val="3"/>
    <w:semiHidden/>
    <w:qFormat/>
    <w:uiPriority w:val="99"/>
    <w:rPr>
      <w:rFonts w:ascii="Calibri" w:hAnsi="Calibri" w:eastAsia="宋体" w:cs="Times New Roman"/>
    </w:rPr>
  </w:style>
  <w:style w:type="character" w:customStyle="1" w:styleId="39">
    <w:name w:val="批注主题 Char"/>
    <w:basedOn w:val="38"/>
    <w:link w:val="9"/>
    <w:semiHidden/>
    <w:qFormat/>
    <w:uiPriority w:val="99"/>
    <w:rPr>
      <w:rFonts w:ascii="Calibri" w:hAnsi="Calibri" w:eastAsia="宋体" w:cs="Times New Roman"/>
      <w:b/>
      <w:bCs/>
    </w:rPr>
  </w:style>
  <w:style w:type="character" w:customStyle="1" w:styleId="40">
    <w:name w:val="批注框文本 Char"/>
    <w:basedOn w:val="11"/>
    <w:link w:val="5"/>
    <w:semiHidden/>
    <w:qFormat/>
    <w:uiPriority w:val="99"/>
    <w:rPr>
      <w:rFonts w:ascii="Calibri" w:hAnsi="Calibri" w:eastAsia="宋体" w:cs="Times New Roman"/>
      <w:sz w:val="18"/>
      <w:szCs w:val="18"/>
    </w:rPr>
  </w:style>
  <w:style w:type="paragraph" w:customStyle="1" w:styleId="4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5</Pages>
  <Words>2680</Words>
  <Characters>2777</Characters>
  <Lines>21</Lines>
  <Paragraphs>6</Paragraphs>
  <TotalTime>0</TotalTime>
  <ScaleCrop>false</ScaleCrop>
  <LinksUpToDate>false</LinksUpToDate>
  <CharactersWithSpaces>2811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2021-03-19T04:39:00Z</dcterms:created>
  <dc:creator>lenovo</dc:creator>
  <cp:lastModifiedBy>怯</cp:lastModifiedBy>
  <dcterms:modified xsi:type="dcterms:W3CDTF">2026-06-10T06:27:32Z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F417391599804BA3945D34173988CF35</vt:lpwstr>
  </property>
  <property fmtid="{D5CDD505-2E9C-101B-9397-08002B2CF9AE}" pid="4" name="KSOTemplateDocerSaveRecord">
    <vt:lpwstr>eyJoZGlkIjoiYWFiMWNmZGQxNzE1YzljMTVhOGQwMTljYzg3YzY2ZGEiLCJ1c2VySWQiOiIyOTQ2NTA5ODcifQ==</vt:lpwstr>
  </property>
</Properties>
</file>