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版本号：DQA-2026038-CS.1B120260612001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道路运输及城市客运安全运营指导帮扶(二次)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DQA-2026038-CS.1B1</w:t>
      </w:r>
      <w:r>
        <w:br/>
      </w:r>
      <w:r>
        <w:br/>
      </w:r>
      <w:r>
        <w:br/>
      </w:r>
    </w:p>
    <w:p>
      <w:pPr>
        <w:pStyle w:val="null3"/>
        <w:jc w:val="center"/>
        <w:outlineLvl w:val="2"/>
      </w:pPr>
      <w:r>
        <w:rPr>
          <w:rFonts w:ascii="仿宋_GB2312" w:hAnsi="仿宋_GB2312" w:cs="仿宋_GB2312" w:eastAsia="仿宋_GB2312"/>
          <w:sz w:val="28"/>
          <w:b/>
        </w:rPr>
        <w:t>陕西省交通运输厅机关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陕西省交通运输厅机关</w:t>
      </w:r>
      <w:r>
        <w:rPr>
          <w:rFonts w:ascii="仿宋_GB2312" w:hAnsi="仿宋_GB2312" w:cs="仿宋_GB2312" w:eastAsia="仿宋_GB2312"/>
        </w:rPr>
        <w:t>委托，拟对</w:t>
      </w:r>
      <w:r>
        <w:rPr>
          <w:rFonts w:ascii="仿宋_GB2312" w:hAnsi="仿宋_GB2312" w:cs="仿宋_GB2312" w:eastAsia="仿宋_GB2312"/>
        </w:rPr>
        <w:t>道路运输及城市客运安全运营指导帮扶(二次)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DQA-2026038-CS.1B1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道路运输及城市客运安全运营指导帮扶(二次)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道路运输及城市客运安全运营指导帮扶。具体详见磋商文件。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029-88869133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采购包1：587,500.00元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银行账号：52880188000159516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审计价格〔2002〕1980号）规定标准的90%收取费用，由成交供应商领取成交通知书前一次性向采购代理机构支付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b/>
        </w:rPr>
        <w:t>道路运输及城市客运安全运营指导帮扶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587,500.00</w:t>
      </w:r>
    </w:p>
    <w:p>
      <w:pPr>
        <w:pStyle w:val="null3"/>
      </w:pPr>
      <w:r>
        <w:rPr>
          <w:rFonts w:ascii="仿宋_GB2312" w:hAnsi="仿宋_GB2312" w:cs="仿宋_GB2312" w:eastAsia="仿宋_GB2312"/>
        </w:rPr>
        <w:t>采购包最高限价（元）: 587,500.00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道路运输及城市客运安全运营指导帮扶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587,500.00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标的名称：道路运输及城市客运安全运营指导帮扶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采购需求及目标</w:t>
            </w:r>
          </w:p>
          <w:p>
            <w:pPr>
              <w:pStyle w:val="null3"/>
              <w:ind w:firstLine="480"/>
              <w:jc w:val="left"/>
            </w:pPr>
            <w:r>
              <w:rPr>
                <w:rFonts w:ascii="仿宋_GB2312" w:hAnsi="仿宋_GB2312" w:cs="仿宋_GB2312" w:eastAsia="仿宋_GB2312"/>
                <w:sz w:val="24"/>
                <w:color w:val="000000"/>
              </w:rPr>
              <w:t>本项目需通过实地调研，全面梳理道路</w:t>
            </w:r>
            <w:r>
              <w:rPr>
                <w:rFonts w:ascii="仿宋_GB2312" w:hAnsi="仿宋_GB2312" w:cs="仿宋_GB2312" w:eastAsia="仿宋_GB2312"/>
                <w:sz w:val="24"/>
                <w:color w:val="000000"/>
              </w:rPr>
              <w:t>运输及</w:t>
            </w:r>
            <w:r>
              <w:rPr>
                <w:rFonts w:ascii="仿宋_GB2312" w:hAnsi="仿宋_GB2312" w:cs="仿宋_GB2312" w:eastAsia="仿宋_GB2312"/>
                <w:sz w:val="24"/>
                <w:color w:val="000000"/>
              </w:rPr>
              <w:t>城市客运</w:t>
            </w:r>
            <w:r>
              <w:rPr>
                <w:rFonts w:ascii="仿宋_GB2312" w:hAnsi="仿宋_GB2312" w:cs="仿宋_GB2312" w:eastAsia="仿宋_GB2312"/>
                <w:sz w:val="24"/>
                <w:color w:val="000000"/>
              </w:rPr>
              <w:t>安全管理现状、主要风险点及薄弱环节，系统开展安全运营技术指导、安全管理体系梳理、风险分级管控及隐患排查</w:t>
            </w:r>
            <w:r>
              <w:rPr>
                <w:rFonts w:ascii="仿宋_GB2312" w:hAnsi="仿宋_GB2312" w:cs="仿宋_GB2312" w:eastAsia="仿宋_GB2312"/>
                <w:sz w:val="24"/>
                <w:color w:val="000000"/>
              </w:rPr>
              <w:t>治理</w:t>
            </w:r>
            <w:r>
              <w:rPr>
                <w:rFonts w:ascii="仿宋_GB2312" w:hAnsi="仿宋_GB2312" w:cs="仿宋_GB2312" w:eastAsia="仿宋_GB2312"/>
                <w:sz w:val="24"/>
                <w:color w:val="000000"/>
              </w:rPr>
              <w:t>“双重预防”机制建设帮扶等工作，结合现场检查与</w:t>
            </w:r>
            <w:r>
              <w:rPr>
                <w:rFonts w:ascii="仿宋_GB2312" w:hAnsi="仿宋_GB2312" w:cs="仿宋_GB2312" w:eastAsia="仿宋_GB2312"/>
                <w:sz w:val="24"/>
                <w:color w:val="000000"/>
              </w:rPr>
              <w:t>甲方安排的</w:t>
            </w:r>
            <w:r>
              <w:rPr>
                <w:rFonts w:ascii="仿宋_GB2312" w:hAnsi="仿宋_GB2312" w:cs="仿宋_GB2312" w:eastAsia="仿宋_GB2312"/>
                <w:sz w:val="24"/>
                <w:color w:val="000000"/>
              </w:rPr>
              <w:t>专项</w:t>
            </w:r>
            <w:r>
              <w:rPr>
                <w:rFonts w:ascii="仿宋_GB2312" w:hAnsi="仿宋_GB2312" w:cs="仿宋_GB2312" w:eastAsia="仿宋_GB2312"/>
                <w:sz w:val="24"/>
                <w:color w:val="000000"/>
              </w:rPr>
              <w:t>技术帮扶</w:t>
            </w:r>
            <w:r>
              <w:rPr>
                <w:rFonts w:ascii="仿宋_GB2312" w:hAnsi="仿宋_GB2312" w:cs="仿宋_GB2312" w:eastAsia="仿宋_GB2312"/>
                <w:sz w:val="24"/>
                <w:color w:val="000000"/>
              </w:rPr>
              <w:t>，评估安全运营状况，全面提升行业安全运营应急能力。</w:t>
            </w:r>
          </w:p>
          <w:p>
            <w:pPr>
              <w:pStyle w:val="null3"/>
              <w:ind w:firstLine="480"/>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项目成果</w:t>
            </w:r>
          </w:p>
          <w:p>
            <w:pPr>
              <w:pStyle w:val="null3"/>
              <w:ind w:firstLine="480"/>
              <w:jc w:val="left"/>
            </w:pPr>
            <w:r>
              <w:rPr>
                <w:rFonts w:ascii="仿宋_GB2312" w:hAnsi="仿宋_GB2312" w:cs="仿宋_GB2312" w:eastAsia="仿宋_GB2312"/>
                <w:sz w:val="24"/>
                <w:color w:val="000000"/>
              </w:rPr>
              <w:t>开展各类安全指导、安全运营状况评估</w:t>
            </w:r>
            <w:r>
              <w:rPr>
                <w:rFonts w:ascii="仿宋_GB2312" w:hAnsi="仿宋_GB2312" w:cs="仿宋_GB2312" w:eastAsia="仿宋_GB2312"/>
                <w:sz w:val="24"/>
                <w:color w:val="000000"/>
              </w:rPr>
              <w:t>，形成</w:t>
            </w:r>
            <w:r>
              <w:rPr>
                <w:rFonts w:ascii="仿宋_GB2312" w:hAnsi="仿宋_GB2312" w:cs="仿宋_GB2312" w:eastAsia="仿宋_GB2312"/>
                <w:sz w:val="24"/>
                <w:color w:val="000000"/>
              </w:rPr>
              <w:t>道路</w:t>
            </w:r>
            <w:r>
              <w:rPr>
                <w:rFonts w:ascii="仿宋_GB2312" w:hAnsi="仿宋_GB2312" w:cs="仿宋_GB2312" w:eastAsia="仿宋_GB2312"/>
                <w:sz w:val="24"/>
                <w:color w:val="000000"/>
              </w:rPr>
              <w:t>运输及</w:t>
            </w:r>
            <w:r>
              <w:rPr>
                <w:rFonts w:ascii="仿宋_GB2312" w:hAnsi="仿宋_GB2312" w:cs="仿宋_GB2312" w:eastAsia="仿宋_GB2312"/>
                <w:sz w:val="24"/>
                <w:color w:val="000000"/>
              </w:rPr>
              <w:t>城市客运</w:t>
            </w:r>
            <w:r>
              <w:rPr>
                <w:rFonts w:ascii="仿宋_GB2312" w:hAnsi="仿宋_GB2312" w:cs="仿宋_GB2312" w:eastAsia="仿宋_GB2312"/>
                <w:sz w:val="24"/>
                <w:color w:val="000000"/>
              </w:rPr>
              <w:t>年度技术帮扶工作报告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、商务要求</w:t>
            </w:r>
          </w:p>
          <w:p>
            <w:pPr>
              <w:pStyle w:val="null3"/>
              <w:ind w:firstLine="480"/>
              <w:jc w:val="left"/>
            </w:pPr>
            <w:r>
              <w:rPr>
                <w:rFonts w:ascii="仿宋_GB2312" w:hAnsi="仿宋_GB2312" w:cs="仿宋_GB2312" w:eastAsia="仿宋_GB2312"/>
                <w:sz w:val="24"/>
                <w:color w:val="000000"/>
              </w:rPr>
              <w:t>服务周期：</w:t>
            </w:r>
            <w:r>
              <w:rPr>
                <w:rFonts w:ascii="仿宋_GB2312" w:hAnsi="仿宋_GB2312" w:cs="仿宋_GB2312" w:eastAsia="仿宋_GB2312"/>
                <w:sz w:val="24"/>
                <w:color w:val="000000"/>
              </w:rPr>
              <w:t>合同签订之日起至2026年12月31日。</w:t>
            </w:r>
          </w:p>
          <w:p>
            <w:pPr>
              <w:pStyle w:val="null3"/>
              <w:ind w:firstLine="480"/>
              <w:jc w:val="left"/>
            </w:pPr>
            <w:r>
              <w:rPr>
                <w:rFonts w:ascii="仿宋_GB2312" w:hAnsi="仿宋_GB2312" w:cs="仿宋_GB2312" w:eastAsia="仿宋_GB2312"/>
                <w:sz w:val="24"/>
                <w:color w:val="000000"/>
              </w:rPr>
              <w:t>付款方式：收到供应商提交的合同约定成果后，支付合同总金额的</w:t>
            </w:r>
            <w:r>
              <w:rPr>
                <w:rFonts w:ascii="仿宋_GB2312" w:hAnsi="仿宋_GB2312" w:cs="仿宋_GB2312" w:eastAsia="仿宋_GB2312"/>
                <w:sz w:val="24"/>
                <w:color w:val="000000"/>
              </w:rPr>
              <w:t>100%。</w:t>
            </w:r>
          </w:p>
          <w:p>
            <w:pPr>
              <w:pStyle w:val="null3"/>
              <w:ind w:firstLine="480"/>
              <w:jc w:val="left"/>
            </w:pPr>
            <w:r>
              <w:rPr>
                <w:rFonts w:ascii="仿宋_GB2312" w:hAnsi="仿宋_GB2312" w:cs="仿宋_GB2312" w:eastAsia="仿宋_GB2312"/>
                <w:sz w:val="24"/>
                <w:color w:val="000000"/>
              </w:rPr>
              <w:t>验收要求：甲方组织相关专家对合同约定的报告和方案进行评审及验收，验收费用由供应商承担。</w:t>
            </w:r>
          </w:p>
          <w:p>
            <w:pPr>
              <w:pStyle w:val="null3"/>
              <w:ind w:firstLine="480"/>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、其他要求</w:t>
            </w:r>
          </w:p>
          <w:p>
            <w:pPr>
              <w:pStyle w:val="null3"/>
            </w:pPr>
            <w:r>
              <w:rPr>
                <w:rFonts w:ascii="仿宋_GB2312" w:hAnsi="仿宋_GB2312" w:cs="仿宋_GB2312" w:eastAsia="仿宋_GB2312"/>
                <w:sz w:val="24"/>
                <w:color w:val="000000"/>
              </w:rPr>
              <w:t>配备足够的专业人员，有交通运输领域相关专业背景。在服务周期内能够及时响应甲方需求。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配备足够的专业人员，有交通运输领域相关专业背景。在服务周期内能够及时响应甲方需求。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 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甲方组织相关专家对合同约定的报告和方案进行评审及验收，验收费用由供应商承担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进度款，收到供应商提交的合同约定成果后，达到付款条件起15个工作日内，支付合同总金额的100.0%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以采购合同条款为准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1.纸质文件要求 （1）供应商需要在线提交所有通过电子化交易平台实施的政府采购项目的响应文件，同时，线下提交纸质响应文件正本壹份、副本壹份。若电子响应文件与纸质响应文件不一致的，以电子响应文件为准。 （2）响应文件，正、副本分别各自装订成册密封。在封口处加盖供应商公章。 （3）线下响应文件递交截止时间与线上开评标时间一致。 （4）纸质响应文件可邮寄递交，应于递交响应文件截止时间前邮寄到西安市高新区丈八一路1号汇鑫中心D座2206室（陕西德勤招标有限公司）。 2、磋商保证金注意事项 （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磋商保证金的提交金额、时间不满足磋商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1.1评审中出现下列情形之一的，磋商小组应当启动异常低价投标（响应）审查程序： 1.1.1响应报价低于全部通过符合性审查供应商响应报价平均值50%的，即响应报价&lt;全部通过符合性审查供应商响应报价平均值×50%； 1.1.2响应报价低于通过符合性审查的次低报价供应商响应报价50%的，即响应报价&lt;通过符合性审查的次低报价供应商响应报价×50%； 1.1.3响应报价低于采购项目最高限价45%的，即响应报价&lt;采购项目最高限价×45%； 1.1.4磋商小组基于专业判断，认为供应商报价过低，有可能影响产品质量或者不能诚信履约的其他情形。 1.2相关法律法规对供应商报价有规定的，从其规定。 1.3磋商小组启动异常低价响应审查后，属于（1.1）中第（1.1.1）项至第（1.1.4）项情形的，应当要求相关供应商在评审现场合理的时间内对响应价格作出解释，提供项目具体成本测算等与报价合理性相关的书面说明及必要的证明材料，包括但不限于原材料成本、人工成本、制造费用等。其中，属于第（1.1.3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控股管理关系 响应文件封面 近三年无重大违法、违纪书面声明 非联合体不分包磋商声明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控股管理关系 响应文件封面 近三年无重大违法、违纪书面声明 非联合体不分包磋商声明 残疾人福利性单位声明函 服务方案 标的清单 响应函 书面声明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对项目的解读与掌握</w:t>
            </w:r>
          </w:p>
        </w:tc>
        <w:tc>
          <w:tcPr>
            <w:tcW w:type="dxa" w:w="2492"/>
          </w:tcPr>
          <w:p>
            <w:pPr>
              <w:pStyle w:val="null3"/>
            </w:pPr>
            <w:r>
              <w:rPr>
                <w:rFonts w:ascii="仿宋_GB2312" w:hAnsi="仿宋_GB2312" w:cs="仿宋_GB2312" w:eastAsia="仿宋_GB2312"/>
              </w:rPr>
              <w:t>供应商提供针对本项目的项目理解与履约能力说明，包括：（1）项目背景与目标理解；（2）服务内容与成果要求掌握；（3）道路运输及城市客运安全管理行业认知；（4）实施思路与保障措施。 评审标准：对道路运输及城市客运安全运营提升咨询服务项目解读全面、掌握精准，充分理解实地调研、风险梳理、技术指导、双重预防机制建设、安全评估、应急能力提升等核心要求，贴合项目实际、履约保障充分。 完全满足评审标准得12分；每缺一项扣3分，响应内容每存在一处缺陷扣1分。 说明：缺陷是指内容不合理、虽有内容但不完善、内容表述前后不一致、套用其他项目方案或与项目需求不匹配、对业务理解偏差、成果交付思路不清晰及其他不利于项目实施的等任意一种情形。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工作背景目的及内容</w:t>
            </w:r>
          </w:p>
        </w:tc>
        <w:tc>
          <w:tcPr>
            <w:tcW w:type="dxa" w:w="2492"/>
          </w:tcPr>
          <w:p>
            <w:pPr>
              <w:pStyle w:val="null3"/>
            </w:pPr>
            <w:r>
              <w:rPr>
                <w:rFonts w:ascii="仿宋_GB2312" w:hAnsi="仿宋_GB2312" w:cs="仿宋_GB2312" w:eastAsia="仿宋_GB2312"/>
              </w:rPr>
              <w:t>供应商提供针对本项目的工作背景、目的及内容说明，包括：（1）项目背景与政策依据；（2）项目目标与核心目的；（3）服务内容与成果要求；（4）实施范围与工作边界。 评审标准：对道路运输及城市客运安全运营提升咨询服务项目的工作背景、实施目的、服务内容描述清晰、准确、详实，完全贴合采购需求。 完全满足评审标准得12分；每缺一项扣3分，响应内容每存在一处缺陷扣1分。 说明：缺陷是指内容不合理、虽有内容但不完善、内容表述前后不一致、套用其他项目方案或与项目需求不匹配、背景目的描述偏差、工作内容界定不清及其他不利于项目实施的等任意一种情形。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技术路线和方法</w:t>
            </w:r>
          </w:p>
        </w:tc>
        <w:tc>
          <w:tcPr>
            <w:tcW w:type="dxa" w:w="2492"/>
          </w:tcPr>
          <w:p>
            <w:pPr>
              <w:pStyle w:val="null3"/>
            </w:pPr>
            <w:r>
              <w:rPr>
                <w:rFonts w:ascii="仿宋_GB2312" w:hAnsi="仿宋_GB2312" w:cs="仿宋_GB2312" w:eastAsia="仿宋_GB2312"/>
              </w:rPr>
              <w:t>供应商提供针对本项目的技术路线与实施方法，包括：（1）整体技术路线；（2）实地调研方法；（3）安全风险评估方法；（4）双重预防机制建设路径。 评审标准：项目实施技术路线清晰全面、逻辑严谨，安全管理、风险管控、隐患治理方法科学合理、贴合道路运输及城市客运安全实际，技术指标与实施路径明确。 完全满足评审标准得10分；每缺一项扣2.5分，响应内容每存在一处缺陷扣1分。 说明：缺陷是指内容不合理、虽有内容但不完善、内容表述前后不一致、套用其他项目方案或与项目需求不匹配、技术路线模糊、安全方法不科学、缺乏可操作性及其他不利于项目实施的等任意一种情形。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关键技术问题</w:t>
            </w:r>
          </w:p>
        </w:tc>
        <w:tc>
          <w:tcPr>
            <w:tcW w:type="dxa" w:w="2492"/>
          </w:tcPr>
          <w:p>
            <w:pPr>
              <w:pStyle w:val="null3"/>
            </w:pPr>
            <w:r>
              <w:rPr>
                <w:rFonts w:ascii="仿宋_GB2312" w:hAnsi="仿宋_GB2312" w:cs="仿宋_GB2312" w:eastAsia="仿宋_GB2312"/>
              </w:rPr>
              <w:t>供应商提供针对本项目的关键技术问题与解决方案，包括：（1）关键安全问题识别；（2）调研与检查难点分析；（3）双重预防机制构建；（4）问题解决措施；（5）质量保障机制。 评审标准：对道路运输及城市客运安全运营提升咨询服务的关键技术问题描述精准、分析透彻，问题解决方法科学得当、可落地执行，完全符合采购需求。 完全满足评审标准得10分；每缺一项扣2分，响应内容每存在一处缺陷扣1分。 说明：缺陷是指内容不合理、虽有内容但不完善、内容表述前后不一致、套用其他项目方案或与项目需求不匹配、关键问题识别偏差、无有效解决措施及其他不利于项目实施的等任意一种情形。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供应商提供针对本项目的项目实施工作流程，包括：（1）前期准备阶段；（2）实地调研与现状梳理阶段；（3）风险辨识与隐患排查阶段；（4）双重预防机制建设帮扶阶段；（5）指导手册与评估报告编制阶段；（6）成果提交与验收阶段。 评审标准：能够围绕项目工作内容全面梳理各阶段工作流程，流程清晰顺畅、分工明确、方法得当、可行性强，完全满足道路运输及城市客运安全运营提升咨询服务工作要求。 完全满足评审标准得12分；每缺一项扣2分，响应内容每存在一处缺陷扣1分。 说明：缺陷是指内容不合理、虽有内容但不完善、内容表述前后不一致、套用其他项目方案或与项目需求不匹配、流程缺失、逻辑混乱、可操作性差及其他不利于项目实施的任意一种情形。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供应商提供针对本项目的项目进度与时效保障措施，包括：（1）整体进度计划；（2）阶段任务分解；（3）时间节点管控；（4）进度保障机制；（5）应急调整方案。 评审标准：紧密结合本项目服务周期及成果交付要求，进度安排合理可行，时效保障措施充分有效，完全满足采购人与项目实施要求。 完全满足评审标准得10分；每缺一项扣2分，响应内容每存在一处缺陷扣1分。 说明：缺陷是指内容不合理、虽有内容但不完善、内容表述前后不一致、套用其他项目方案或与项目需求不匹配、时间安排不合理、保障措施缺失、无法按期交付成果及其他不利于项目实施的任意一种情形。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供应商提供针对本项目的服务质量保障措施及配套资源说明，包括：（1）质量管控体系；（2）过程质量审核；（3）成果验收保障；（4）专业人员配置；（5）设备与工具保障。 评审标准：紧密结合本项目要求，服务质量保障措施科学合理、具体可落地，专业人员与设施设备配备充足到位，完全满足实地调研、风险管控、双重预防机制建设、安全评估、手册编制等服务质量要求。 完全满足评审标准得10分；每缺一项扣2分，响应内容每存在一处缺陷扣1分。 说明：缺陷是指内容不合理、虽有内容但不完善、内容表述前后不一致、套用其他项目方案或与项目需求不匹配、质量措施空洞、人员设备不足及其他不利于项目实施的任意一种情形。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1、拟派项目负责人具有交通运输类相关专业硕士学历或中级及以上职称，得1分。 2、拟派项目负责人自2024年1月1日至今，作为项目负责人承担过道路运输安全或城市客运安全或双重预防机制建设或安全评估或安全咨询类项目的，得1分。 3、拟派团队成员（除项目负责人外）为从事交通运输安全或风险管控或隐患排查或应急管理或行业调研相关领域的专业人员，每人得1分，最高得2分。 证明材料要求： 1、供应商应提供上述所有人员开标前一年内任意一个月的社保证明材料，未提供或提供材料无效本项目不得分； 2、提供项目负责人职称证书、有效项目批准通知书、任务书、合同等业绩证明材料（需体现项目负责人姓名等信息）； 3、提供团队成员工作背景证明材料，项目负责人还需额外提供学历证书或职称证书； 4、以上证明材料均提供复印件或扫描件。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供应商2023年1月1日（以合同签订日期为准）至今已完成类似项目业绩，每提供一个业绩得2分，最高得10分，以响应文件中所附合同复印件或扫描件为准。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