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758"/>
        <w:gridCol w:w="1587"/>
        <w:gridCol w:w="5962"/>
      </w:tblGrid>
      <w:tr w14:paraId="66CD342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c>
          <w:tcPr>
            <w:tcW w:w="758" w:type="dxa"/>
          </w:tcPr>
          <w:p w14:paraId="68D82DBB">
            <w:pPr>
              <w:pStyle w:val="4"/>
            </w:pPr>
            <w:r>
              <w:rPr>
                <w:rFonts w:ascii="仿宋_GB2312" w:hAnsi="仿宋_GB2312" w:eastAsia="仿宋_GB2312" w:cs="仿宋_GB2312"/>
              </w:rPr>
              <w:t xml:space="preserve"> 序号</w:t>
            </w:r>
          </w:p>
        </w:tc>
        <w:tc>
          <w:tcPr>
            <w:tcW w:w="1587" w:type="dxa"/>
          </w:tcPr>
          <w:p w14:paraId="47B10698">
            <w:pPr>
              <w:pStyle w:val="4"/>
            </w:pPr>
            <w:r>
              <w:rPr>
                <w:rFonts w:ascii="仿宋_GB2312" w:hAnsi="仿宋_GB2312" w:eastAsia="仿宋_GB2312" w:cs="仿宋_GB2312"/>
              </w:rPr>
              <w:t xml:space="preserve"> 参数性质</w:t>
            </w:r>
          </w:p>
        </w:tc>
        <w:tc>
          <w:tcPr>
            <w:tcW w:w="5962" w:type="dxa"/>
          </w:tcPr>
          <w:p w14:paraId="18C9FFD1">
            <w:pPr>
              <w:pStyle w:val="4"/>
            </w:pPr>
            <w:r>
              <w:rPr>
                <w:rFonts w:ascii="仿宋_GB2312" w:hAnsi="仿宋_GB2312" w:eastAsia="仿宋_GB2312" w:cs="仿宋_GB2312"/>
              </w:rPr>
              <w:t xml:space="preserve"> 技术参数与性能指标</w:t>
            </w:r>
          </w:p>
        </w:tc>
      </w:tr>
      <w:tr w14:paraId="44A35E7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58" w:type="dxa"/>
          </w:tcPr>
          <w:p w14:paraId="49ABC708">
            <w:pPr>
              <w:pStyle w:val="4"/>
            </w:pPr>
            <w:r>
              <w:rPr>
                <w:rFonts w:ascii="仿宋_GB2312" w:hAnsi="仿宋_GB2312" w:eastAsia="仿宋_GB2312" w:cs="仿宋_GB2312"/>
              </w:rPr>
              <w:t>1</w:t>
            </w:r>
          </w:p>
        </w:tc>
        <w:tc>
          <w:tcPr>
            <w:tcW w:w="1587" w:type="dxa"/>
          </w:tcPr>
          <w:p w14:paraId="53E75163"/>
        </w:tc>
        <w:tc>
          <w:tcPr>
            <w:tcW w:w="5962" w:type="dxa"/>
          </w:tcPr>
          <w:p w14:paraId="7FB6624A">
            <w:pPr>
              <w:pStyle w:val="4"/>
              <w:jc w:val="left"/>
              <w:outlineLvl w:val="0"/>
            </w:pPr>
            <w:r>
              <w:rPr>
                <w:rFonts w:ascii="仿宋_GB2312" w:hAnsi="仿宋_GB2312" w:eastAsia="仿宋_GB2312" w:cs="仿宋_GB2312"/>
                <w:b/>
                <w:color w:val="000000"/>
                <w:sz w:val="21"/>
              </w:rPr>
              <w:t>一、项目概述</w:t>
            </w:r>
          </w:p>
          <w:p w14:paraId="06151F55">
            <w:pPr>
              <w:pStyle w:val="4"/>
              <w:ind w:firstLine="420"/>
              <w:jc w:val="left"/>
            </w:pPr>
            <w:r>
              <w:rPr>
                <w:rFonts w:ascii="仿宋_GB2312" w:hAnsi="仿宋_GB2312" w:eastAsia="仿宋_GB2312" w:cs="仿宋_GB2312"/>
                <w:color w:val="000000"/>
                <w:sz w:val="21"/>
              </w:rPr>
              <w:t>宝鸡文理学院体育场馆服务外包项目，主要承担学校体育馆、游泳跳水馆、体育场（石鼓校区、高新校区）的运行保障工作。</w:t>
            </w:r>
            <w:bookmarkStart w:id="0" w:name="_GoBack"/>
            <w:bookmarkEnd w:id="0"/>
          </w:p>
          <w:p w14:paraId="462853FB">
            <w:pPr>
              <w:pStyle w:val="4"/>
              <w:jc w:val="left"/>
              <w:outlineLvl w:val="1"/>
            </w:pPr>
            <w:r>
              <w:rPr>
                <w:rFonts w:ascii="仿宋_GB2312" w:hAnsi="仿宋_GB2312" w:eastAsia="仿宋_GB2312" w:cs="仿宋_GB2312"/>
                <w:b/>
                <w:color w:val="000000"/>
                <w:sz w:val="21"/>
              </w:rPr>
              <w:t>（一）项目目标与绩效</w:t>
            </w:r>
          </w:p>
          <w:p w14:paraId="1BCF081F">
            <w:pPr>
              <w:pStyle w:val="4"/>
              <w:ind w:firstLine="420"/>
              <w:jc w:val="left"/>
            </w:pPr>
            <w:r>
              <w:rPr>
                <w:rFonts w:ascii="仿宋_GB2312" w:hAnsi="仿宋_GB2312" w:eastAsia="仿宋_GB2312" w:cs="仿宋_GB2312"/>
                <w:color w:val="000000"/>
                <w:sz w:val="21"/>
              </w:rPr>
              <w:t>通过购买专业化的场馆服务，保障学校教学、训练、群体活动及场馆开放等各项工作的有序运行。核心目标是提高服务响应速度、提升场馆环境品质、降低运营管理风险，以服务结果和用户满意度作为绩效评价的主要依据。</w:t>
            </w:r>
          </w:p>
          <w:p w14:paraId="05849C86">
            <w:pPr>
              <w:pStyle w:val="4"/>
              <w:jc w:val="left"/>
              <w:outlineLvl w:val="1"/>
            </w:pPr>
            <w:r>
              <w:rPr>
                <w:rFonts w:ascii="仿宋_GB2312" w:hAnsi="仿宋_GB2312" w:eastAsia="仿宋_GB2312" w:cs="仿宋_GB2312"/>
                <w:b/>
                <w:color w:val="000000"/>
                <w:sz w:val="21"/>
              </w:rPr>
              <w:t>（二）采购内容与预算</w:t>
            </w:r>
          </w:p>
          <w:p w14:paraId="468D23AE">
            <w:pPr>
              <w:pStyle w:val="4"/>
              <w:jc w:val="left"/>
              <w:outlineLvl w:val="2"/>
            </w:pPr>
            <w:r>
              <w:rPr>
                <w:rFonts w:ascii="仿宋_GB2312" w:hAnsi="仿宋_GB2312" w:eastAsia="仿宋_GB2312" w:cs="仿宋_GB2312"/>
                <w:b/>
                <w:color w:val="000000"/>
                <w:sz w:val="21"/>
              </w:rPr>
              <w:t>1.服务事项与付费机制</w:t>
            </w:r>
          </w:p>
          <w:p w14:paraId="247BCF87">
            <w:pPr>
              <w:pStyle w:val="4"/>
              <w:ind w:firstLine="420"/>
              <w:jc w:val="left"/>
            </w:pPr>
            <w:r>
              <w:rPr>
                <w:rFonts w:ascii="仿宋_GB2312" w:hAnsi="仿宋_GB2312" w:eastAsia="仿宋_GB2312" w:cs="仿宋_GB2312"/>
                <w:color w:val="000000"/>
                <w:sz w:val="21"/>
              </w:rPr>
              <w:t>本项目为场馆综合服务采购，按服务事项及考核结果付费。</w:t>
            </w:r>
          </w:p>
          <w:p w14:paraId="0DFBB373">
            <w:pPr>
              <w:pStyle w:val="4"/>
              <w:jc w:val="left"/>
              <w:outlineLvl w:val="2"/>
            </w:pPr>
            <w:r>
              <w:rPr>
                <w:rFonts w:ascii="仿宋_GB2312" w:hAnsi="仿宋_GB2312" w:eastAsia="仿宋_GB2312" w:cs="仿宋_GB2312"/>
                <w:b/>
                <w:color w:val="000000"/>
                <w:sz w:val="21"/>
              </w:rPr>
              <w:t>2.采购总预算：183.04万元/年。</w:t>
            </w:r>
          </w:p>
          <w:p w14:paraId="22F782F3">
            <w:pPr>
              <w:pStyle w:val="4"/>
              <w:jc w:val="left"/>
              <w:outlineLvl w:val="2"/>
            </w:pPr>
            <w:r>
              <w:rPr>
                <w:rFonts w:ascii="仿宋_GB2312" w:hAnsi="仿宋_GB2312" w:eastAsia="仿宋_GB2312" w:cs="仿宋_GB2312"/>
                <w:b/>
                <w:color w:val="000000"/>
                <w:sz w:val="21"/>
              </w:rPr>
              <w:t>3.报价要求：</w:t>
            </w:r>
          </w:p>
          <w:p w14:paraId="5AAA1273">
            <w:pPr>
              <w:pStyle w:val="4"/>
              <w:ind w:firstLine="420"/>
              <w:jc w:val="left"/>
            </w:pPr>
            <w:r>
              <w:rPr>
                <w:rFonts w:ascii="仿宋_GB2312" w:hAnsi="仿宋_GB2312" w:eastAsia="仿宋_GB2312" w:cs="仿宋_GB2312"/>
                <w:color w:val="000000"/>
                <w:sz w:val="21"/>
              </w:rPr>
              <w:t>供应商应当结合服务事项清单、考核标准以及自身运营成本，自主填报服务管理费总额（含合理利润）。分项报价需清晰列明完成全部服务内容所需的人工成本、物料消耗、管理费及税金等，所有完成本项目所需的费用均须包含在报价内，缺项、漏项一律视为已包含在总价中。此外，供应商需在报价中单独列明人工成本（人工成本须包含人员薪酬、社保、公积金、法定节假日加班、工伤保险等全部用工支出）。</w:t>
            </w:r>
          </w:p>
          <w:p w14:paraId="6FD54D9E">
            <w:pPr>
              <w:pStyle w:val="4"/>
              <w:jc w:val="left"/>
              <w:outlineLvl w:val="1"/>
            </w:pPr>
            <w:r>
              <w:rPr>
                <w:rFonts w:ascii="仿宋_GB2312" w:hAnsi="仿宋_GB2312" w:eastAsia="仿宋_GB2312" w:cs="仿宋_GB2312"/>
                <w:b/>
                <w:color w:val="000000"/>
                <w:sz w:val="21"/>
              </w:rPr>
              <w:t>（三）服务内容与量化标准</w:t>
            </w:r>
          </w:p>
          <w:p w14:paraId="614AC882">
            <w:pPr>
              <w:pStyle w:val="4"/>
              <w:jc w:val="left"/>
              <w:outlineLvl w:val="2"/>
            </w:pPr>
            <w:r>
              <w:rPr>
                <w:rFonts w:ascii="仿宋_GB2312" w:hAnsi="仿宋_GB2312" w:eastAsia="仿宋_GB2312" w:cs="仿宋_GB2312"/>
                <w:b/>
                <w:color w:val="000000"/>
                <w:sz w:val="21"/>
              </w:rPr>
              <w:t>1.服务范围</w:t>
            </w:r>
          </w:p>
          <w:p w14:paraId="506FB603">
            <w:pPr>
              <w:pStyle w:val="4"/>
              <w:ind w:firstLine="420"/>
              <w:jc w:val="left"/>
            </w:pPr>
            <w:r>
              <w:rPr>
                <w:rFonts w:ascii="仿宋_GB2312" w:hAnsi="仿宋_GB2312" w:eastAsia="仿宋_GB2312" w:cs="仿宋_GB2312"/>
                <w:color w:val="000000"/>
                <w:sz w:val="21"/>
              </w:rPr>
              <w:t>服务范围涵盖：高新校区体育馆、游泳跳水馆、石鼓校区体育场及高新校区体育场。</w:t>
            </w:r>
          </w:p>
          <w:p w14:paraId="120A2578">
            <w:pPr>
              <w:pStyle w:val="4"/>
              <w:jc w:val="left"/>
              <w:outlineLvl w:val="2"/>
            </w:pPr>
            <w:r>
              <w:rPr>
                <w:rFonts w:ascii="仿宋_GB2312" w:hAnsi="仿宋_GB2312" w:eastAsia="仿宋_GB2312" w:cs="仿宋_GB2312"/>
                <w:b/>
                <w:color w:val="000000"/>
                <w:sz w:val="21"/>
              </w:rPr>
              <w:t>2.服务项目</w:t>
            </w:r>
          </w:p>
          <w:p w14:paraId="4DA7AF37">
            <w:pPr>
              <w:pStyle w:val="4"/>
              <w:jc w:val="left"/>
              <w:outlineLvl w:val="3"/>
            </w:pPr>
            <w:r>
              <w:rPr>
                <w:rFonts w:ascii="仿宋_GB2312" w:hAnsi="仿宋_GB2312" w:eastAsia="仿宋_GB2312" w:cs="仿宋_GB2312"/>
                <w:b/>
                <w:color w:val="000000"/>
                <w:sz w:val="21"/>
              </w:rPr>
              <w:t>2.1场馆综合运营与教学器材管理服务</w:t>
            </w:r>
          </w:p>
          <w:p w14:paraId="4BBFDD7C">
            <w:pPr>
              <w:pStyle w:val="4"/>
              <w:ind w:firstLine="420"/>
              <w:jc w:val="left"/>
            </w:pPr>
            <w:r>
              <w:rPr>
                <w:rFonts w:ascii="仿宋_GB2312" w:hAnsi="仿宋_GB2312" w:eastAsia="仿宋_GB2312" w:cs="仿宋_GB2312"/>
                <w:color w:val="000000"/>
                <w:sz w:val="21"/>
              </w:rPr>
              <w:t>服务商需提供场馆整体综合运营服务及体育教学器材全流程管理服务，统筹场馆常态化运营、教学保障、活动保障等整体服务工作，制定场馆运营服务、器材管理服务工作计划，健全全套服务管理制度，对接校方体育教学、后勤管理部门，全面配合学校日常体育教学、课余训练、社团活动、赛事举办等工作落地，严格落实校方各项管理要求与工作指令。</w:t>
            </w:r>
          </w:p>
          <w:p w14:paraId="73C167F0">
            <w:pPr>
              <w:pStyle w:val="4"/>
              <w:ind w:firstLine="420"/>
              <w:jc w:val="left"/>
            </w:pPr>
            <w:r>
              <w:rPr>
                <w:rFonts w:ascii="仿宋_GB2312" w:hAnsi="仿宋_GB2312" w:eastAsia="仿宋_GB2312" w:cs="仿宋_GB2312"/>
                <w:color w:val="000000"/>
                <w:sz w:val="21"/>
              </w:rPr>
              <w:t>2.1.1. 整体运营服务：提供场馆日常开放保障、体育教学场地保障、场地统筹调度、服务质量整体管控服务，科学调配服务资源，确保场馆各项服务有序、规范开展，全面满足学校教学、训练及师生健身需求。</w:t>
            </w:r>
          </w:p>
          <w:p w14:paraId="15A6368B">
            <w:pPr>
              <w:pStyle w:val="4"/>
              <w:ind w:firstLine="420"/>
              <w:jc w:val="left"/>
            </w:pPr>
            <w:r>
              <w:rPr>
                <w:rFonts w:ascii="仿宋_GB2312" w:hAnsi="仿宋_GB2312" w:eastAsia="仿宋_GB2312" w:cs="仿宋_GB2312"/>
                <w:color w:val="000000"/>
                <w:sz w:val="21"/>
              </w:rPr>
              <w:t>2.1.2. 台账资料服务：统一建立、更新、归档全套场馆运营服务台账，包含场地使用登记、设备巡检记录、安全巡查记录、保洁消杀记录、问题整改记录、器材收发台账、器材盘点台账等，做到资料齐全、记录规范、全程可追溯。</w:t>
            </w:r>
          </w:p>
          <w:p w14:paraId="13238EF7">
            <w:pPr>
              <w:pStyle w:val="4"/>
              <w:ind w:firstLine="420"/>
              <w:jc w:val="left"/>
            </w:pPr>
            <w:r>
              <w:rPr>
                <w:rFonts w:ascii="仿宋_GB2312" w:hAnsi="仿宋_GB2312" w:eastAsia="仿宋_GB2312" w:cs="仿宋_GB2312"/>
                <w:color w:val="000000"/>
                <w:sz w:val="21"/>
              </w:rPr>
              <w:t>2.1.3. 对接协调服务：常态化对接校方管理部门，定期报送场馆运营、安全隐患、设备运行、器材管理、服务开展等情况，全程配合校方检查、考核、整改、大型活动保障等各项工作。</w:t>
            </w:r>
          </w:p>
          <w:p w14:paraId="22E7F3E1">
            <w:pPr>
              <w:pStyle w:val="4"/>
              <w:ind w:firstLine="420"/>
              <w:jc w:val="left"/>
            </w:pPr>
            <w:r>
              <w:rPr>
                <w:rFonts w:ascii="仿宋_GB2312" w:hAnsi="仿宋_GB2312" w:eastAsia="仿宋_GB2312" w:cs="仿宋_GB2312"/>
                <w:color w:val="000000"/>
                <w:sz w:val="21"/>
              </w:rPr>
              <w:t>2.1.4. 制度执行服务：依据校园管理规范，落地场馆运营、安全管理、应急处置、服务规范等各项管理制度，常态化开展服务自查、服务优化、标准化落实工作，保障服务合规统一。</w:t>
            </w:r>
          </w:p>
          <w:p w14:paraId="313970E3">
            <w:pPr>
              <w:pStyle w:val="4"/>
              <w:ind w:firstLine="420"/>
              <w:jc w:val="left"/>
            </w:pPr>
            <w:r>
              <w:rPr>
                <w:rFonts w:ascii="仿宋_GB2312" w:hAnsi="仿宋_GB2312" w:eastAsia="仿宋_GB2312" w:cs="仿宋_GB2312"/>
                <w:color w:val="000000"/>
                <w:sz w:val="21"/>
              </w:rPr>
              <w:t>2.1.5. 整改提升服务：主动接受校方各级检查与考核，针对考核问题、师生反馈的服务问题，限时完成整改闭环，持续迭代优化整体服务品质。</w:t>
            </w:r>
          </w:p>
          <w:p w14:paraId="10F92E34">
            <w:pPr>
              <w:pStyle w:val="4"/>
              <w:ind w:firstLine="420"/>
              <w:jc w:val="left"/>
            </w:pPr>
            <w:r>
              <w:rPr>
                <w:rFonts w:ascii="仿宋_GB2312" w:hAnsi="仿宋_GB2312" w:eastAsia="仿宋_GB2312" w:cs="仿宋_GB2312"/>
                <w:color w:val="000000"/>
                <w:sz w:val="21"/>
              </w:rPr>
              <w:t>2.1.6. 体育器材全流程管理服务：为学校体育课程、课外训练、体育社团、校园文体活动提供全套器材管理服务，覆盖器材入库登记、分类规范存放、日常防潮防尘保管、课前统一发放、课后全数回收、逐类清点核对、器材日常养护维保、损耗登记、台账动态更新等全链条服务。服务商需根据校方体育课程表、教学计划提前完成器材分拣、筹备、定点布设，课程结束后及时完成全部器材回收、清点、归位，对破损、缺失、老化器材及时登记、上报并协助校方处置，全程保障教学器材充足、完好、可用，杜绝器材乱放、丢失、损坏、短缺问题，保障体育教学工作顺畅开展。</w:t>
            </w:r>
          </w:p>
          <w:p w14:paraId="6AB8AA58">
            <w:pPr>
              <w:pStyle w:val="4"/>
              <w:ind w:firstLine="420"/>
              <w:jc w:val="left"/>
            </w:pPr>
            <w:r>
              <w:rPr>
                <w:rFonts w:ascii="仿宋_GB2312" w:hAnsi="仿宋_GB2312" w:eastAsia="仿宋_GB2312" w:cs="仿宋_GB2312"/>
                <w:color w:val="000000"/>
                <w:sz w:val="21"/>
              </w:rPr>
              <w:t>2.2.前台接待与场地配套服务</w:t>
            </w:r>
          </w:p>
          <w:p w14:paraId="0CB07DAB">
            <w:pPr>
              <w:pStyle w:val="4"/>
              <w:ind w:firstLine="420"/>
              <w:jc w:val="left"/>
            </w:pPr>
            <w:r>
              <w:rPr>
                <w:rFonts w:ascii="仿宋_GB2312" w:hAnsi="仿宋_GB2312" w:eastAsia="仿宋_GB2312" w:cs="仿宋_GB2312"/>
                <w:color w:val="000000"/>
                <w:sz w:val="21"/>
              </w:rPr>
              <w:t>服务商需提供场馆前台接待、场地管理、咨询答疑、出入管控、秩序引导、物资器材配套等综合性窗口服务，建立标准化服务体系，保障场馆服务高效、规范、贴心。</w:t>
            </w:r>
          </w:p>
          <w:p w14:paraId="576C8CD9">
            <w:pPr>
              <w:pStyle w:val="4"/>
              <w:ind w:firstLine="420"/>
              <w:jc w:val="left"/>
            </w:pPr>
            <w:r>
              <w:rPr>
                <w:rFonts w:ascii="仿宋_GB2312" w:hAnsi="仿宋_GB2312" w:eastAsia="仿宋_GB2312" w:cs="仿宋_GB2312"/>
                <w:color w:val="000000"/>
                <w:sz w:val="21"/>
              </w:rPr>
              <w:t>2.2.1. 咨询接待服务：提供场馆开放规则、场地预约、使用规范、器材借用等业务咨询服务，耐心解答师生及合规来访人员疑问，主动提供引导协助服务。</w:t>
            </w:r>
          </w:p>
          <w:p w14:paraId="6B184EBA">
            <w:pPr>
              <w:pStyle w:val="4"/>
              <w:ind w:firstLine="420"/>
              <w:jc w:val="left"/>
            </w:pPr>
            <w:r>
              <w:rPr>
                <w:rFonts w:ascii="仿宋_GB2312" w:hAnsi="仿宋_GB2312" w:eastAsia="仿宋_GB2312" w:cs="仿宋_GB2312"/>
                <w:color w:val="000000"/>
                <w:sz w:val="21"/>
              </w:rPr>
              <w:t>2.2.2. 出入与场地管控服务：提供场馆出入登记、外来人员核验、场地使用登记、预约核销等管控服务，规范场地使用秩序，杜绝违规占用、无序使用场地等情况。</w:t>
            </w:r>
          </w:p>
          <w:p w14:paraId="5490C1C2">
            <w:pPr>
              <w:pStyle w:val="4"/>
              <w:ind w:firstLine="420"/>
              <w:jc w:val="left"/>
            </w:pPr>
            <w:r>
              <w:rPr>
                <w:rFonts w:ascii="仿宋_GB2312" w:hAnsi="仿宋_GB2312" w:eastAsia="仿宋_GB2312" w:cs="仿宋_GB2312"/>
                <w:color w:val="000000"/>
                <w:sz w:val="21"/>
              </w:rPr>
              <w:t>2.2.3. 现场秩序服务：提供场馆入口、公共区域、运动场地的秩序维护服务，引导师生规范使用场地及设施，劝导不文明运动行为，保障场馆通行顺畅、秩序井然。</w:t>
            </w:r>
          </w:p>
          <w:p w14:paraId="10BC2684">
            <w:pPr>
              <w:pStyle w:val="4"/>
              <w:ind w:firstLine="420"/>
              <w:jc w:val="left"/>
            </w:pPr>
            <w:r>
              <w:rPr>
                <w:rFonts w:ascii="仿宋_GB2312" w:hAnsi="仿宋_GB2312" w:eastAsia="仿宋_GB2312" w:cs="仿宋_GB2312"/>
                <w:color w:val="000000"/>
                <w:sz w:val="21"/>
              </w:rPr>
              <w:t>2.2.4. 物资器材配套服务：提供场馆便民物资、办公物资、体育教学器材的统一收纳、规范保管、借用登记、归还核验服务，建立标准化器材流转台账，精准记录器材使用信息，确保账物相符、流转规范、物资完好可用。</w:t>
            </w:r>
          </w:p>
          <w:p w14:paraId="13805444">
            <w:pPr>
              <w:pStyle w:val="4"/>
              <w:ind w:firstLine="420"/>
              <w:jc w:val="left"/>
            </w:pPr>
            <w:r>
              <w:rPr>
                <w:rFonts w:ascii="仿宋_GB2312" w:hAnsi="仿宋_GB2312" w:eastAsia="仿宋_GB2312" w:cs="仿宋_GB2312"/>
                <w:color w:val="000000"/>
                <w:sz w:val="21"/>
              </w:rPr>
              <w:t>2.2.5. 意见反馈服务：主动收集师生服务意见与建议，汇总服务问题，联动完成整改优化，持续提升场馆服务体验。</w:t>
            </w:r>
          </w:p>
          <w:p w14:paraId="07721872">
            <w:pPr>
              <w:pStyle w:val="4"/>
              <w:ind w:firstLine="420"/>
              <w:jc w:val="left"/>
            </w:pPr>
            <w:r>
              <w:rPr>
                <w:rFonts w:ascii="仿宋_GB2312" w:hAnsi="仿宋_GB2312" w:eastAsia="仿宋_GB2312" w:cs="仿宋_GB2312"/>
                <w:color w:val="000000"/>
                <w:sz w:val="21"/>
              </w:rPr>
              <w:t>2.3.场馆安全安保服务</w:t>
            </w:r>
          </w:p>
          <w:p w14:paraId="0EE627E7">
            <w:pPr>
              <w:pStyle w:val="4"/>
              <w:ind w:firstLine="420"/>
              <w:jc w:val="left"/>
            </w:pPr>
            <w:r>
              <w:rPr>
                <w:rFonts w:ascii="仿宋_GB2312" w:hAnsi="仿宋_GB2312" w:eastAsia="仿宋_GB2312" w:cs="仿宋_GB2312"/>
                <w:color w:val="000000"/>
                <w:sz w:val="21"/>
              </w:rPr>
              <w:t>服务商需提供场馆全域门禁管控、治安防范、安全巡查、消防保障、现场秩序维稳、突发事件处置等全方位安全安保服务，全面筑牢场馆安全运营防线。</w:t>
            </w:r>
          </w:p>
          <w:p w14:paraId="57A2A8CC">
            <w:pPr>
              <w:pStyle w:val="4"/>
              <w:ind w:firstLine="420"/>
              <w:jc w:val="left"/>
            </w:pPr>
            <w:r>
              <w:rPr>
                <w:rFonts w:ascii="仿宋_GB2312" w:hAnsi="仿宋_GB2312" w:eastAsia="仿宋_GB2312" w:cs="仿宋_GB2312"/>
                <w:color w:val="000000"/>
                <w:sz w:val="21"/>
              </w:rPr>
              <w:t>2.3.1. 门禁管控服务：提供场馆出入口常态化值守与进出管控服务，规范人员、车辆进出管理，杜绝无关人员、闲散人员违规进入场馆区域，保障场馆封闭安全管理。</w:t>
            </w:r>
          </w:p>
          <w:p w14:paraId="16477C2A">
            <w:pPr>
              <w:pStyle w:val="4"/>
              <w:ind w:firstLine="420"/>
              <w:jc w:val="left"/>
            </w:pPr>
            <w:r>
              <w:rPr>
                <w:rFonts w:ascii="仿宋_GB2312" w:hAnsi="仿宋_GB2312" w:eastAsia="仿宋_GB2312" w:cs="仿宋_GB2312"/>
                <w:color w:val="000000"/>
                <w:sz w:val="21"/>
              </w:rPr>
              <w:t>2.3.2. 全域安全巡查服务：提供场馆室内外全域常态化安全巡查服务，重点排查治安隐患、消防隐患、设施破损、违规堆放等安全风险，及时处置、上报各类安全问题。</w:t>
            </w:r>
          </w:p>
          <w:p w14:paraId="30B1F575">
            <w:pPr>
              <w:pStyle w:val="4"/>
              <w:ind w:firstLine="420"/>
              <w:jc w:val="left"/>
            </w:pPr>
            <w:r>
              <w:rPr>
                <w:rFonts w:ascii="仿宋_GB2312" w:hAnsi="仿宋_GB2312" w:eastAsia="仿宋_GB2312" w:cs="仿宋_GB2312"/>
                <w:color w:val="000000"/>
                <w:sz w:val="21"/>
              </w:rPr>
              <w:t>2.3.3. 活动秩序保障服务：在场馆开放、体育教学、训练、赛事及各类文体活动期间，提供现场人流疏导、秩序维护、行为劝导服务，保障场地使用安全有序。</w:t>
            </w:r>
          </w:p>
          <w:p w14:paraId="3936F127">
            <w:pPr>
              <w:pStyle w:val="4"/>
              <w:ind w:firstLine="420"/>
              <w:jc w:val="left"/>
            </w:pPr>
            <w:r>
              <w:rPr>
                <w:rFonts w:ascii="仿宋_GB2312" w:hAnsi="仿宋_GB2312" w:eastAsia="仿宋_GB2312" w:cs="仿宋_GB2312"/>
                <w:color w:val="000000"/>
                <w:sz w:val="21"/>
              </w:rPr>
              <w:t>2.3.4. 消防保障服务：提供场馆消防设施常态化检查、通道清理、隐患排查服务，确保消防器材完好有效、消防通道畅通，具备初期火灾处置与应急保障能力。</w:t>
            </w:r>
          </w:p>
          <w:p w14:paraId="20AB01A4">
            <w:pPr>
              <w:pStyle w:val="4"/>
              <w:ind w:firstLine="420"/>
              <w:jc w:val="left"/>
            </w:pPr>
            <w:r>
              <w:rPr>
                <w:rFonts w:ascii="仿宋_GB2312" w:hAnsi="仿宋_GB2312" w:eastAsia="仿宋_GB2312" w:cs="仿宋_GB2312"/>
                <w:color w:val="000000"/>
                <w:sz w:val="21"/>
              </w:rPr>
              <w:t>2.3.5. 应急处置服务：针对场馆突发纠纷、安全险情、意外事件等，提供第一时间现场维稳、应急处置、上报对接服务，配合校方完成后续善后工作。</w:t>
            </w:r>
          </w:p>
          <w:p w14:paraId="5A6FEDA0">
            <w:pPr>
              <w:pStyle w:val="4"/>
              <w:ind w:firstLine="420"/>
              <w:jc w:val="left"/>
            </w:pPr>
            <w:r>
              <w:rPr>
                <w:rFonts w:ascii="仿宋_GB2312" w:hAnsi="仿宋_GB2312" w:eastAsia="仿宋_GB2312" w:cs="仿宋_GB2312"/>
                <w:color w:val="000000"/>
                <w:sz w:val="21"/>
              </w:rPr>
              <w:t>2.4.游泳馆安全救生保障服务</w:t>
            </w:r>
          </w:p>
          <w:p w14:paraId="4425BAB7">
            <w:pPr>
              <w:pStyle w:val="4"/>
              <w:ind w:firstLine="420"/>
              <w:jc w:val="left"/>
            </w:pPr>
            <w:r>
              <w:rPr>
                <w:rFonts w:ascii="仿宋_GB2312" w:hAnsi="仿宋_GB2312" w:eastAsia="仿宋_GB2312" w:cs="仿宋_GB2312"/>
                <w:color w:val="000000"/>
                <w:sz w:val="21"/>
              </w:rPr>
              <w:t>服务商需提供游泳馆全时段安全救生、风险管控、水质监督、应急救护、器材保障、台账记录等专业化救生保障服务，严格落实游泳馆安全运营标准，杜绝各类安全事故发生。</w:t>
            </w:r>
          </w:p>
          <w:p w14:paraId="04788A75">
            <w:pPr>
              <w:pStyle w:val="4"/>
              <w:ind w:firstLine="420"/>
              <w:jc w:val="left"/>
            </w:pPr>
            <w:r>
              <w:rPr>
                <w:rFonts w:ascii="仿宋_GB2312" w:hAnsi="仿宋_GB2312" w:eastAsia="仿宋_GB2312" w:cs="仿宋_GB2312"/>
                <w:color w:val="000000"/>
                <w:sz w:val="21"/>
              </w:rPr>
              <w:t>2.4.1. 全时段值守巡查服务：在游泳馆开放时段提供不间断值守、分区巡查服务，实时监控场内人员游泳状态，及时制止危险游泳行为，重点关注未成年人及初学人员安全。</w:t>
            </w:r>
          </w:p>
          <w:p w14:paraId="7F471C6D">
            <w:pPr>
              <w:pStyle w:val="4"/>
              <w:ind w:firstLine="420"/>
              <w:jc w:val="left"/>
            </w:pPr>
            <w:r>
              <w:rPr>
                <w:rFonts w:ascii="仿宋_GB2312" w:hAnsi="仿宋_GB2312" w:eastAsia="仿宋_GB2312" w:cs="仿宋_GB2312"/>
                <w:color w:val="000000"/>
                <w:sz w:val="21"/>
              </w:rPr>
              <w:t>2.4.2. 应急救生救护服务：提供专业溺水救援、现场应急救护、突发身体不适处置等服务，熟练掌握心肺复苏等急救技能，快速处置各类泳池突发安全情况。</w:t>
            </w:r>
          </w:p>
          <w:p w14:paraId="5D39835B">
            <w:pPr>
              <w:pStyle w:val="4"/>
              <w:ind w:firstLine="420"/>
              <w:jc w:val="left"/>
            </w:pPr>
            <w:r>
              <w:rPr>
                <w:rFonts w:ascii="仿宋_GB2312" w:hAnsi="仿宋_GB2312" w:eastAsia="仿宋_GB2312" w:cs="仿宋_GB2312"/>
                <w:color w:val="000000"/>
                <w:sz w:val="21"/>
              </w:rPr>
              <w:t>2.4.3. 入场安全管控服务：提供游泳馆入场安全核验、安全警示教育、场地设施隐患排查服务，规范场内使用秩序，杜绝违规入场、违规使用等危险行为。</w:t>
            </w:r>
          </w:p>
          <w:p w14:paraId="4E70AF1D">
            <w:pPr>
              <w:pStyle w:val="4"/>
              <w:ind w:firstLine="420"/>
              <w:jc w:val="left"/>
            </w:pPr>
            <w:r>
              <w:rPr>
                <w:rFonts w:ascii="仿宋_GB2312" w:hAnsi="仿宋_GB2312" w:eastAsia="仿宋_GB2312" w:cs="仿宋_GB2312"/>
                <w:color w:val="000000"/>
                <w:sz w:val="21"/>
              </w:rPr>
              <w:t>2.4.4. 水质环境监督服务：配合校方开展泳池水质日常监测与监督服务，发现水质异常、设备故障等问题及时上报、协助处置，保障游泳环境安全合规。</w:t>
            </w:r>
          </w:p>
          <w:p w14:paraId="63E973CE">
            <w:pPr>
              <w:pStyle w:val="4"/>
              <w:ind w:firstLine="420"/>
              <w:jc w:val="left"/>
            </w:pPr>
            <w:r>
              <w:rPr>
                <w:rFonts w:ascii="仿宋_GB2312" w:hAnsi="仿宋_GB2312" w:eastAsia="仿宋_GB2312" w:cs="仿宋_GB2312"/>
                <w:color w:val="000000"/>
                <w:sz w:val="21"/>
              </w:rPr>
              <w:t>2.4.5. 救生物资保障服务：提供救生器材、应急救护物资的日常检查、整理、养护、保管服务，确保各类应急物资齐全完好、随时可用。</w:t>
            </w:r>
          </w:p>
          <w:p w14:paraId="1BE5C6F3">
            <w:pPr>
              <w:pStyle w:val="4"/>
              <w:ind w:firstLine="420"/>
              <w:jc w:val="left"/>
            </w:pPr>
            <w:r>
              <w:rPr>
                <w:rFonts w:ascii="仿宋_GB2312" w:hAnsi="仿宋_GB2312" w:eastAsia="仿宋_GB2312" w:cs="仿宋_GB2312"/>
                <w:color w:val="000000"/>
                <w:sz w:val="21"/>
              </w:rPr>
              <w:t>2.4.6. 救生台账记录服务：提供游泳馆值守、巡查、应急处置、设备检查等台账整理与记录服务，确保资料完整、规范可查。</w:t>
            </w:r>
          </w:p>
          <w:p w14:paraId="46171F14">
            <w:pPr>
              <w:pStyle w:val="4"/>
              <w:ind w:firstLine="420"/>
              <w:jc w:val="left"/>
            </w:pPr>
            <w:r>
              <w:rPr>
                <w:rFonts w:ascii="仿宋_GB2312" w:hAnsi="仿宋_GB2312" w:eastAsia="仿宋_GB2312" w:cs="仿宋_GB2312"/>
                <w:color w:val="000000"/>
                <w:sz w:val="21"/>
              </w:rPr>
              <w:t>2.5.设施设备与器材运维保障服务</w:t>
            </w:r>
          </w:p>
          <w:p w14:paraId="72B1CA8C">
            <w:pPr>
              <w:pStyle w:val="4"/>
              <w:ind w:firstLine="420"/>
              <w:jc w:val="left"/>
            </w:pPr>
            <w:r>
              <w:rPr>
                <w:rFonts w:ascii="仿宋_GB2312" w:hAnsi="仿宋_GB2312" w:eastAsia="仿宋_GB2312" w:cs="仿宋_GB2312"/>
                <w:color w:val="000000"/>
                <w:sz w:val="21"/>
              </w:rPr>
              <w:t>服务商需提供场馆全部设施设备、体育教学器材的日常巡检、养护维保、故障排查、维修跟进、资产管控等全维度运维保障服务，确保设备、器材长期处于安全完好、可用合规状态。</w:t>
            </w:r>
          </w:p>
          <w:p w14:paraId="74B9FF61">
            <w:pPr>
              <w:pStyle w:val="4"/>
              <w:ind w:firstLine="420"/>
              <w:jc w:val="left"/>
            </w:pPr>
            <w:r>
              <w:rPr>
                <w:rFonts w:ascii="仿宋_GB2312" w:hAnsi="仿宋_GB2312" w:eastAsia="仿宋_GB2312" w:cs="仿宋_GB2312"/>
                <w:color w:val="000000"/>
                <w:sz w:val="21"/>
              </w:rPr>
              <w:t>2.5.1. 全域巡检服务：提供场馆照明、水电、通风、泳池循环、健身设施、场地设备、门禁监控、消防设施等所有软硬件设备的日常全域巡检服务，及时发现异常问题。</w:t>
            </w:r>
          </w:p>
          <w:p w14:paraId="256209B0">
            <w:pPr>
              <w:pStyle w:val="4"/>
              <w:ind w:firstLine="420"/>
              <w:jc w:val="left"/>
            </w:pPr>
            <w:r>
              <w:rPr>
                <w:rFonts w:ascii="仿宋_GB2312" w:hAnsi="仿宋_GB2312" w:eastAsia="仿宋_GB2312" w:cs="仿宋_GB2312"/>
                <w:color w:val="000000"/>
                <w:sz w:val="21"/>
              </w:rPr>
              <w:t>2.5.2. 常态化养护服务：按照专业运维标准，提供设备清洁、调试、防锈、加固、保养及体育器材除尘、防潮、规整等养护服务，延长设备与器材使用寿命，降低故障概率。</w:t>
            </w:r>
          </w:p>
          <w:p w14:paraId="4D670527">
            <w:pPr>
              <w:pStyle w:val="4"/>
              <w:ind w:firstLine="420"/>
              <w:jc w:val="left"/>
            </w:pPr>
            <w:r>
              <w:rPr>
                <w:rFonts w:ascii="仿宋_GB2312" w:hAnsi="仿宋_GB2312" w:eastAsia="仿宋_GB2312" w:cs="仿宋_GB2312"/>
                <w:color w:val="000000"/>
                <w:sz w:val="21"/>
              </w:rPr>
              <w:t>2.5.3. 故障处置服务：针对设备故障、设施破损、器材损坏等问题，提供即时排查、小型故障现场修复、重大问题登记上报、全程跟进维修闭环的服务，最快恢复设备器材使用功能。</w:t>
            </w:r>
          </w:p>
          <w:p w14:paraId="7AE3DBCC">
            <w:pPr>
              <w:pStyle w:val="4"/>
              <w:ind w:firstLine="420"/>
              <w:jc w:val="left"/>
            </w:pPr>
            <w:r>
              <w:rPr>
                <w:rFonts w:ascii="仿宋_GB2312" w:hAnsi="仿宋_GB2312" w:eastAsia="仿宋_GB2312" w:cs="仿宋_GB2312"/>
                <w:color w:val="000000"/>
                <w:sz w:val="21"/>
              </w:rPr>
              <w:t>2.5.4. 资产台账管控服务：配合校方提供场馆设备、体育器材的定期盘点、登记核对、损耗统计、报废上报等服务，动态更新资产器材台账，全程保障国有资产完好可控、账物一致。</w:t>
            </w:r>
          </w:p>
          <w:p w14:paraId="42967770">
            <w:pPr>
              <w:pStyle w:val="4"/>
              <w:ind w:firstLine="420"/>
              <w:jc w:val="left"/>
            </w:pPr>
            <w:r>
              <w:rPr>
                <w:rFonts w:ascii="仿宋_GB2312" w:hAnsi="仿宋_GB2312" w:eastAsia="仿宋_GB2312" w:cs="仿宋_GB2312"/>
                <w:color w:val="000000"/>
                <w:sz w:val="21"/>
              </w:rPr>
              <w:t>2.5.5. 专项活动保障服务：在教学、赛事、大型文体活动前后，提供设备器材全面检查、调试、复位、维保等专项保障服务，确保活动全程设备器材运行稳定。</w:t>
            </w:r>
          </w:p>
          <w:p w14:paraId="77D62DE8">
            <w:pPr>
              <w:pStyle w:val="4"/>
              <w:ind w:firstLine="420"/>
              <w:jc w:val="left"/>
            </w:pPr>
            <w:r>
              <w:rPr>
                <w:rFonts w:ascii="仿宋_GB2312" w:hAnsi="仿宋_GB2312" w:eastAsia="仿宋_GB2312" w:cs="仿宋_GB2312"/>
                <w:color w:val="000000"/>
                <w:sz w:val="21"/>
              </w:rPr>
              <w:t>2.6.全域保洁与场地养护服务</w:t>
            </w:r>
          </w:p>
          <w:p w14:paraId="5AF728DB">
            <w:pPr>
              <w:pStyle w:val="4"/>
              <w:ind w:firstLine="420"/>
              <w:jc w:val="left"/>
            </w:pPr>
            <w:r>
              <w:rPr>
                <w:rFonts w:ascii="仿宋_GB2312" w:hAnsi="仿宋_GB2312" w:eastAsia="仿宋_GB2312" w:cs="仿宋_GB2312"/>
                <w:color w:val="000000"/>
                <w:sz w:val="21"/>
              </w:rPr>
              <w:t>服务商需提供场馆全域公共区域、功能区域、运动场地、配套区域的日常保洁、深度清洁、垃圾清运、环境消杀、场地专业养护等一体化环境卫生服务，保障场馆全域干净整洁、无死角、无异味、设施场地完好美观。</w:t>
            </w:r>
          </w:p>
          <w:p w14:paraId="3142920F">
            <w:pPr>
              <w:pStyle w:val="4"/>
              <w:ind w:firstLine="420"/>
              <w:jc w:val="left"/>
            </w:pPr>
            <w:r>
              <w:rPr>
                <w:rFonts w:ascii="仿宋_GB2312" w:hAnsi="仿宋_GB2312" w:eastAsia="仿宋_GB2312" w:cs="仿宋_GB2312"/>
                <w:color w:val="000000"/>
                <w:sz w:val="21"/>
              </w:rPr>
              <w:t>2.6.1. 日常保洁服务：提供场馆大厅、运动场地、看台、通道、走廊、卫生间、楼梯、扶手、门窗玻璃等全域常态化清扫、除尘、擦拭、积水清理服务，实时保持场地整洁。</w:t>
            </w:r>
          </w:p>
          <w:p w14:paraId="09AEBE3E">
            <w:pPr>
              <w:pStyle w:val="4"/>
              <w:ind w:firstLine="420"/>
              <w:jc w:val="left"/>
            </w:pPr>
            <w:r>
              <w:rPr>
                <w:rFonts w:ascii="仿宋_GB2312" w:hAnsi="仿宋_GB2312" w:eastAsia="仿宋_GB2312" w:cs="仿宋_GB2312"/>
                <w:color w:val="000000"/>
                <w:sz w:val="21"/>
              </w:rPr>
              <w:t>2.6.2. 深度清洁服务：定期提供公共设施、运动器材、座椅、台面、墙面地面的深度清洁服务，对卫生间、泳池周边等重点区域加强清洁频次，彻底清除污渍、污垢、残留杂物。</w:t>
            </w:r>
          </w:p>
          <w:p w14:paraId="1942C680">
            <w:pPr>
              <w:pStyle w:val="4"/>
              <w:ind w:firstLine="420"/>
              <w:jc w:val="left"/>
            </w:pPr>
            <w:r>
              <w:rPr>
                <w:rFonts w:ascii="仿宋_GB2312" w:hAnsi="仿宋_GB2312" w:eastAsia="仿宋_GB2312" w:cs="仿宋_GB2312"/>
                <w:color w:val="000000"/>
                <w:sz w:val="21"/>
              </w:rPr>
              <w:t>2.6.3. 垃圾清运服务：提供场馆全域垃圾分类收纳、及时清运、日产日清服务，对垃圾收纳设施定期清洁消杀，杜绝垃圾堆积、异味扩散、蚊虫滋生。</w:t>
            </w:r>
          </w:p>
          <w:p w14:paraId="611C6BD7">
            <w:pPr>
              <w:pStyle w:val="4"/>
              <w:ind w:firstLine="420"/>
              <w:jc w:val="left"/>
            </w:pPr>
            <w:r>
              <w:rPr>
                <w:rFonts w:ascii="仿宋_GB2312" w:hAnsi="仿宋_GB2312" w:eastAsia="仿宋_GB2312" w:cs="仿宋_GB2312"/>
                <w:color w:val="000000"/>
                <w:sz w:val="21"/>
              </w:rPr>
              <w:t>2.6.4. 全域消杀服务：按照校园防疫及卫生标准，提供场馆公共区域、密闭空间、重点区域常态化消杀服务，完整留存消杀记录，保障场馆卫生安全。</w:t>
            </w:r>
          </w:p>
          <w:p w14:paraId="388FBD8F">
            <w:pPr>
              <w:pStyle w:val="4"/>
              <w:ind w:firstLine="420"/>
              <w:jc w:val="left"/>
            </w:pPr>
            <w:r>
              <w:rPr>
                <w:rFonts w:ascii="仿宋_GB2312" w:hAnsi="仿宋_GB2312" w:eastAsia="仿宋_GB2312" w:cs="仿宋_GB2312"/>
                <w:color w:val="000000"/>
                <w:sz w:val="21"/>
              </w:rPr>
              <w:t>2.6.5. 场地专业养护服务：提供塑胶场地、球类场地、泳池区域的日常养护、杂物清理、表层防护服务，及时排查场地破损、凸起、隐患问题，保障运动场地平整完好、安全可用。</w:t>
            </w:r>
          </w:p>
          <w:p w14:paraId="3957C91A">
            <w:pPr>
              <w:pStyle w:val="4"/>
              <w:ind w:firstLine="420"/>
              <w:jc w:val="left"/>
            </w:pPr>
            <w:r>
              <w:rPr>
                <w:rFonts w:ascii="仿宋_GB2312" w:hAnsi="仿宋_GB2312" w:eastAsia="仿宋_GB2312" w:cs="仿宋_GB2312"/>
                <w:color w:val="000000"/>
                <w:sz w:val="21"/>
              </w:rPr>
              <w:t>2.6.6. 死角专项清理服务：定期开展全域卫生死角排查与专项清理服务，对隐蔽区域、设备底部、高空边角等区域彻底清扫，确保场馆环境卫生无盲区、全达标。</w:t>
            </w:r>
          </w:p>
          <w:p w14:paraId="3859F78D">
            <w:pPr>
              <w:pStyle w:val="4"/>
              <w:jc w:val="left"/>
              <w:outlineLvl w:val="2"/>
            </w:pPr>
            <w:r>
              <w:rPr>
                <w:rFonts w:ascii="仿宋_GB2312" w:hAnsi="仿宋_GB2312" w:eastAsia="仿宋_GB2312" w:cs="仿宋_GB2312"/>
                <w:b/>
                <w:color w:val="000000"/>
                <w:sz w:val="21"/>
              </w:rPr>
              <w:t>3.服务事项清单及量化考核标准</w:t>
            </w:r>
          </w:p>
          <w:p w14:paraId="5B85E7ED">
            <w:pPr>
              <w:pStyle w:val="4"/>
              <w:ind w:firstLine="420"/>
              <w:jc w:val="left"/>
            </w:pPr>
            <w:r>
              <w:rPr>
                <w:rFonts w:ascii="仿宋_GB2312" w:hAnsi="仿宋_GB2312" w:eastAsia="仿宋_GB2312" w:cs="仿宋_GB2312"/>
                <w:color w:val="000000"/>
                <w:sz w:val="21"/>
              </w:rPr>
              <w:t>本项目月度、年度考核基准总分100分，各服务板块权重分值分配如下，考核得分=各板块实得分总和+加分项得分（加分月度上限15分）。</w:t>
            </w:r>
          </w:p>
          <w:p w14:paraId="531B3571">
            <w:pPr>
              <w:pStyle w:val="4"/>
              <w:ind w:firstLine="420"/>
              <w:jc w:val="left"/>
            </w:pPr>
            <w:r>
              <w:rPr>
                <w:rFonts w:ascii="仿宋_GB2312" w:hAnsi="仿宋_GB2312" w:eastAsia="仿宋_GB2312" w:cs="仿宋_GB2312"/>
                <w:color w:val="000000"/>
                <w:sz w:val="21"/>
              </w:rPr>
              <w:t>1. 客户接待服务：15分</w:t>
            </w:r>
          </w:p>
          <w:p w14:paraId="415AE7BD">
            <w:pPr>
              <w:pStyle w:val="4"/>
              <w:ind w:firstLine="420"/>
              <w:jc w:val="left"/>
            </w:pPr>
            <w:r>
              <w:rPr>
                <w:rFonts w:ascii="仿宋_GB2312" w:hAnsi="仿宋_GB2312" w:eastAsia="仿宋_GB2312" w:cs="仿宋_GB2312"/>
                <w:color w:val="000000"/>
                <w:sz w:val="21"/>
              </w:rPr>
              <w:t>2. 秩序安全维护服务：20分</w:t>
            </w:r>
          </w:p>
          <w:p w14:paraId="75CFF9C3">
            <w:pPr>
              <w:pStyle w:val="4"/>
              <w:ind w:firstLine="420"/>
              <w:jc w:val="left"/>
            </w:pPr>
            <w:r>
              <w:rPr>
                <w:rFonts w:ascii="仿宋_GB2312" w:hAnsi="仿宋_GB2312" w:eastAsia="仿宋_GB2312" w:cs="仿宋_GB2312"/>
                <w:color w:val="000000"/>
                <w:sz w:val="21"/>
              </w:rPr>
              <w:t>3. 设施设备与体育器材运维服务：25分</w:t>
            </w:r>
          </w:p>
          <w:p w14:paraId="14BA9F51">
            <w:pPr>
              <w:pStyle w:val="4"/>
              <w:ind w:firstLine="420"/>
              <w:jc w:val="left"/>
            </w:pPr>
            <w:r>
              <w:rPr>
                <w:rFonts w:ascii="仿宋_GB2312" w:hAnsi="仿宋_GB2312" w:eastAsia="仿宋_GB2312" w:cs="仿宋_GB2312"/>
                <w:color w:val="000000"/>
                <w:sz w:val="21"/>
              </w:rPr>
              <w:t>4. 环境卫生保洁服务：15分</w:t>
            </w:r>
          </w:p>
          <w:p w14:paraId="6099508E">
            <w:pPr>
              <w:pStyle w:val="4"/>
              <w:ind w:firstLine="420"/>
              <w:jc w:val="left"/>
            </w:pPr>
            <w:r>
              <w:rPr>
                <w:rFonts w:ascii="仿宋_GB2312" w:hAnsi="仿宋_GB2312" w:eastAsia="仿宋_GB2312" w:cs="仿宋_GB2312"/>
                <w:color w:val="000000"/>
                <w:sz w:val="21"/>
              </w:rPr>
              <w:t>5. 游泳馆救生安全服务：10分</w:t>
            </w:r>
          </w:p>
          <w:p w14:paraId="384216C0">
            <w:pPr>
              <w:pStyle w:val="4"/>
              <w:ind w:firstLine="420"/>
              <w:jc w:val="left"/>
            </w:pPr>
            <w:r>
              <w:rPr>
                <w:rFonts w:ascii="仿宋_GB2312" w:hAnsi="仿宋_GB2312" w:eastAsia="仿宋_GB2312" w:cs="仿宋_GB2312"/>
                <w:color w:val="000000"/>
                <w:sz w:val="21"/>
              </w:rPr>
              <w:t>6. 综合运营管理服务：15分</w:t>
            </w:r>
          </w:p>
          <w:p w14:paraId="231D80A5">
            <w:pPr>
              <w:pStyle w:val="4"/>
              <w:ind w:firstLine="420"/>
              <w:jc w:val="left"/>
            </w:pPr>
            <w:r>
              <w:rPr>
                <w:rFonts w:ascii="仿宋_GB2312" w:hAnsi="仿宋_GB2312" w:eastAsia="仿宋_GB2312" w:cs="仿宋_GB2312"/>
                <w:color w:val="000000"/>
                <w:sz w:val="21"/>
              </w:rPr>
              <w:t>基准总分：100分</w:t>
            </w:r>
          </w:p>
          <w:p w14:paraId="37713308">
            <w:pPr>
              <w:pStyle w:val="4"/>
              <w:jc w:val="left"/>
              <w:outlineLvl w:val="3"/>
            </w:pPr>
            <w:r>
              <w:rPr>
                <w:rFonts w:ascii="仿宋_GB2312" w:hAnsi="仿宋_GB2312" w:eastAsia="仿宋_GB2312" w:cs="仿宋_GB2312"/>
                <w:b/>
                <w:color w:val="000000"/>
                <w:sz w:val="21"/>
              </w:rPr>
              <w:t>3.1宝鸡文理学院体育场馆服务外包项目考核权重、扣分及加分汇总表</w:t>
            </w:r>
          </w:p>
          <w:p w14:paraId="52ED34F9">
            <w:pPr>
              <w:pStyle w:val="4"/>
              <w:ind w:firstLine="420"/>
              <w:jc w:val="left"/>
            </w:pPr>
            <w:r>
              <w:rPr>
                <w:rFonts w:ascii="仿宋_GB2312" w:hAnsi="仿宋_GB2312" w:eastAsia="仿宋_GB2312" w:cs="仿宋_GB2312"/>
                <w:color w:val="000000"/>
                <w:sz w:val="21"/>
              </w:rPr>
              <w:t>3.1.1服务外包项目考核扣分表</w:t>
            </w:r>
          </w:p>
          <w:tbl>
            <w:tblPr>
              <w:tblStyle w:val="2"/>
              <w:tblW w:w="0" w:type="auto"/>
              <w:tblInd w:w="12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451"/>
              <w:gridCol w:w="451"/>
              <w:gridCol w:w="451"/>
              <w:gridCol w:w="1754"/>
            </w:tblGrid>
            <w:tr w14:paraId="4F4F2DD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PrEx>
              <w:tc>
                <w:tcPr>
                  <w:tcW w:w="176" w:type="dxa"/>
                  <w:tcBorders>
                    <w:top w:val="single" w:color="000000" w:sz="4" w:space="0"/>
                    <w:left w:val="single" w:color="000000" w:sz="4" w:space="0"/>
                    <w:bottom w:val="single" w:color="000000" w:sz="4" w:space="0"/>
                    <w:right w:val="single" w:color="000000" w:sz="4" w:space="0"/>
                  </w:tcBorders>
                  <w:shd w:val="clear" w:color="auto" w:fill="F2F3F5"/>
                  <w:tcMar>
                    <w:top w:w="120" w:type="dxa"/>
                    <w:left w:w="120" w:type="dxa"/>
                    <w:bottom w:w="120" w:type="dxa"/>
                    <w:right w:w="120" w:type="dxa"/>
                  </w:tcMar>
                  <w:vAlign w:val="top"/>
                </w:tcPr>
                <w:p w14:paraId="37B02F7C">
                  <w:pPr>
                    <w:pStyle w:val="4"/>
                    <w:jc w:val="center"/>
                  </w:pPr>
                  <w:r>
                    <w:rPr>
                      <w:rFonts w:ascii="仿宋_GB2312" w:hAnsi="仿宋_GB2312" w:eastAsia="仿宋_GB2312" w:cs="仿宋_GB2312"/>
                      <w:b/>
                      <w:color w:val="000000"/>
                      <w:sz w:val="21"/>
                    </w:rPr>
                    <w:t>序号</w:t>
                  </w:r>
                </w:p>
              </w:tc>
              <w:tc>
                <w:tcPr>
                  <w:tcW w:w="349" w:type="dxa"/>
                  <w:tcBorders>
                    <w:top w:val="single" w:color="000000" w:sz="4" w:space="0"/>
                    <w:left w:val="single" w:color="000000" w:sz="4" w:space="0"/>
                    <w:bottom w:val="single" w:color="000000" w:sz="4" w:space="0"/>
                    <w:right w:val="single" w:color="000000" w:sz="4" w:space="0"/>
                  </w:tcBorders>
                  <w:shd w:val="clear" w:color="auto" w:fill="F2F3F5"/>
                  <w:tcMar>
                    <w:top w:w="120" w:type="dxa"/>
                    <w:left w:w="120" w:type="dxa"/>
                    <w:bottom w:w="120" w:type="dxa"/>
                    <w:right w:w="120" w:type="dxa"/>
                  </w:tcMar>
                  <w:vAlign w:val="top"/>
                </w:tcPr>
                <w:p w14:paraId="3B4C8D48">
                  <w:pPr>
                    <w:pStyle w:val="4"/>
                    <w:jc w:val="center"/>
                  </w:pPr>
                  <w:r>
                    <w:rPr>
                      <w:rFonts w:ascii="仿宋_GB2312" w:hAnsi="仿宋_GB2312" w:eastAsia="仿宋_GB2312" w:cs="仿宋_GB2312"/>
                      <w:b/>
                      <w:color w:val="000000"/>
                      <w:sz w:val="21"/>
                    </w:rPr>
                    <w:t>考核服务板块</w:t>
                  </w:r>
                </w:p>
              </w:tc>
              <w:tc>
                <w:tcPr>
                  <w:tcW w:w="273" w:type="dxa"/>
                  <w:tcBorders>
                    <w:top w:val="single" w:color="000000" w:sz="4" w:space="0"/>
                    <w:left w:val="single" w:color="000000" w:sz="4" w:space="0"/>
                    <w:bottom w:val="single" w:color="000000" w:sz="4" w:space="0"/>
                    <w:right w:val="single" w:color="000000" w:sz="4" w:space="0"/>
                  </w:tcBorders>
                  <w:shd w:val="clear" w:color="auto" w:fill="F2F3F5"/>
                  <w:tcMar>
                    <w:top w:w="120" w:type="dxa"/>
                    <w:left w:w="120" w:type="dxa"/>
                    <w:bottom w:w="120" w:type="dxa"/>
                    <w:right w:w="120" w:type="dxa"/>
                  </w:tcMar>
                  <w:vAlign w:val="top"/>
                </w:tcPr>
                <w:p w14:paraId="73EA7022">
                  <w:pPr>
                    <w:pStyle w:val="4"/>
                    <w:jc w:val="center"/>
                  </w:pPr>
                  <w:r>
                    <w:rPr>
                      <w:rFonts w:ascii="仿宋_GB2312" w:hAnsi="仿宋_GB2312" w:eastAsia="仿宋_GB2312" w:cs="仿宋_GB2312"/>
                      <w:b/>
                      <w:color w:val="000000"/>
                      <w:sz w:val="21"/>
                    </w:rPr>
                    <w:t>权重分值</w:t>
                  </w:r>
                </w:p>
              </w:tc>
              <w:tc>
                <w:tcPr>
                  <w:tcW w:w="1754" w:type="dxa"/>
                  <w:tcBorders>
                    <w:top w:val="single" w:color="000000" w:sz="4" w:space="0"/>
                    <w:left w:val="single" w:color="000000" w:sz="4" w:space="0"/>
                    <w:bottom w:val="single" w:color="000000" w:sz="4" w:space="0"/>
                    <w:right w:val="single" w:color="000000" w:sz="4" w:space="0"/>
                  </w:tcBorders>
                  <w:shd w:val="clear" w:color="auto" w:fill="F2F3F5"/>
                  <w:tcMar>
                    <w:top w:w="120" w:type="dxa"/>
                    <w:left w:w="120" w:type="dxa"/>
                    <w:bottom w:w="120" w:type="dxa"/>
                    <w:right w:w="120" w:type="dxa"/>
                  </w:tcMar>
                  <w:vAlign w:val="top"/>
                </w:tcPr>
                <w:p w14:paraId="66E45D40">
                  <w:pPr>
                    <w:pStyle w:val="4"/>
                    <w:jc w:val="center"/>
                  </w:pPr>
                  <w:r>
                    <w:rPr>
                      <w:rFonts w:ascii="仿宋_GB2312" w:hAnsi="仿宋_GB2312" w:eastAsia="仿宋_GB2312" w:cs="仿宋_GB2312"/>
                      <w:b/>
                      <w:color w:val="000000"/>
                      <w:sz w:val="21"/>
                    </w:rPr>
                    <w:t>核心扣分标准（量化可查）</w:t>
                  </w:r>
                </w:p>
              </w:tc>
            </w:tr>
            <w:tr w14:paraId="2AFE7E1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76" w:type="dxa"/>
                  <w:tcBorders>
                    <w:top w:val="nil"/>
                    <w:left w:val="single" w:color="000000" w:sz="4" w:space="0"/>
                    <w:bottom w:val="single" w:color="000000" w:sz="4" w:space="0"/>
                    <w:right w:val="single" w:color="000000" w:sz="4" w:space="0"/>
                  </w:tcBorders>
                  <w:tcMar>
                    <w:top w:w="120" w:type="dxa"/>
                    <w:left w:w="120" w:type="dxa"/>
                    <w:bottom w:w="120" w:type="dxa"/>
                    <w:right w:w="120" w:type="dxa"/>
                  </w:tcMar>
                  <w:vAlign w:val="top"/>
                </w:tcPr>
                <w:p w14:paraId="4B7F231B">
                  <w:pPr>
                    <w:pStyle w:val="4"/>
                    <w:jc w:val="left"/>
                  </w:pPr>
                  <w:r>
                    <w:rPr>
                      <w:rFonts w:ascii="仿宋_GB2312" w:hAnsi="仿宋_GB2312" w:eastAsia="仿宋_GB2312" w:cs="仿宋_GB2312"/>
                      <w:color w:val="000000"/>
                      <w:sz w:val="21"/>
                    </w:rPr>
                    <w:t>1</w:t>
                  </w:r>
                </w:p>
              </w:tc>
              <w:tc>
                <w:tcPr>
                  <w:tcW w:w="349" w:type="dxa"/>
                  <w:tcBorders>
                    <w:top w:val="nil"/>
                    <w:left w:val="single" w:color="000000" w:sz="4" w:space="0"/>
                    <w:bottom w:val="single" w:color="000000" w:sz="4" w:space="0"/>
                    <w:right w:val="single" w:color="000000" w:sz="4" w:space="0"/>
                  </w:tcBorders>
                  <w:tcMar>
                    <w:top w:w="120" w:type="dxa"/>
                    <w:left w:w="120" w:type="dxa"/>
                    <w:bottom w:w="120" w:type="dxa"/>
                    <w:right w:w="120" w:type="dxa"/>
                  </w:tcMar>
                  <w:vAlign w:val="top"/>
                </w:tcPr>
                <w:p w14:paraId="5CF42BB5">
                  <w:pPr>
                    <w:pStyle w:val="4"/>
                    <w:jc w:val="left"/>
                  </w:pPr>
                  <w:r>
                    <w:rPr>
                      <w:rFonts w:ascii="仿宋_GB2312" w:hAnsi="仿宋_GB2312" w:eastAsia="仿宋_GB2312" w:cs="仿宋_GB2312"/>
                      <w:color w:val="000000"/>
                      <w:sz w:val="21"/>
                    </w:rPr>
                    <w:t>客户接待服务</w:t>
                  </w:r>
                </w:p>
              </w:tc>
              <w:tc>
                <w:tcPr>
                  <w:tcW w:w="273" w:type="dxa"/>
                  <w:tcBorders>
                    <w:top w:val="nil"/>
                    <w:left w:val="single" w:color="000000" w:sz="4" w:space="0"/>
                    <w:bottom w:val="single" w:color="000000" w:sz="4" w:space="0"/>
                    <w:right w:val="single" w:color="000000" w:sz="4" w:space="0"/>
                  </w:tcBorders>
                  <w:tcMar>
                    <w:top w:w="120" w:type="dxa"/>
                    <w:left w:w="120" w:type="dxa"/>
                    <w:bottom w:w="120" w:type="dxa"/>
                    <w:right w:w="120" w:type="dxa"/>
                  </w:tcMar>
                  <w:vAlign w:val="top"/>
                </w:tcPr>
                <w:p w14:paraId="6FFD40D9">
                  <w:pPr>
                    <w:pStyle w:val="4"/>
                    <w:jc w:val="left"/>
                  </w:pPr>
                  <w:r>
                    <w:rPr>
                      <w:rFonts w:ascii="仿宋_GB2312" w:hAnsi="仿宋_GB2312" w:eastAsia="仿宋_GB2312" w:cs="仿宋_GB2312"/>
                      <w:color w:val="000000"/>
                      <w:sz w:val="21"/>
                    </w:rPr>
                    <w:t>15分</w:t>
                  </w:r>
                </w:p>
              </w:tc>
              <w:tc>
                <w:tcPr>
                  <w:tcW w:w="1754" w:type="dxa"/>
                  <w:tcBorders>
                    <w:top w:val="nil"/>
                    <w:left w:val="single" w:color="000000" w:sz="4" w:space="0"/>
                    <w:bottom w:val="single" w:color="000000" w:sz="4" w:space="0"/>
                    <w:right w:val="single" w:color="000000" w:sz="4" w:space="0"/>
                  </w:tcBorders>
                  <w:tcMar>
                    <w:top w:w="120" w:type="dxa"/>
                    <w:left w:w="120" w:type="dxa"/>
                    <w:bottom w:w="120" w:type="dxa"/>
                    <w:right w:w="120" w:type="dxa"/>
                  </w:tcMar>
                  <w:vAlign w:val="top"/>
                </w:tcPr>
                <w:p w14:paraId="6300EBB7">
                  <w:pPr>
                    <w:pStyle w:val="4"/>
                    <w:jc w:val="left"/>
                  </w:pPr>
                  <w:r>
                    <w:rPr>
                      <w:rFonts w:ascii="仿宋_GB2312" w:hAnsi="仿宋_GB2312" w:eastAsia="仿宋_GB2312" w:cs="仿宋_GB2312"/>
                      <w:color w:val="000000"/>
                      <w:sz w:val="21"/>
                    </w:rPr>
                    <w:t>1. 有效投诉超标准，2分/次；重大投诉，5分/次；</w:t>
                  </w:r>
                </w:p>
                <w:p w14:paraId="7B830829">
                  <w:pPr>
                    <w:pStyle w:val="4"/>
                    <w:jc w:val="left"/>
                  </w:pPr>
                  <w:r>
                    <w:rPr>
                      <w:rFonts w:ascii="仿宋_GB2312" w:hAnsi="仿宋_GB2312" w:eastAsia="仿宋_GB2312" w:cs="仿宋_GB2312"/>
                      <w:color w:val="000000"/>
                      <w:sz w:val="21"/>
                    </w:rPr>
                    <w:t>2. 场地预约核销错漏，1分/次；</w:t>
                  </w:r>
                </w:p>
                <w:p w14:paraId="1D8B018C">
                  <w:pPr>
                    <w:pStyle w:val="4"/>
                    <w:jc w:val="left"/>
                  </w:pPr>
                  <w:r>
                    <w:rPr>
                      <w:rFonts w:ascii="仿宋_GB2312" w:hAnsi="仿宋_GB2312" w:eastAsia="仿宋_GB2312" w:cs="仿宋_GB2312"/>
                      <w:color w:val="000000"/>
                      <w:sz w:val="21"/>
                    </w:rPr>
                    <w:t>3. 服务态度恶劣、推诿扯皮，2分/次；</w:t>
                  </w:r>
                </w:p>
                <w:p w14:paraId="4C34504D">
                  <w:pPr>
                    <w:pStyle w:val="4"/>
                    <w:jc w:val="left"/>
                  </w:pPr>
                  <w:r>
                    <w:rPr>
                      <w:rFonts w:ascii="仿宋_GB2312" w:hAnsi="仿宋_GB2312" w:eastAsia="仿宋_GB2312" w:cs="仿宋_GB2312"/>
                      <w:color w:val="000000"/>
                      <w:sz w:val="21"/>
                    </w:rPr>
                    <w:t>4. 投诉24小时未响应、未闭环，3分/起；</w:t>
                  </w:r>
                </w:p>
                <w:p w14:paraId="16A59239">
                  <w:pPr>
                    <w:pStyle w:val="4"/>
                    <w:jc w:val="left"/>
                  </w:pPr>
                  <w:r>
                    <w:rPr>
                      <w:rFonts w:ascii="仿宋_GB2312" w:hAnsi="仿宋_GB2312" w:eastAsia="仿宋_GB2312" w:cs="仿宋_GB2312"/>
                      <w:color w:val="000000"/>
                      <w:sz w:val="21"/>
                    </w:rPr>
                    <w:t>5. 失物招领台账不规范，1分/次；</w:t>
                  </w:r>
                </w:p>
                <w:p w14:paraId="236449F1">
                  <w:pPr>
                    <w:pStyle w:val="4"/>
                    <w:jc w:val="left"/>
                  </w:pPr>
                  <w:r>
                    <w:rPr>
                      <w:rFonts w:ascii="仿宋_GB2312" w:hAnsi="仿宋_GB2312" w:eastAsia="仿宋_GB2312" w:cs="仿宋_GB2312"/>
                      <w:color w:val="000000"/>
                      <w:sz w:val="21"/>
                    </w:rPr>
                    <w:t>6. 月度服务好评率未达标，扣3分。</w:t>
                  </w:r>
                </w:p>
              </w:tc>
            </w:tr>
            <w:tr w14:paraId="61522F0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76" w:type="dxa"/>
                  <w:tcBorders>
                    <w:top w:val="nil"/>
                    <w:left w:val="single" w:color="000000" w:sz="4" w:space="0"/>
                    <w:bottom w:val="single" w:color="000000" w:sz="4" w:space="0"/>
                    <w:right w:val="single" w:color="000000" w:sz="4" w:space="0"/>
                  </w:tcBorders>
                  <w:tcMar>
                    <w:top w:w="120" w:type="dxa"/>
                    <w:left w:w="120" w:type="dxa"/>
                    <w:bottom w:w="120" w:type="dxa"/>
                    <w:right w:w="120" w:type="dxa"/>
                  </w:tcMar>
                  <w:vAlign w:val="top"/>
                </w:tcPr>
                <w:p w14:paraId="60BAED35">
                  <w:pPr>
                    <w:pStyle w:val="4"/>
                    <w:jc w:val="left"/>
                  </w:pPr>
                  <w:r>
                    <w:rPr>
                      <w:rFonts w:ascii="仿宋_GB2312" w:hAnsi="仿宋_GB2312" w:eastAsia="仿宋_GB2312" w:cs="仿宋_GB2312"/>
                      <w:color w:val="000000"/>
                      <w:sz w:val="21"/>
                    </w:rPr>
                    <w:t>2</w:t>
                  </w:r>
                </w:p>
              </w:tc>
              <w:tc>
                <w:tcPr>
                  <w:tcW w:w="349" w:type="dxa"/>
                  <w:tcBorders>
                    <w:top w:val="nil"/>
                    <w:left w:val="single" w:color="000000" w:sz="4" w:space="0"/>
                    <w:bottom w:val="single" w:color="000000" w:sz="4" w:space="0"/>
                    <w:right w:val="single" w:color="000000" w:sz="4" w:space="0"/>
                  </w:tcBorders>
                  <w:tcMar>
                    <w:top w:w="120" w:type="dxa"/>
                    <w:left w:w="120" w:type="dxa"/>
                    <w:bottom w:w="120" w:type="dxa"/>
                    <w:right w:w="120" w:type="dxa"/>
                  </w:tcMar>
                  <w:vAlign w:val="top"/>
                </w:tcPr>
                <w:p w14:paraId="560407A9">
                  <w:pPr>
                    <w:pStyle w:val="4"/>
                    <w:jc w:val="left"/>
                  </w:pPr>
                  <w:r>
                    <w:rPr>
                      <w:rFonts w:ascii="仿宋_GB2312" w:hAnsi="仿宋_GB2312" w:eastAsia="仿宋_GB2312" w:cs="仿宋_GB2312"/>
                      <w:color w:val="000000"/>
                      <w:sz w:val="21"/>
                    </w:rPr>
                    <w:t>秩序安全维护服务</w:t>
                  </w:r>
                </w:p>
              </w:tc>
              <w:tc>
                <w:tcPr>
                  <w:tcW w:w="273" w:type="dxa"/>
                  <w:tcBorders>
                    <w:top w:val="nil"/>
                    <w:left w:val="single" w:color="000000" w:sz="4" w:space="0"/>
                    <w:bottom w:val="single" w:color="000000" w:sz="4" w:space="0"/>
                    <w:right w:val="single" w:color="000000" w:sz="4" w:space="0"/>
                  </w:tcBorders>
                  <w:tcMar>
                    <w:top w:w="120" w:type="dxa"/>
                    <w:left w:w="120" w:type="dxa"/>
                    <w:bottom w:w="120" w:type="dxa"/>
                    <w:right w:w="120" w:type="dxa"/>
                  </w:tcMar>
                  <w:vAlign w:val="top"/>
                </w:tcPr>
                <w:p w14:paraId="72B269B1">
                  <w:pPr>
                    <w:pStyle w:val="4"/>
                    <w:jc w:val="left"/>
                  </w:pPr>
                  <w:r>
                    <w:rPr>
                      <w:rFonts w:ascii="仿宋_GB2312" w:hAnsi="仿宋_GB2312" w:eastAsia="仿宋_GB2312" w:cs="仿宋_GB2312"/>
                      <w:color w:val="000000"/>
                      <w:sz w:val="21"/>
                    </w:rPr>
                    <w:t>20分</w:t>
                  </w:r>
                </w:p>
              </w:tc>
              <w:tc>
                <w:tcPr>
                  <w:tcW w:w="1754" w:type="dxa"/>
                  <w:tcBorders>
                    <w:top w:val="nil"/>
                    <w:left w:val="single" w:color="000000" w:sz="4" w:space="0"/>
                    <w:bottom w:val="single" w:color="000000" w:sz="4" w:space="0"/>
                    <w:right w:val="single" w:color="000000" w:sz="4" w:space="0"/>
                  </w:tcBorders>
                  <w:tcMar>
                    <w:top w:w="120" w:type="dxa"/>
                    <w:left w:w="120" w:type="dxa"/>
                    <w:bottom w:w="120" w:type="dxa"/>
                    <w:right w:w="120" w:type="dxa"/>
                  </w:tcMar>
                  <w:vAlign w:val="top"/>
                </w:tcPr>
                <w:p w14:paraId="53221BE2">
                  <w:pPr>
                    <w:pStyle w:val="4"/>
                    <w:jc w:val="left"/>
                  </w:pPr>
                  <w:r>
                    <w:rPr>
                      <w:rFonts w:ascii="仿宋_GB2312" w:hAnsi="仿宋_GB2312" w:eastAsia="仿宋_GB2312" w:cs="仿宋_GB2312"/>
                      <w:color w:val="000000"/>
                      <w:sz w:val="21"/>
                    </w:rPr>
                    <w:t>1. 无关人员、车辆违规闯入，10分/起；</w:t>
                  </w:r>
                </w:p>
                <w:p w14:paraId="162CE29B">
                  <w:pPr>
                    <w:pStyle w:val="4"/>
                    <w:jc w:val="left"/>
                  </w:pPr>
                  <w:r>
                    <w:rPr>
                      <w:rFonts w:ascii="仿宋_GB2312" w:hAnsi="仿宋_GB2312" w:eastAsia="仿宋_GB2312" w:cs="仿宋_GB2312"/>
                      <w:color w:val="000000"/>
                      <w:sz w:val="21"/>
                    </w:rPr>
                    <w:t>2. 安全隐患24小时未上报、未设警示，4分/起；</w:t>
                  </w:r>
                </w:p>
                <w:p w14:paraId="6BE3EDE7">
                  <w:pPr>
                    <w:pStyle w:val="4"/>
                    <w:jc w:val="left"/>
                  </w:pPr>
                  <w:r>
                    <w:rPr>
                      <w:rFonts w:ascii="仿宋_GB2312" w:hAnsi="仿宋_GB2312" w:eastAsia="仿宋_GB2312" w:cs="仿宋_GB2312"/>
                      <w:color w:val="000000"/>
                      <w:sz w:val="21"/>
                    </w:rPr>
                    <w:t>3. 闭馆清场不彻底、存在滞留隐患，3分/次；</w:t>
                  </w:r>
                </w:p>
                <w:p w14:paraId="1CA9DB76">
                  <w:pPr>
                    <w:pStyle w:val="4"/>
                    <w:jc w:val="left"/>
                  </w:pPr>
                  <w:r>
                    <w:rPr>
                      <w:rFonts w:ascii="仿宋_GB2312" w:hAnsi="仿宋_GB2312" w:eastAsia="仿宋_GB2312" w:cs="仿宋_GB2312"/>
                      <w:color w:val="000000"/>
                      <w:sz w:val="21"/>
                    </w:rPr>
                    <w:t>4. 活动、教学现场秩序混乱，3分/次；</w:t>
                  </w:r>
                </w:p>
                <w:p w14:paraId="5FA4E954">
                  <w:pPr>
                    <w:pStyle w:val="4"/>
                    <w:jc w:val="left"/>
                  </w:pPr>
                  <w:r>
                    <w:rPr>
                      <w:rFonts w:ascii="仿宋_GB2312" w:hAnsi="仿宋_GB2312" w:eastAsia="仿宋_GB2312" w:cs="仿宋_GB2312"/>
                      <w:color w:val="000000"/>
                      <w:sz w:val="21"/>
                    </w:rPr>
                    <w:t>5. 消防通道堵塞、设施存在隐患，5分/起；</w:t>
                  </w:r>
                </w:p>
                <w:p w14:paraId="36DBA28E">
                  <w:pPr>
                    <w:pStyle w:val="4"/>
                    <w:jc w:val="left"/>
                  </w:pPr>
                  <w:r>
                    <w:rPr>
                      <w:rFonts w:ascii="仿宋_GB2312" w:hAnsi="仿宋_GB2312" w:eastAsia="仿宋_GB2312" w:cs="仿宋_GB2312"/>
                      <w:color w:val="000000"/>
                      <w:sz w:val="21"/>
                    </w:rPr>
                    <w:t>6. 安全巡查台账缺失、不规范，2分/次。</w:t>
                  </w:r>
                </w:p>
              </w:tc>
            </w:tr>
            <w:tr w14:paraId="42A5A62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76" w:type="dxa"/>
                  <w:tcBorders>
                    <w:top w:val="nil"/>
                    <w:left w:val="single" w:color="000000" w:sz="4" w:space="0"/>
                    <w:bottom w:val="single" w:color="000000" w:sz="4" w:space="0"/>
                    <w:right w:val="single" w:color="000000" w:sz="4" w:space="0"/>
                  </w:tcBorders>
                  <w:tcMar>
                    <w:top w:w="120" w:type="dxa"/>
                    <w:left w:w="120" w:type="dxa"/>
                    <w:bottom w:w="120" w:type="dxa"/>
                    <w:right w:w="120" w:type="dxa"/>
                  </w:tcMar>
                  <w:vAlign w:val="top"/>
                </w:tcPr>
                <w:p w14:paraId="36152AF8">
                  <w:pPr>
                    <w:pStyle w:val="4"/>
                    <w:jc w:val="left"/>
                  </w:pPr>
                  <w:r>
                    <w:rPr>
                      <w:rFonts w:ascii="仿宋_GB2312" w:hAnsi="仿宋_GB2312" w:eastAsia="仿宋_GB2312" w:cs="仿宋_GB2312"/>
                      <w:color w:val="000000"/>
                      <w:sz w:val="21"/>
                    </w:rPr>
                    <w:t>3</w:t>
                  </w:r>
                </w:p>
              </w:tc>
              <w:tc>
                <w:tcPr>
                  <w:tcW w:w="349" w:type="dxa"/>
                  <w:tcBorders>
                    <w:top w:val="nil"/>
                    <w:left w:val="single" w:color="000000" w:sz="4" w:space="0"/>
                    <w:bottom w:val="single" w:color="000000" w:sz="4" w:space="0"/>
                    <w:right w:val="single" w:color="000000" w:sz="4" w:space="0"/>
                  </w:tcBorders>
                  <w:tcMar>
                    <w:top w:w="120" w:type="dxa"/>
                    <w:left w:w="120" w:type="dxa"/>
                    <w:bottom w:w="120" w:type="dxa"/>
                    <w:right w:w="120" w:type="dxa"/>
                  </w:tcMar>
                  <w:vAlign w:val="top"/>
                </w:tcPr>
                <w:p w14:paraId="4F542150">
                  <w:pPr>
                    <w:pStyle w:val="4"/>
                    <w:jc w:val="left"/>
                  </w:pPr>
                  <w:r>
                    <w:rPr>
                      <w:rFonts w:ascii="仿宋_GB2312" w:hAnsi="仿宋_GB2312" w:eastAsia="仿宋_GB2312" w:cs="仿宋_GB2312"/>
                      <w:color w:val="000000"/>
                      <w:sz w:val="21"/>
                    </w:rPr>
                    <w:t>设施设备与体育器材运维服务</w:t>
                  </w:r>
                </w:p>
              </w:tc>
              <w:tc>
                <w:tcPr>
                  <w:tcW w:w="273" w:type="dxa"/>
                  <w:tcBorders>
                    <w:top w:val="nil"/>
                    <w:left w:val="single" w:color="000000" w:sz="4" w:space="0"/>
                    <w:bottom w:val="single" w:color="000000" w:sz="4" w:space="0"/>
                    <w:right w:val="single" w:color="000000" w:sz="4" w:space="0"/>
                  </w:tcBorders>
                  <w:tcMar>
                    <w:top w:w="120" w:type="dxa"/>
                    <w:left w:w="120" w:type="dxa"/>
                    <w:bottom w:w="120" w:type="dxa"/>
                    <w:right w:w="120" w:type="dxa"/>
                  </w:tcMar>
                  <w:vAlign w:val="top"/>
                </w:tcPr>
                <w:p w14:paraId="6D6E7AD8">
                  <w:pPr>
                    <w:pStyle w:val="4"/>
                    <w:jc w:val="left"/>
                  </w:pPr>
                  <w:r>
                    <w:rPr>
                      <w:rFonts w:ascii="仿宋_GB2312" w:hAnsi="仿宋_GB2312" w:eastAsia="仿宋_GB2312" w:cs="仿宋_GB2312"/>
                      <w:color w:val="000000"/>
                      <w:sz w:val="21"/>
                    </w:rPr>
                    <w:t>25分</w:t>
                  </w:r>
                </w:p>
              </w:tc>
              <w:tc>
                <w:tcPr>
                  <w:tcW w:w="1754" w:type="dxa"/>
                  <w:tcBorders>
                    <w:top w:val="nil"/>
                    <w:left w:val="single" w:color="000000" w:sz="4" w:space="0"/>
                    <w:bottom w:val="single" w:color="000000" w:sz="4" w:space="0"/>
                    <w:right w:val="single" w:color="000000" w:sz="4" w:space="0"/>
                  </w:tcBorders>
                  <w:tcMar>
                    <w:top w:w="120" w:type="dxa"/>
                    <w:left w:w="120" w:type="dxa"/>
                    <w:bottom w:w="120" w:type="dxa"/>
                    <w:right w:w="120" w:type="dxa"/>
                  </w:tcMar>
                  <w:vAlign w:val="top"/>
                </w:tcPr>
                <w:p w14:paraId="674EB675">
                  <w:pPr>
                    <w:pStyle w:val="4"/>
                    <w:jc w:val="left"/>
                  </w:pPr>
                  <w:r>
                    <w:rPr>
                      <w:rFonts w:ascii="仿宋_GB2312" w:hAnsi="仿宋_GB2312" w:eastAsia="仿宋_GB2312" w:cs="仿宋_GB2312"/>
                      <w:color w:val="000000"/>
                      <w:sz w:val="21"/>
                    </w:rPr>
                    <w:t>1. 设备故障30分钟未响应，3分/起；一般故障4小时未修复，5分/起；</w:t>
                  </w:r>
                </w:p>
                <w:p w14:paraId="30A8CAC9">
                  <w:pPr>
                    <w:pStyle w:val="4"/>
                    <w:jc w:val="left"/>
                  </w:pPr>
                  <w:r>
                    <w:rPr>
                      <w:rFonts w:ascii="仿宋_GB2312" w:hAnsi="仿宋_GB2312" w:eastAsia="仿宋_GB2312" w:cs="仿宋_GB2312"/>
                      <w:color w:val="000000"/>
                      <w:sz w:val="21"/>
                    </w:rPr>
                    <w:t>2. 泳池水质检测不达标，10分/次；</w:t>
                  </w:r>
                </w:p>
                <w:p w14:paraId="06EF2F8D">
                  <w:pPr>
                    <w:pStyle w:val="4"/>
                    <w:jc w:val="left"/>
                  </w:pPr>
                  <w:r>
                    <w:rPr>
                      <w:rFonts w:ascii="仿宋_GB2312" w:hAnsi="仿宋_GB2312" w:eastAsia="仿宋_GB2312" w:cs="仿宋_GB2312"/>
                      <w:color w:val="000000"/>
                      <w:sz w:val="21"/>
                    </w:rPr>
                    <w:t>3. 操作运维失误引发安全事故，本项归零；</w:t>
                  </w:r>
                </w:p>
                <w:p w14:paraId="4F89B578">
                  <w:pPr>
                    <w:pStyle w:val="4"/>
                    <w:jc w:val="left"/>
                  </w:pPr>
                  <w:r>
                    <w:rPr>
                      <w:rFonts w:ascii="仿宋_GB2312" w:hAnsi="仿宋_GB2312" w:eastAsia="仿宋_GB2312" w:cs="仿宋_GB2312"/>
                      <w:color w:val="000000"/>
                      <w:sz w:val="21"/>
                    </w:rPr>
                    <w:t>4. 器材错发、漏发、未回收，4分/起；器材丢失，5分/次+照价赔偿；</w:t>
                  </w:r>
                </w:p>
                <w:p w14:paraId="6898D546">
                  <w:pPr>
                    <w:pStyle w:val="4"/>
                    <w:jc w:val="left"/>
                  </w:pPr>
                  <w:r>
                    <w:rPr>
                      <w:rFonts w:ascii="仿宋_GB2312" w:hAnsi="仿宋_GB2312" w:eastAsia="仿宋_GB2312" w:cs="仿宋_GB2312"/>
                      <w:color w:val="000000"/>
                      <w:sz w:val="21"/>
                    </w:rPr>
                    <w:t>5. 设备、器材台账更新不及时、账物不符，3分/次；</w:t>
                  </w:r>
                </w:p>
                <w:p w14:paraId="363A7B10">
                  <w:pPr>
                    <w:pStyle w:val="4"/>
                    <w:jc w:val="left"/>
                  </w:pPr>
                  <w:r>
                    <w:rPr>
                      <w:rFonts w:ascii="仿宋_GB2312" w:hAnsi="仿宋_GB2312" w:eastAsia="仿宋_GB2312" w:cs="仿宋_GB2312"/>
                      <w:color w:val="000000"/>
                      <w:sz w:val="21"/>
                    </w:rPr>
                    <w:t>6. 器材养护不到位、完好率不达标，3分/次；</w:t>
                  </w:r>
                </w:p>
                <w:p w14:paraId="2E12FA6A">
                  <w:pPr>
                    <w:pStyle w:val="4"/>
                    <w:jc w:val="left"/>
                  </w:pPr>
                  <w:r>
                    <w:rPr>
                      <w:rFonts w:ascii="仿宋_GB2312" w:hAnsi="仿宋_GB2312" w:eastAsia="仿宋_GB2312" w:cs="仿宋_GB2312"/>
                      <w:color w:val="000000"/>
                      <w:sz w:val="21"/>
                    </w:rPr>
                    <w:t>7. 大型活动前未开展专项设备器材检查，4分/次。</w:t>
                  </w:r>
                </w:p>
              </w:tc>
            </w:tr>
            <w:tr w14:paraId="1A4CC10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76" w:type="dxa"/>
                  <w:tcBorders>
                    <w:top w:val="nil"/>
                    <w:left w:val="single" w:color="000000" w:sz="4" w:space="0"/>
                    <w:bottom w:val="single" w:color="000000" w:sz="4" w:space="0"/>
                    <w:right w:val="single" w:color="000000" w:sz="4" w:space="0"/>
                  </w:tcBorders>
                  <w:tcMar>
                    <w:top w:w="120" w:type="dxa"/>
                    <w:left w:w="120" w:type="dxa"/>
                    <w:bottom w:w="120" w:type="dxa"/>
                    <w:right w:w="120" w:type="dxa"/>
                  </w:tcMar>
                  <w:vAlign w:val="top"/>
                </w:tcPr>
                <w:p w14:paraId="40F38167">
                  <w:pPr>
                    <w:pStyle w:val="4"/>
                    <w:jc w:val="left"/>
                  </w:pPr>
                  <w:r>
                    <w:rPr>
                      <w:rFonts w:ascii="仿宋_GB2312" w:hAnsi="仿宋_GB2312" w:eastAsia="仿宋_GB2312" w:cs="仿宋_GB2312"/>
                      <w:color w:val="000000"/>
                      <w:sz w:val="21"/>
                    </w:rPr>
                    <w:t>4</w:t>
                  </w:r>
                </w:p>
              </w:tc>
              <w:tc>
                <w:tcPr>
                  <w:tcW w:w="349" w:type="dxa"/>
                  <w:tcBorders>
                    <w:top w:val="nil"/>
                    <w:left w:val="single" w:color="000000" w:sz="4" w:space="0"/>
                    <w:bottom w:val="single" w:color="000000" w:sz="4" w:space="0"/>
                    <w:right w:val="single" w:color="000000" w:sz="4" w:space="0"/>
                  </w:tcBorders>
                  <w:tcMar>
                    <w:top w:w="120" w:type="dxa"/>
                    <w:left w:w="120" w:type="dxa"/>
                    <w:bottom w:w="120" w:type="dxa"/>
                    <w:right w:w="120" w:type="dxa"/>
                  </w:tcMar>
                  <w:vAlign w:val="top"/>
                </w:tcPr>
                <w:p w14:paraId="47EBD27A">
                  <w:pPr>
                    <w:pStyle w:val="4"/>
                    <w:jc w:val="left"/>
                  </w:pPr>
                  <w:r>
                    <w:rPr>
                      <w:rFonts w:ascii="仿宋_GB2312" w:hAnsi="仿宋_GB2312" w:eastAsia="仿宋_GB2312" w:cs="仿宋_GB2312"/>
                      <w:color w:val="000000"/>
                      <w:sz w:val="21"/>
                    </w:rPr>
                    <w:t>环境卫生保洁服务</w:t>
                  </w:r>
                </w:p>
              </w:tc>
              <w:tc>
                <w:tcPr>
                  <w:tcW w:w="273" w:type="dxa"/>
                  <w:tcBorders>
                    <w:top w:val="nil"/>
                    <w:left w:val="single" w:color="000000" w:sz="4" w:space="0"/>
                    <w:bottom w:val="single" w:color="000000" w:sz="4" w:space="0"/>
                    <w:right w:val="single" w:color="000000" w:sz="4" w:space="0"/>
                  </w:tcBorders>
                  <w:tcMar>
                    <w:top w:w="120" w:type="dxa"/>
                    <w:left w:w="120" w:type="dxa"/>
                    <w:bottom w:w="120" w:type="dxa"/>
                    <w:right w:w="120" w:type="dxa"/>
                  </w:tcMar>
                  <w:vAlign w:val="top"/>
                </w:tcPr>
                <w:p w14:paraId="260E6707">
                  <w:pPr>
                    <w:pStyle w:val="4"/>
                    <w:jc w:val="left"/>
                  </w:pPr>
                  <w:r>
                    <w:rPr>
                      <w:rFonts w:ascii="仿宋_GB2312" w:hAnsi="仿宋_GB2312" w:eastAsia="仿宋_GB2312" w:cs="仿宋_GB2312"/>
                      <w:color w:val="000000"/>
                      <w:sz w:val="21"/>
                    </w:rPr>
                    <w:t>15分</w:t>
                  </w:r>
                </w:p>
              </w:tc>
              <w:tc>
                <w:tcPr>
                  <w:tcW w:w="1754" w:type="dxa"/>
                  <w:tcBorders>
                    <w:top w:val="nil"/>
                    <w:left w:val="single" w:color="000000" w:sz="4" w:space="0"/>
                    <w:bottom w:val="single" w:color="000000" w:sz="4" w:space="0"/>
                    <w:right w:val="single" w:color="000000" w:sz="4" w:space="0"/>
                  </w:tcBorders>
                  <w:tcMar>
                    <w:top w:w="120" w:type="dxa"/>
                    <w:left w:w="120" w:type="dxa"/>
                    <w:bottom w:w="120" w:type="dxa"/>
                    <w:right w:w="120" w:type="dxa"/>
                  </w:tcMar>
                  <w:vAlign w:val="top"/>
                </w:tcPr>
                <w:p w14:paraId="683B4004">
                  <w:pPr>
                    <w:pStyle w:val="4"/>
                    <w:jc w:val="left"/>
                  </w:pPr>
                  <w:r>
                    <w:rPr>
                      <w:rFonts w:ascii="仿宋_GB2312" w:hAnsi="仿宋_GB2312" w:eastAsia="仿宋_GB2312" w:cs="仿宋_GB2312"/>
                      <w:color w:val="000000"/>
                      <w:sz w:val="21"/>
                    </w:rPr>
                    <w:t>1. 卫生抽查不合格、存在死角污渍，2分/次；</w:t>
                  </w:r>
                </w:p>
                <w:p w14:paraId="0F2CEAE0">
                  <w:pPr>
                    <w:pStyle w:val="4"/>
                    <w:jc w:val="left"/>
                  </w:pPr>
                  <w:r>
                    <w:rPr>
                      <w:rFonts w:ascii="仿宋_GB2312" w:hAnsi="仿宋_GB2312" w:eastAsia="仿宋_GB2312" w:cs="仿宋_GB2312"/>
                      <w:color w:val="000000"/>
                      <w:sz w:val="21"/>
                    </w:rPr>
                    <w:t>2. 大型活动后超时未复原场地，4分/次；</w:t>
                  </w:r>
                </w:p>
                <w:p w14:paraId="486DB45A">
                  <w:pPr>
                    <w:pStyle w:val="4"/>
                    <w:jc w:val="left"/>
                  </w:pPr>
                  <w:r>
                    <w:rPr>
                      <w:rFonts w:ascii="仿宋_GB2312" w:hAnsi="仿宋_GB2312" w:eastAsia="仿宋_GB2312" w:cs="仿宋_GB2312"/>
                      <w:color w:val="000000"/>
                      <w:sz w:val="21"/>
                    </w:rPr>
                    <w:t>3. 垃圾堆积、未日产日清，2分/次；</w:t>
                  </w:r>
                </w:p>
                <w:p w14:paraId="667BF204">
                  <w:pPr>
                    <w:pStyle w:val="4"/>
                    <w:jc w:val="left"/>
                  </w:pPr>
                  <w:r>
                    <w:rPr>
                      <w:rFonts w:ascii="仿宋_GB2312" w:hAnsi="仿宋_GB2312" w:eastAsia="仿宋_GB2312" w:cs="仿宋_GB2312"/>
                      <w:color w:val="000000"/>
                      <w:sz w:val="21"/>
                    </w:rPr>
                    <w:t>4. 消杀未落实、台账缺失，2分/次；</w:t>
                  </w:r>
                </w:p>
                <w:p w14:paraId="7ACFEABF">
                  <w:pPr>
                    <w:pStyle w:val="4"/>
                    <w:jc w:val="left"/>
                  </w:pPr>
                  <w:r>
                    <w:rPr>
                      <w:rFonts w:ascii="仿宋_GB2312" w:hAnsi="仿宋_GB2312" w:eastAsia="仿宋_GB2312" w:cs="仿宋_GB2312"/>
                      <w:color w:val="000000"/>
                      <w:sz w:val="21"/>
                    </w:rPr>
                    <w:t>5. 场地养护不到位、存在安全隐患，3分/次。</w:t>
                  </w:r>
                </w:p>
              </w:tc>
            </w:tr>
            <w:tr w14:paraId="6E7EC5C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76" w:type="dxa"/>
                  <w:tcBorders>
                    <w:top w:val="nil"/>
                    <w:left w:val="single" w:color="000000" w:sz="4" w:space="0"/>
                    <w:bottom w:val="single" w:color="000000" w:sz="4" w:space="0"/>
                    <w:right w:val="single" w:color="000000" w:sz="4" w:space="0"/>
                  </w:tcBorders>
                  <w:tcMar>
                    <w:top w:w="120" w:type="dxa"/>
                    <w:left w:w="120" w:type="dxa"/>
                    <w:bottom w:w="120" w:type="dxa"/>
                    <w:right w:w="120" w:type="dxa"/>
                  </w:tcMar>
                  <w:vAlign w:val="top"/>
                </w:tcPr>
                <w:p w14:paraId="79B45CBC">
                  <w:pPr>
                    <w:pStyle w:val="4"/>
                    <w:jc w:val="left"/>
                  </w:pPr>
                  <w:r>
                    <w:rPr>
                      <w:rFonts w:ascii="仿宋_GB2312" w:hAnsi="仿宋_GB2312" w:eastAsia="仿宋_GB2312" w:cs="仿宋_GB2312"/>
                      <w:color w:val="000000"/>
                      <w:sz w:val="21"/>
                    </w:rPr>
                    <w:t>5</w:t>
                  </w:r>
                </w:p>
              </w:tc>
              <w:tc>
                <w:tcPr>
                  <w:tcW w:w="349" w:type="dxa"/>
                  <w:tcBorders>
                    <w:top w:val="nil"/>
                    <w:left w:val="single" w:color="000000" w:sz="4" w:space="0"/>
                    <w:bottom w:val="single" w:color="000000" w:sz="4" w:space="0"/>
                    <w:right w:val="single" w:color="000000" w:sz="4" w:space="0"/>
                  </w:tcBorders>
                  <w:tcMar>
                    <w:top w:w="120" w:type="dxa"/>
                    <w:left w:w="120" w:type="dxa"/>
                    <w:bottom w:w="120" w:type="dxa"/>
                    <w:right w:w="120" w:type="dxa"/>
                  </w:tcMar>
                  <w:vAlign w:val="top"/>
                </w:tcPr>
                <w:p w14:paraId="29169DFA">
                  <w:pPr>
                    <w:pStyle w:val="4"/>
                    <w:jc w:val="left"/>
                  </w:pPr>
                  <w:r>
                    <w:rPr>
                      <w:rFonts w:ascii="仿宋_GB2312" w:hAnsi="仿宋_GB2312" w:eastAsia="仿宋_GB2312" w:cs="仿宋_GB2312"/>
                      <w:color w:val="000000"/>
                      <w:sz w:val="21"/>
                    </w:rPr>
                    <w:t>游泳馆救生安全服务</w:t>
                  </w:r>
                </w:p>
              </w:tc>
              <w:tc>
                <w:tcPr>
                  <w:tcW w:w="273" w:type="dxa"/>
                  <w:tcBorders>
                    <w:top w:val="nil"/>
                    <w:left w:val="single" w:color="000000" w:sz="4" w:space="0"/>
                    <w:bottom w:val="single" w:color="000000" w:sz="4" w:space="0"/>
                    <w:right w:val="single" w:color="000000" w:sz="4" w:space="0"/>
                  </w:tcBorders>
                  <w:tcMar>
                    <w:top w:w="120" w:type="dxa"/>
                    <w:left w:w="120" w:type="dxa"/>
                    <w:bottom w:w="120" w:type="dxa"/>
                    <w:right w:w="120" w:type="dxa"/>
                  </w:tcMar>
                  <w:vAlign w:val="top"/>
                </w:tcPr>
                <w:p w14:paraId="59ABCB5D">
                  <w:pPr>
                    <w:pStyle w:val="4"/>
                    <w:jc w:val="left"/>
                  </w:pPr>
                  <w:r>
                    <w:rPr>
                      <w:rFonts w:ascii="仿宋_GB2312" w:hAnsi="仿宋_GB2312" w:eastAsia="仿宋_GB2312" w:cs="仿宋_GB2312"/>
                      <w:color w:val="000000"/>
                      <w:sz w:val="21"/>
                    </w:rPr>
                    <w:t>10分</w:t>
                  </w:r>
                </w:p>
              </w:tc>
              <w:tc>
                <w:tcPr>
                  <w:tcW w:w="1754" w:type="dxa"/>
                  <w:tcBorders>
                    <w:top w:val="nil"/>
                    <w:left w:val="single" w:color="000000" w:sz="4" w:space="0"/>
                    <w:bottom w:val="single" w:color="000000" w:sz="4" w:space="0"/>
                    <w:right w:val="single" w:color="000000" w:sz="4" w:space="0"/>
                  </w:tcBorders>
                  <w:tcMar>
                    <w:top w:w="120" w:type="dxa"/>
                    <w:left w:w="120" w:type="dxa"/>
                    <w:bottom w:w="120" w:type="dxa"/>
                    <w:right w:w="120" w:type="dxa"/>
                  </w:tcMar>
                  <w:vAlign w:val="top"/>
                </w:tcPr>
                <w:p w14:paraId="7C6C80CF">
                  <w:pPr>
                    <w:pStyle w:val="4"/>
                    <w:jc w:val="left"/>
                  </w:pPr>
                  <w:r>
                    <w:rPr>
                      <w:rFonts w:ascii="仿宋_GB2312" w:hAnsi="仿宋_GB2312" w:eastAsia="仿宋_GB2312" w:cs="仿宋_GB2312"/>
                      <w:color w:val="000000"/>
                      <w:sz w:val="21"/>
                    </w:rPr>
                    <w:t>1. 发生责任溺水安全事故，本项归零并追责；</w:t>
                  </w:r>
                </w:p>
                <w:p w14:paraId="68B03884">
                  <w:pPr>
                    <w:pStyle w:val="4"/>
                    <w:jc w:val="left"/>
                  </w:pPr>
                  <w:r>
                    <w:rPr>
                      <w:rFonts w:ascii="仿宋_GB2312" w:hAnsi="仿宋_GB2312" w:eastAsia="仿宋_GB2312" w:cs="仿宋_GB2312"/>
                      <w:color w:val="000000"/>
                      <w:sz w:val="21"/>
                    </w:rPr>
                    <w:t>2. 救生人员无证上岗、证件过期，5分/人；</w:t>
                  </w:r>
                </w:p>
                <w:p w14:paraId="261B84FB">
                  <w:pPr>
                    <w:pStyle w:val="4"/>
                    <w:jc w:val="left"/>
                  </w:pPr>
                  <w:r>
                    <w:rPr>
                      <w:rFonts w:ascii="仿宋_GB2312" w:hAnsi="仿宋_GB2312" w:eastAsia="仿宋_GB2312" w:cs="仿宋_GB2312"/>
                      <w:color w:val="000000"/>
                      <w:sz w:val="21"/>
                    </w:rPr>
                    <w:t>3. 救生岗位脱岗、空岗，4分/次；</w:t>
                  </w:r>
                </w:p>
                <w:p w14:paraId="5EC0623B">
                  <w:pPr>
                    <w:pStyle w:val="4"/>
                    <w:jc w:val="left"/>
                  </w:pPr>
                  <w:r>
                    <w:rPr>
                      <w:rFonts w:ascii="仿宋_GB2312" w:hAnsi="仿宋_GB2312" w:eastAsia="仿宋_GB2312" w:cs="仿宋_GB2312"/>
                      <w:color w:val="000000"/>
                      <w:sz w:val="21"/>
                    </w:rPr>
                    <w:t>4. 救生物资、急救器材破损失效，3分/次；</w:t>
                  </w:r>
                </w:p>
                <w:p w14:paraId="6BEAC6FC">
                  <w:pPr>
                    <w:pStyle w:val="4"/>
                    <w:jc w:val="left"/>
                  </w:pPr>
                  <w:r>
                    <w:rPr>
                      <w:rFonts w:ascii="仿宋_GB2312" w:hAnsi="仿宋_GB2312" w:eastAsia="仿宋_GB2312" w:cs="仿宋_GB2312"/>
                      <w:color w:val="000000"/>
                      <w:sz w:val="21"/>
                    </w:rPr>
                    <w:t>5. 救生台账记录不完整、不规范，2分/次。</w:t>
                  </w:r>
                </w:p>
                <w:p w14:paraId="6F09C475">
                  <w:pPr>
                    <w:pStyle w:val="4"/>
                    <w:jc w:val="left"/>
                  </w:pPr>
                  <w:r>
                    <w:rPr>
                      <w:rFonts w:ascii="仿宋_GB2312" w:hAnsi="仿宋_GB2312" w:eastAsia="仿宋_GB2312" w:cs="仿宋_GB2312"/>
                      <w:color w:val="000000"/>
                      <w:sz w:val="21"/>
                    </w:rPr>
                    <w:t>备注：非泳季本项按满分核算。</w:t>
                  </w:r>
                </w:p>
              </w:tc>
            </w:tr>
            <w:tr w14:paraId="753C82B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76" w:type="dxa"/>
                  <w:tcBorders>
                    <w:top w:val="nil"/>
                    <w:left w:val="single" w:color="000000" w:sz="4" w:space="0"/>
                    <w:bottom w:val="single" w:color="000000" w:sz="4" w:space="0"/>
                    <w:right w:val="single" w:color="000000" w:sz="4" w:space="0"/>
                  </w:tcBorders>
                  <w:tcMar>
                    <w:top w:w="120" w:type="dxa"/>
                    <w:left w:w="120" w:type="dxa"/>
                    <w:bottom w:w="120" w:type="dxa"/>
                    <w:right w:w="120" w:type="dxa"/>
                  </w:tcMar>
                  <w:vAlign w:val="top"/>
                </w:tcPr>
                <w:p w14:paraId="21F2CA49">
                  <w:pPr>
                    <w:pStyle w:val="4"/>
                    <w:jc w:val="left"/>
                  </w:pPr>
                  <w:r>
                    <w:rPr>
                      <w:rFonts w:ascii="仿宋_GB2312" w:hAnsi="仿宋_GB2312" w:eastAsia="仿宋_GB2312" w:cs="仿宋_GB2312"/>
                      <w:color w:val="000000"/>
                      <w:sz w:val="21"/>
                    </w:rPr>
                    <w:t>6</w:t>
                  </w:r>
                </w:p>
              </w:tc>
              <w:tc>
                <w:tcPr>
                  <w:tcW w:w="349" w:type="dxa"/>
                  <w:tcBorders>
                    <w:top w:val="nil"/>
                    <w:left w:val="single" w:color="000000" w:sz="4" w:space="0"/>
                    <w:bottom w:val="single" w:color="000000" w:sz="4" w:space="0"/>
                    <w:right w:val="single" w:color="000000" w:sz="4" w:space="0"/>
                  </w:tcBorders>
                  <w:tcMar>
                    <w:top w:w="120" w:type="dxa"/>
                    <w:left w:w="120" w:type="dxa"/>
                    <w:bottom w:w="120" w:type="dxa"/>
                    <w:right w:w="120" w:type="dxa"/>
                  </w:tcMar>
                  <w:vAlign w:val="top"/>
                </w:tcPr>
                <w:p w14:paraId="4EEB3779">
                  <w:pPr>
                    <w:pStyle w:val="4"/>
                    <w:jc w:val="left"/>
                  </w:pPr>
                  <w:r>
                    <w:rPr>
                      <w:rFonts w:ascii="仿宋_GB2312" w:hAnsi="仿宋_GB2312" w:eastAsia="仿宋_GB2312" w:cs="仿宋_GB2312"/>
                      <w:color w:val="000000"/>
                      <w:sz w:val="21"/>
                    </w:rPr>
                    <w:t>综合运营管理服务</w:t>
                  </w:r>
                </w:p>
              </w:tc>
              <w:tc>
                <w:tcPr>
                  <w:tcW w:w="273" w:type="dxa"/>
                  <w:tcBorders>
                    <w:top w:val="nil"/>
                    <w:left w:val="single" w:color="000000" w:sz="4" w:space="0"/>
                    <w:bottom w:val="single" w:color="000000" w:sz="4" w:space="0"/>
                    <w:right w:val="single" w:color="000000" w:sz="4" w:space="0"/>
                  </w:tcBorders>
                  <w:tcMar>
                    <w:top w:w="120" w:type="dxa"/>
                    <w:left w:w="120" w:type="dxa"/>
                    <w:bottom w:w="120" w:type="dxa"/>
                    <w:right w:w="120" w:type="dxa"/>
                  </w:tcMar>
                  <w:vAlign w:val="top"/>
                </w:tcPr>
                <w:p w14:paraId="5C5E45EE">
                  <w:pPr>
                    <w:pStyle w:val="4"/>
                    <w:jc w:val="left"/>
                  </w:pPr>
                  <w:r>
                    <w:rPr>
                      <w:rFonts w:ascii="仿宋_GB2312" w:hAnsi="仿宋_GB2312" w:eastAsia="仿宋_GB2312" w:cs="仿宋_GB2312"/>
                      <w:color w:val="000000"/>
                      <w:sz w:val="21"/>
                    </w:rPr>
                    <w:t>15分</w:t>
                  </w:r>
                </w:p>
                <w:p w14:paraId="0F1341A1">
                  <w:pPr>
                    <w:pStyle w:val="4"/>
                    <w:jc w:val="left"/>
                  </w:pPr>
                </w:p>
              </w:tc>
              <w:tc>
                <w:tcPr>
                  <w:tcW w:w="1754" w:type="dxa"/>
                  <w:tcBorders>
                    <w:top w:val="nil"/>
                    <w:left w:val="single" w:color="000000" w:sz="4" w:space="0"/>
                    <w:bottom w:val="single" w:color="000000" w:sz="4" w:space="0"/>
                    <w:right w:val="single" w:color="000000" w:sz="4" w:space="0"/>
                  </w:tcBorders>
                  <w:tcMar>
                    <w:top w:w="120" w:type="dxa"/>
                    <w:left w:w="120" w:type="dxa"/>
                    <w:bottom w:w="120" w:type="dxa"/>
                    <w:right w:w="120" w:type="dxa"/>
                  </w:tcMar>
                  <w:vAlign w:val="top"/>
                </w:tcPr>
                <w:p w14:paraId="68B42A6A">
                  <w:pPr>
                    <w:pStyle w:val="4"/>
                    <w:jc w:val="left"/>
                  </w:pPr>
                  <w:r>
                    <w:rPr>
                      <w:rFonts w:ascii="仿宋_GB2312" w:hAnsi="仿宋_GB2312" w:eastAsia="仿宋_GB2312" w:cs="仿宋_GB2312"/>
                      <w:color w:val="000000"/>
                      <w:sz w:val="21"/>
                    </w:rPr>
                    <w:t>1. 大型活动保障失误、满意度不达标，4分/次；</w:t>
                  </w:r>
                </w:p>
                <w:p w14:paraId="4BAC91B2">
                  <w:pPr>
                    <w:pStyle w:val="4"/>
                    <w:jc w:val="left"/>
                  </w:pPr>
                  <w:r>
                    <w:rPr>
                      <w:rFonts w:ascii="仿宋_GB2312" w:hAnsi="仿宋_GB2312" w:eastAsia="仿宋_GB2312" w:cs="仿宋_GB2312"/>
                      <w:color w:val="000000"/>
                      <w:sz w:val="21"/>
                    </w:rPr>
                    <w:t>2. 突发事件响应超时、处置不规范，3分/起；</w:t>
                  </w:r>
                </w:p>
                <w:p w14:paraId="15DB1048">
                  <w:pPr>
                    <w:pStyle w:val="4"/>
                    <w:jc w:val="left"/>
                  </w:pPr>
                  <w:r>
                    <w:rPr>
                      <w:rFonts w:ascii="仿宋_GB2312" w:hAnsi="仿宋_GB2312" w:eastAsia="仿宋_GB2312" w:cs="仿宋_GB2312"/>
                      <w:color w:val="000000"/>
                      <w:sz w:val="21"/>
                    </w:rPr>
                    <w:t>3. 各类服务档案、台账缺失不全，2分/次；</w:t>
                  </w:r>
                </w:p>
                <w:p w14:paraId="490DA0E2">
                  <w:pPr>
                    <w:pStyle w:val="4"/>
                    <w:jc w:val="left"/>
                  </w:pPr>
                  <w:r>
                    <w:rPr>
                      <w:rFonts w:ascii="仿宋_GB2312" w:hAnsi="仿宋_GB2312" w:eastAsia="仿宋_GB2312" w:cs="仿宋_GB2312"/>
                      <w:color w:val="000000"/>
                      <w:sz w:val="21"/>
                    </w:rPr>
                    <w:t>4. 问题未闭环整改、自查流于形式，3分/次；</w:t>
                  </w:r>
                </w:p>
                <w:p w14:paraId="3971A14D">
                  <w:pPr>
                    <w:pStyle w:val="4"/>
                    <w:jc w:val="left"/>
                  </w:pPr>
                  <w:r>
                    <w:rPr>
                      <w:rFonts w:ascii="仿宋_GB2312" w:hAnsi="仿宋_GB2312" w:eastAsia="仿宋_GB2312" w:cs="仿宋_GB2312"/>
                      <w:color w:val="000000"/>
                      <w:sz w:val="21"/>
                    </w:rPr>
                    <w:t>5. 拒不配合校方检查及临时任务，5分/次。</w:t>
                  </w:r>
                </w:p>
              </w:tc>
            </w:tr>
          </w:tbl>
          <w:p w14:paraId="42A24E63">
            <w:pPr>
              <w:pStyle w:val="4"/>
              <w:ind w:firstLine="420"/>
              <w:jc w:val="left"/>
            </w:pPr>
            <w:r>
              <w:rPr>
                <w:rFonts w:ascii="仿宋_GB2312" w:hAnsi="仿宋_GB2312" w:eastAsia="仿宋_GB2312" w:cs="仿宋_GB2312"/>
                <w:color w:val="000000"/>
                <w:sz w:val="21"/>
              </w:rPr>
              <w:t>3.1.2服务外包项目加分项汇总表（月度上限15分）</w:t>
            </w:r>
          </w:p>
          <w:tbl>
            <w:tblPr>
              <w:tblStyle w:val="2"/>
              <w:tblW w:w="0" w:type="auto"/>
              <w:tblInd w:w="6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451"/>
              <w:gridCol w:w="507"/>
              <w:gridCol w:w="1363"/>
              <w:gridCol w:w="451"/>
            </w:tblGrid>
            <w:tr w14:paraId="3449661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62" w:type="dxa"/>
                  <w:tcBorders>
                    <w:top w:val="single" w:color="000000" w:sz="4" w:space="0"/>
                    <w:left w:val="single" w:color="000000" w:sz="4" w:space="0"/>
                    <w:bottom w:val="single" w:color="000000" w:sz="4" w:space="0"/>
                    <w:right w:val="single" w:color="000000" w:sz="4" w:space="0"/>
                  </w:tcBorders>
                  <w:shd w:val="clear" w:color="auto" w:fill="F2F3F5"/>
                  <w:tcMar>
                    <w:top w:w="120" w:type="dxa"/>
                    <w:left w:w="120" w:type="dxa"/>
                    <w:bottom w:w="120" w:type="dxa"/>
                    <w:right w:w="120" w:type="dxa"/>
                  </w:tcMar>
                  <w:vAlign w:val="top"/>
                </w:tcPr>
                <w:p w14:paraId="16A67FEB">
                  <w:pPr>
                    <w:pStyle w:val="4"/>
                    <w:jc w:val="both"/>
                  </w:pPr>
                  <w:r>
                    <w:rPr>
                      <w:rFonts w:ascii="仿宋_GB2312" w:hAnsi="仿宋_GB2312" w:eastAsia="仿宋_GB2312" w:cs="仿宋_GB2312"/>
                      <w:b/>
                      <w:color w:val="000000"/>
                      <w:sz w:val="21"/>
                    </w:rPr>
                    <w:t>序号</w:t>
                  </w:r>
                </w:p>
              </w:tc>
              <w:tc>
                <w:tcPr>
                  <w:tcW w:w="507" w:type="dxa"/>
                  <w:tcBorders>
                    <w:top w:val="single" w:color="000000" w:sz="4" w:space="0"/>
                    <w:left w:val="single" w:color="000000" w:sz="4" w:space="0"/>
                    <w:bottom w:val="single" w:color="000000" w:sz="4" w:space="0"/>
                    <w:right w:val="single" w:color="000000" w:sz="4" w:space="0"/>
                  </w:tcBorders>
                  <w:shd w:val="clear" w:color="auto" w:fill="F2F3F5"/>
                  <w:tcMar>
                    <w:top w:w="120" w:type="dxa"/>
                    <w:left w:w="120" w:type="dxa"/>
                    <w:bottom w:w="120" w:type="dxa"/>
                    <w:right w:w="120" w:type="dxa"/>
                  </w:tcMar>
                  <w:vAlign w:val="top"/>
                </w:tcPr>
                <w:p w14:paraId="0D64D183">
                  <w:pPr>
                    <w:pStyle w:val="4"/>
                    <w:jc w:val="center"/>
                  </w:pPr>
                  <w:r>
                    <w:rPr>
                      <w:rFonts w:ascii="仿宋_GB2312" w:hAnsi="仿宋_GB2312" w:eastAsia="仿宋_GB2312" w:cs="仿宋_GB2312"/>
                      <w:b/>
                      <w:color w:val="000000"/>
                      <w:sz w:val="21"/>
                    </w:rPr>
                    <w:t>加分项目</w:t>
                  </w:r>
                </w:p>
              </w:tc>
              <w:tc>
                <w:tcPr>
                  <w:tcW w:w="1363" w:type="dxa"/>
                  <w:tcBorders>
                    <w:top w:val="single" w:color="000000" w:sz="4" w:space="0"/>
                    <w:left w:val="single" w:color="000000" w:sz="4" w:space="0"/>
                    <w:bottom w:val="single" w:color="000000" w:sz="4" w:space="0"/>
                    <w:right w:val="single" w:color="000000" w:sz="4" w:space="0"/>
                  </w:tcBorders>
                  <w:shd w:val="clear" w:color="auto" w:fill="F2F3F5"/>
                  <w:tcMar>
                    <w:top w:w="120" w:type="dxa"/>
                    <w:left w:w="120" w:type="dxa"/>
                    <w:bottom w:w="120" w:type="dxa"/>
                    <w:right w:w="120" w:type="dxa"/>
                  </w:tcMar>
                  <w:vAlign w:val="top"/>
                </w:tcPr>
                <w:p w14:paraId="33201D20">
                  <w:pPr>
                    <w:pStyle w:val="4"/>
                    <w:jc w:val="center"/>
                  </w:pPr>
                  <w:r>
                    <w:rPr>
                      <w:rFonts w:ascii="仿宋_GB2312" w:hAnsi="仿宋_GB2312" w:eastAsia="仿宋_GB2312" w:cs="仿宋_GB2312"/>
                      <w:b/>
                      <w:color w:val="000000"/>
                      <w:sz w:val="21"/>
                    </w:rPr>
                    <w:t>加分标准</w:t>
                  </w:r>
                </w:p>
              </w:tc>
              <w:tc>
                <w:tcPr>
                  <w:tcW w:w="420" w:type="dxa"/>
                  <w:tcBorders>
                    <w:top w:val="single" w:color="000000" w:sz="4" w:space="0"/>
                    <w:left w:val="single" w:color="000000" w:sz="4" w:space="0"/>
                    <w:bottom w:val="single" w:color="000000" w:sz="4" w:space="0"/>
                    <w:right w:val="single" w:color="000000" w:sz="4" w:space="0"/>
                  </w:tcBorders>
                  <w:shd w:val="clear" w:color="auto" w:fill="F2F3F5"/>
                  <w:tcMar>
                    <w:top w:w="120" w:type="dxa"/>
                    <w:left w:w="120" w:type="dxa"/>
                    <w:bottom w:w="120" w:type="dxa"/>
                    <w:right w:w="120" w:type="dxa"/>
                  </w:tcMar>
                  <w:vAlign w:val="top"/>
                </w:tcPr>
                <w:p w14:paraId="60F14DF8">
                  <w:pPr>
                    <w:pStyle w:val="4"/>
                    <w:jc w:val="center"/>
                  </w:pPr>
                  <w:r>
                    <w:rPr>
                      <w:rFonts w:ascii="仿宋_GB2312" w:hAnsi="仿宋_GB2312" w:eastAsia="仿宋_GB2312" w:cs="仿宋_GB2312"/>
                      <w:b/>
                      <w:color w:val="000000"/>
                      <w:sz w:val="21"/>
                    </w:rPr>
                    <w:t>单次加分</w:t>
                  </w:r>
                </w:p>
              </w:tc>
            </w:tr>
            <w:tr w14:paraId="0C764EE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62" w:type="dxa"/>
                  <w:tcBorders>
                    <w:top w:val="nil"/>
                    <w:left w:val="single" w:color="000000" w:sz="4" w:space="0"/>
                    <w:bottom w:val="single" w:color="000000" w:sz="4" w:space="0"/>
                    <w:right w:val="single" w:color="000000" w:sz="4" w:space="0"/>
                  </w:tcBorders>
                  <w:tcMar>
                    <w:top w:w="120" w:type="dxa"/>
                    <w:left w:w="120" w:type="dxa"/>
                    <w:bottom w:w="120" w:type="dxa"/>
                    <w:right w:w="120" w:type="dxa"/>
                  </w:tcMar>
                  <w:vAlign w:val="top"/>
                </w:tcPr>
                <w:p w14:paraId="2BB08E40">
                  <w:pPr>
                    <w:pStyle w:val="4"/>
                    <w:jc w:val="left"/>
                  </w:pPr>
                  <w:r>
                    <w:rPr>
                      <w:rFonts w:ascii="仿宋_GB2312" w:hAnsi="仿宋_GB2312" w:eastAsia="仿宋_GB2312" w:cs="仿宋_GB2312"/>
                      <w:color w:val="000000"/>
                      <w:sz w:val="21"/>
                    </w:rPr>
                    <w:t>1</w:t>
                  </w:r>
                </w:p>
              </w:tc>
              <w:tc>
                <w:tcPr>
                  <w:tcW w:w="507" w:type="dxa"/>
                  <w:tcBorders>
                    <w:top w:val="nil"/>
                    <w:left w:val="single" w:color="000000" w:sz="4" w:space="0"/>
                    <w:bottom w:val="single" w:color="000000" w:sz="4" w:space="0"/>
                    <w:right w:val="single" w:color="000000" w:sz="4" w:space="0"/>
                  </w:tcBorders>
                  <w:tcMar>
                    <w:top w:w="120" w:type="dxa"/>
                    <w:left w:w="120" w:type="dxa"/>
                    <w:bottom w:w="120" w:type="dxa"/>
                    <w:right w:w="120" w:type="dxa"/>
                  </w:tcMar>
                  <w:vAlign w:val="top"/>
                </w:tcPr>
                <w:p w14:paraId="106B4B47">
                  <w:pPr>
                    <w:pStyle w:val="4"/>
                    <w:jc w:val="left"/>
                  </w:pPr>
                  <w:r>
                    <w:rPr>
                      <w:rFonts w:ascii="仿宋_GB2312" w:hAnsi="仿宋_GB2312" w:eastAsia="仿宋_GB2312" w:cs="仿宋_GB2312"/>
                      <w:color w:val="000000"/>
                      <w:sz w:val="21"/>
                    </w:rPr>
                    <w:t>优质服务表彰加分</w:t>
                  </w:r>
                </w:p>
              </w:tc>
              <w:tc>
                <w:tcPr>
                  <w:tcW w:w="1363" w:type="dxa"/>
                  <w:tcBorders>
                    <w:top w:val="nil"/>
                    <w:left w:val="single" w:color="000000" w:sz="4" w:space="0"/>
                    <w:bottom w:val="single" w:color="000000" w:sz="4" w:space="0"/>
                    <w:right w:val="single" w:color="000000" w:sz="4" w:space="0"/>
                  </w:tcBorders>
                  <w:tcMar>
                    <w:top w:w="120" w:type="dxa"/>
                    <w:left w:w="120" w:type="dxa"/>
                    <w:bottom w:w="120" w:type="dxa"/>
                    <w:right w:w="120" w:type="dxa"/>
                  </w:tcMar>
                  <w:vAlign w:val="top"/>
                </w:tcPr>
                <w:p w14:paraId="44FEFFBE">
                  <w:pPr>
                    <w:pStyle w:val="4"/>
                    <w:jc w:val="left"/>
                  </w:pPr>
                  <w:r>
                    <w:rPr>
                      <w:rFonts w:ascii="仿宋_GB2312" w:hAnsi="仿宋_GB2312" w:eastAsia="仿宋_GB2312" w:cs="仿宋_GB2312"/>
                      <w:color w:val="000000"/>
                      <w:sz w:val="21"/>
                    </w:rPr>
                    <w:t>获校方书面表彰、师生实名好评、锦旗、感谢信（校方核实）、媒体正面报道（校方核实）、服务创新举措经校方验收认可并推广应用、驻场人员拾金不昧、见义勇为等好人好事经校方确认等</w:t>
                  </w:r>
                </w:p>
              </w:tc>
              <w:tc>
                <w:tcPr>
                  <w:tcW w:w="420" w:type="dxa"/>
                  <w:tcBorders>
                    <w:top w:val="nil"/>
                    <w:left w:val="single" w:color="000000" w:sz="4" w:space="0"/>
                    <w:bottom w:val="single" w:color="000000" w:sz="4" w:space="0"/>
                    <w:right w:val="single" w:color="000000" w:sz="4" w:space="0"/>
                  </w:tcBorders>
                  <w:tcMar>
                    <w:top w:w="120" w:type="dxa"/>
                    <w:left w:w="120" w:type="dxa"/>
                    <w:bottom w:w="120" w:type="dxa"/>
                    <w:right w:w="120" w:type="dxa"/>
                  </w:tcMar>
                  <w:vAlign w:val="top"/>
                </w:tcPr>
                <w:p w14:paraId="540810C7">
                  <w:pPr>
                    <w:pStyle w:val="4"/>
                    <w:jc w:val="left"/>
                  </w:pPr>
                  <w:r>
                    <w:rPr>
                      <w:rFonts w:ascii="仿宋_GB2312" w:hAnsi="仿宋_GB2312" w:eastAsia="仿宋_GB2312" w:cs="仿宋_GB2312"/>
                      <w:color w:val="000000"/>
                      <w:sz w:val="21"/>
                    </w:rPr>
                    <w:t>5分/次</w:t>
                  </w:r>
                </w:p>
              </w:tc>
            </w:tr>
            <w:tr w14:paraId="5285DAB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62" w:type="dxa"/>
                  <w:tcBorders>
                    <w:top w:val="nil"/>
                    <w:left w:val="single" w:color="000000" w:sz="4" w:space="0"/>
                    <w:bottom w:val="single" w:color="000000" w:sz="4" w:space="0"/>
                    <w:right w:val="single" w:color="000000" w:sz="4" w:space="0"/>
                  </w:tcBorders>
                  <w:tcMar>
                    <w:top w:w="120" w:type="dxa"/>
                    <w:left w:w="120" w:type="dxa"/>
                    <w:bottom w:w="120" w:type="dxa"/>
                    <w:right w:w="120" w:type="dxa"/>
                  </w:tcMar>
                  <w:vAlign w:val="top"/>
                </w:tcPr>
                <w:p w14:paraId="0EA4ECAF">
                  <w:pPr>
                    <w:pStyle w:val="4"/>
                    <w:jc w:val="left"/>
                  </w:pPr>
                  <w:r>
                    <w:rPr>
                      <w:rFonts w:ascii="仿宋_GB2312" w:hAnsi="仿宋_GB2312" w:eastAsia="仿宋_GB2312" w:cs="仿宋_GB2312"/>
                      <w:color w:val="000000"/>
                      <w:sz w:val="21"/>
                    </w:rPr>
                    <w:t>2</w:t>
                  </w:r>
                </w:p>
              </w:tc>
              <w:tc>
                <w:tcPr>
                  <w:tcW w:w="507" w:type="dxa"/>
                  <w:tcBorders>
                    <w:top w:val="nil"/>
                    <w:left w:val="single" w:color="000000" w:sz="4" w:space="0"/>
                    <w:bottom w:val="single" w:color="000000" w:sz="4" w:space="0"/>
                    <w:right w:val="single" w:color="000000" w:sz="4" w:space="0"/>
                  </w:tcBorders>
                  <w:tcMar>
                    <w:top w:w="120" w:type="dxa"/>
                    <w:left w:w="120" w:type="dxa"/>
                    <w:bottom w:w="120" w:type="dxa"/>
                    <w:right w:w="120" w:type="dxa"/>
                  </w:tcMar>
                  <w:vAlign w:val="top"/>
                </w:tcPr>
                <w:p w14:paraId="08CB9614">
                  <w:pPr>
                    <w:pStyle w:val="4"/>
                    <w:jc w:val="left"/>
                  </w:pPr>
                  <w:r>
                    <w:rPr>
                      <w:rFonts w:ascii="仿宋_GB2312" w:hAnsi="仿宋_GB2312" w:eastAsia="仿宋_GB2312" w:cs="仿宋_GB2312"/>
                      <w:color w:val="000000"/>
                      <w:sz w:val="21"/>
                    </w:rPr>
                    <w:t>主动优化服务加分</w:t>
                  </w:r>
                </w:p>
              </w:tc>
              <w:tc>
                <w:tcPr>
                  <w:tcW w:w="1363" w:type="dxa"/>
                  <w:tcBorders>
                    <w:top w:val="nil"/>
                    <w:left w:val="single" w:color="000000" w:sz="4" w:space="0"/>
                    <w:bottom w:val="single" w:color="000000" w:sz="4" w:space="0"/>
                    <w:right w:val="single" w:color="000000" w:sz="4" w:space="0"/>
                  </w:tcBorders>
                  <w:tcMar>
                    <w:top w:w="120" w:type="dxa"/>
                    <w:left w:w="120" w:type="dxa"/>
                    <w:bottom w:w="120" w:type="dxa"/>
                    <w:right w:w="120" w:type="dxa"/>
                  </w:tcMar>
                  <w:vAlign w:val="top"/>
                </w:tcPr>
                <w:p w14:paraId="3859CD35">
                  <w:pPr>
                    <w:pStyle w:val="4"/>
                    <w:jc w:val="left"/>
                  </w:pPr>
                  <w:r>
                    <w:rPr>
                      <w:rFonts w:ascii="仿宋_GB2312" w:hAnsi="仿宋_GB2312" w:eastAsia="仿宋_GB2312" w:cs="仿宋_GB2312"/>
                      <w:color w:val="000000"/>
                      <w:sz w:val="21"/>
                    </w:rPr>
                    <w:t>主动优化器材管理、场地保障、安全制度等服务并落地见效（校方认可）</w:t>
                  </w:r>
                </w:p>
              </w:tc>
              <w:tc>
                <w:tcPr>
                  <w:tcW w:w="420" w:type="dxa"/>
                  <w:tcBorders>
                    <w:top w:val="nil"/>
                    <w:left w:val="single" w:color="000000" w:sz="4" w:space="0"/>
                    <w:bottom w:val="single" w:color="000000" w:sz="4" w:space="0"/>
                    <w:right w:val="single" w:color="000000" w:sz="4" w:space="0"/>
                  </w:tcBorders>
                  <w:tcMar>
                    <w:top w:w="120" w:type="dxa"/>
                    <w:left w:w="120" w:type="dxa"/>
                    <w:bottom w:w="120" w:type="dxa"/>
                    <w:right w:w="120" w:type="dxa"/>
                  </w:tcMar>
                  <w:vAlign w:val="top"/>
                </w:tcPr>
                <w:p w14:paraId="51261826">
                  <w:pPr>
                    <w:pStyle w:val="4"/>
                    <w:jc w:val="left"/>
                  </w:pPr>
                  <w:r>
                    <w:rPr>
                      <w:rFonts w:ascii="仿宋_GB2312" w:hAnsi="仿宋_GB2312" w:eastAsia="仿宋_GB2312" w:cs="仿宋_GB2312"/>
                      <w:color w:val="000000"/>
                      <w:sz w:val="21"/>
                    </w:rPr>
                    <w:t>3分/项</w:t>
                  </w:r>
                </w:p>
              </w:tc>
            </w:tr>
            <w:tr w14:paraId="2E3B724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62" w:type="dxa"/>
                  <w:tcBorders>
                    <w:top w:val="nil"/>
                    <w:left w:val="single" w:color="000000" w:sz="4" w:space="0"/>
                    <w:bottom w:val="single" w:color="000000" w:sz="4" w:space="0"/>
                    <w:right w:val="single" w:color="000000" w:sz="4" w:space="0"/>
                  </w:tcBorders>
                  <w:tcMar>
                    <w:top w:w="120" w:type="dxa"/>
                    <w:left w:w="120" w:type="dxa"/>
                    <w:bottom w:w="120" w:type="dxa"/>
                    <w:right w:w="120" w:type="dxa"/>
                  </w:tcMar>
                  <w:vAlign w:val="top"/>
                </w:tcPr>
                <w:p w14:paraId="385107D7">
                  <w:pPr>
                    <w:pStyle w:val="4"/>
                    <w:jc w:val="left"/>
                  </w:pPr>
                  <w:r>
                    <w:rPr>
                      <w:rFonts w:ascii="仿宋_GB2312" w:hAnsi="仿宋_GB2312" w:eastAsia="仿宋_GB2312" w:cs="仿宋_GB2312"/>
                      <w:color w:val="000000"/>
                      <w:sz w:val="21"/>
                    </w:rPr>
                    <w:t>3</w:t>
                  </w:r>
                </w:p>
              </w:tc>
              <w:tc>
                <w:tcPr>
                  <w:tcW w:w="507" w:type="dxa"/>
                  <w:tcBorders>
                    <w:top w:val="nil"/>
                    <w:left w:val="single" w:color="000000" w:sz="4" w:space="0"/>
                    <w:bottom w:val="single" w:color="000000" w:sz="4" w:space="0"/>
                    <w:right w:val="single" w:color="000000" w:sz="4" w:space="0"/>
                  </w:tcBorders>
                  <w:tcMar>
                    <w:top w:w="120" w:type="dxa"/>
                    <w:left w:w="120" w:type="dxa"/>
                    <w:bottom w:w="120" w:type="dxa"/>
                    <w:right w:w="120" w:type="dxa"/>
                  </w:tcMar>
                  <w:vAlign w:val="top"/>
                </w:tcPr>
                <w:p w14:paraId="11052BA6">
                  <w:pPr>
                    <w:pStyle w:val="4"/>
                    <w:jc w:val="left"/>
                  </w:pPr>
                  <w:r>
                    <w:rPr>
                      <w:rFonts w:ascii="仿宋_GB2312" w:hAnsi="仿宋_GB2312" w:eastAsia="仿宋_GB2312" w:cs="仿宋_GB2312"/>
                      <w:color w:val="000000"/>
                      <w:sz w:val="21"/>
                    </w:rPr>
                    <w:t>应急处置优秀加分</w:t>
                  </w:r>
                </w:p>
              </w:tc>
              <w:tc>
                <w:tcPr>
                  <w:tcW w:w="1363" w:type="dxa"/>
                  <w:tcBorders>
                    <w:top w:val="nil"/>
                    <w:left w:val="single" w:color="000000" w:sz="4" w:space="0"/>
                    <w:bottom w:val="single" w:color="000000" w:sz="4" w:space="0"/>
                    <w:right w:val="single" w:color="000000" w:sz="4" w:space="0"/>
                  </w:tcBorders>
                  <w:tcMar>
                    <w:top w:w="120" w:type="dxa"/>
                    <w:left w:w="120" w:type="dxa"/>
                    <w:bottom w:w="120" w:type="dxa"/>
                    <w:right w:w="120" w:type="dxa"/>
                  </w:tcMar>
                  <w:vAlign w:val="top"/>
                </w:tcPr>
                <w:p w14:paraId="23E01278">
                  <w:pPr>
                    <w:pStyle w:val="4"/>
                    <w:jc w:val="left"/>
                  </w:pPr>
                  <w:r>
                    <w:rPr>
                      <w:rFonts w:ascii="仿宋_GB2312" w:hAnsi="仿宋_GB2312" w:eastAsia="仿宋_GB2312" w:cs="仿宋_GB2312"/>
                      <w:color w:val="000000"/>
                      <w:sz w:val="21"/>
                    </w:rPr>
                    <w:t>妥善高效处置各类突发情况，无不良影响（校方认可）</w:t>
                  </w:r>
                </w:p>
              </w:tc>
              <w:tc>
                <w:tcPr>
                  <w:tcW w:w="420" w:type="dxa"/>
                  <w:tcBorders>
                    <w:top w:val="nil"/>
                    <w:left w:val="single" w:color="000000" w:sz="4" w:space="0"/>
                    <w:bottom w:val="single" w:color="000000" w:sz="4" w:space="0"/>
                    <w:right w:val="single" w:color="000000" w:sz="4" w:space="0"/>
                  </w:tcBorders>
                  <w:tcMar>
                    <w:top w:w="120" w:type="dxa"/>
                    <w:left w:w="120" w:type="dxa"/>
                    <w:bottom w:w="120" w:type="dxa"/>
                    <w:right w:w="120" w:type="dxa"/>
                  </w:tcMar>
                  <w:vAlign w:val="top"/>
                </w:tcPr>
                <w:p w14:paraId="7BA51E4A">
                  <w:pPr>
                    <w:pStyle w:val="4"/>
                    <w:jc w:val="left"/>
                  </w:pPr>
                  <w:r>
                    <w:rPr>
                      <w:rFonts w:ascii="仿宋_GB2312" w:hAnsi="仿宋_GB2312" w:eastAsia="仿宋_GB2312" w:cs="仿宋_GB2312"/>
                      <w:color w:val="000000"/>
                      <w:sz w:val="21"/>
                    </w:rPr>
                    <w:t>4分/次</w:t>
                  </w:r>
                </w:p>
              </w:tc>
            </w:tr>
            <w:tr w14:paraId="1DE57AE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62" w:type="dxa"/>
                  <w:tcBorders>
                    <w:top w:val="nil"/>
                    <w:left w:val="single" w:color="000000" w:sz="4" w:space="0"/>
                    <w:bottom w:val="single" w:color="000000" w:sz="4" w:space="0"/>
                    <w:right w:val="single" w:color="000000" w:sz="4" w:space="0"/>
                  </w:tcBorders>
                  <w:tcMar>
                    <w:top w:w="120" w:type="dxa"/>
                    <w:left w:w="120" w:type="dxa"/>
                    <w:bottom w:w="120" w:type="dxa"/>
                    <w:right w:w="120" w:type="dxa"/>
                  </w:tcMar>
                  <w:vAlign w:val="top"/>
                </w:tcPr>
                <w:p w14:paraId="6757D23C">
                  <w:pPr>
                    <w:pStyle w:val="4"/>
                    <w:jc w:val="left"/>
                  </w:pPr>
                  <w:r>
                    <w:rPr>
                      <w:rFonts w:ascii="仿宋_GB2312" w:hAnsi="仿宋_GB2312" w:eastAsia="仿宋_GB2312" w:cs="仿宋_GB2312"/>
                      <w:color w:val="000000"/>
                      <w:sz w:val="21"/>
                    </w:rPr>
                    <w:t>4</w:t>
                  </w:r>
                </w:p>
              </w:tc>
              <w:tc>
                <w:tcPr>
                  <w:tcW w:w="507" w:type="dxa"/>
                  <w:tcBorders>
                    <w:top w:val="nil"/>
                    <w:left w:val="single" w:color="000000" w:sz="4" w:space="0"/>
                    <w:bottom w:val="single" w:color="000000" w:sz="4" w:space="0"/>
                    <w:right w:val="single" w:color="000000" w:sz="4" w:space="0"/>
                  </w:tcBorders>
                  <w:tcMar>
                    <w:top w:w="120" w:type="dxa"/>
                    <w:left w:w="120" w:type="dxa"/>
                    <w:bottom w:w="120" w:type="dxa"/>
                    <w:right w:w="120" w:type="dxa"/>
                  </w:tcMar>
                  <w:vAlign w:val="top"/>
                </w:tcPr>
                <w:p w14:paraId="4C9B7FB4">
                  <w:pPr>
                    <w:pStyle w:val="4"/>
                    <w:jc w:val="left"/>
                  </w:pPr>
                  <w:r>
                    <w:rPr>
                      <w:rFonts w:ascii="仿宋_GB2312" w:hAnsi="仿宋_GB2312" w:eastAsia="仿宋_GB2312" w:cs="仿宋_GB2312"/>
                      <w:color w:val="000000"/>
                      <w:sz w:val="21"/>
                    </w:rPr>
                    <w:t>重大活动优质保障加分</w:t>
                  </w:r>
                </w:p>
              </w:tc>
              <w:tc>
                <w:tcPr>
                  <w:tcW w:w="1363" w:type="dxa"/>
                  <w:tcBorders>
                    <w:top w:val="nil"/>
                    <w:left w:val="single" w:color="000000" w:sz="4" w:space="0"/>
                    <w:bottom w:val="single" w:color="000000" w:sz="4" w:space="0"/>
                    <w:right w:val="single" w:color="000000" w:sz="4" w:space="0"/>
                  </w:tcBorders>
                  <w:tcMar>
                    <w:top w:w="120" w:type="dxa"/>
                    <w:left w:w="120" w:type="dxa"/>
                    <w:bottom w:w="120" w:type="dxa"/>
                    <w:right w:w="120" w:type="dxa"/>
                  </w:tcMar>
                  <w:vAlign w:val="top"/>
                </w:tcPr>
                <w:p w14:paraId="12F2AA0A">
                  <w:pPr>
                    <w:pStyle w:val="4"/>
                    <w:jc w:val="left"/>
                  </w:pPr>
                  <w:r>
                    <w:rPr>
                      <w:rFonts w:ascii="仿宋_GB2312" w:hAnsi="仿宋_GB2312" w:eastAsia="仿宋_GB2312" w:cs="仿宋_GB2312"/>
                      <w:color w:val="000000"/>
                      <w:sz w:val="21"/>
                    </w:rPr>
                    <w:t>圆满完成校级及以上重大赛事、活动、检查保障，零失误零投诉</w:t>
                  </w:r>
                </w:p>
              </w:tc>
              <w:tc>
                <w:tcPr>
                  <w:tcW w:w="420" w:type="dxa"/>
                  <w:tcBorders>
                    <w:top w:val="nil"/>
                    <w:left w:val="single" w:color="000000" w:sz="4" w:space="0"/>
                    <w:bottom w:val="single" w:color="000000" w:sz="4" w:space="0"/>
                    <w:right w:val="single" w:color="000000" w:sz="4" w:space="0"/>
                  </w:tcBorders>
                  <w:tcMar>
                    <w:top w:w="120" w:type="dxa"/>
                    <w:left w:w="120" w:type="dxa"/>
                    <w:bottom w:w="120" w:type="dxa"/>
                    <w:right w:w="120" w:type="dxa"/>
                  </w:tcMar>
                  <w:vAlign w:val="top"/>
                </w:tcPr>
                <w:p w14:paraId="4D4E5065">
                  <w:pPr>
                    <w:pStyle w:val="4"/>
                    <w:jc w:val="left"/>
                  </w:pPr>
                  <w:r>
                    <w:rPr>
                      <w:rFonts w:ascii="仿宋_GB2312" w:hAnsi="仿宋_GB2312" w:eastAsia="仿宋_GB2312" w:cs="仿宋_GB2312"/>
                      <w:color w:val="000000"/>
                      <w:sz w:val="21"/>
                    </w:rPr>
                    <w:t>6分/次</w:t>
                  </w:r>
                </w:p>
              </w:tc>
            </w:tr>
            <w:tr w14:paraId="5AA3C96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62" w:type="dxa"/>
                  <w:tcBorders>
                    <w:top w:val="nil"/>
                    <w:left w:val="single" w:color="000000" w:sz="4" w:space="0"/>
                    <w:bottom w:val="single" w:color="000000" w:sz="4" w:space="0"/>
                    <w:right w:val="single" w:color="000000" w:sz="4" w:space="0"/>
                  </w:tcBorders>
                  <w:tcMar>
                    <w:top w:w="120" w:type="dxa"/>
                    <w:left w:w="120" w:type="dxa"/>
                    <w:bottom w:w="120" w:type="dxa"/>
                    <w:right w:w="120" w:type="dxa"/>
                  </w:tcMar>
                  <w:vAlign w:val="top"/>
                </w:tcPr>
                <w:p w14:paraId="312531EC">
                  <w:pPr>
                    <w:pStyle w:val="4"/>
                    <w:jc w:val="left"/>
                  </w:pPr>
                  <w:r>
                    <w:rPr>
                      <w:rFonts w:ascii="仿宋_GB2312" w:hAnsi="仿宋_GB2312" w:eastAsia="仿宋_GB2312" w:cs="仿宋_GB2312"/>
                      <w:color w:val="000000"/>
                      <w:sz w:val="21"/>
                    </w:rPr>
                    <w:t>5</w:t>
                  </w:r>
                </w:p>
              </w:tc>
              <w:tc>
                <w:tcPr>
                  <w:tcW w:w="507" w:type="dxa"/>
                  <w:tcBorders>
                    <w:top w:val="nil"/>
                    <w:left w:val="single" w:color="000000" w:sz="4" w:space="0"/>
                    <w:bottom w:val="single" w:color="000000" w:sz="4" w:space="0"/>
                    <w:right w:val="single" w:color="000000" w:sz="4" w:space="0"/>
                  </w:tcBorders>
                  <w:tcMar>
                    <w:top w:w="120" w:type="dxa"/>
                    <w:left w:w="120" w:type="dxa"/>
                    <w:bottom w:w="120" w:type="dxa"/>
                    <w:right w:w="120" w:type="dxa"/>
                  </w:tcMar>
                  <w:vAlign w:val="top"/>
                </w:tcPr>
                <w:p w14:paraId="47D22054">
                  <w:pPr>
                    <w:pStyle w:val="4"/>
                    <w:jc w:val="left"/>
                  </w:pPr>
                  <w:r>
                    <w:rPr>
                      <w:rFonts w:ascii="仿宋_GB2312" w:hAnsi="仿宋_GB2312" w:eastAsia="仿宋_GB2312" w:cs="仿宋_GB2312"/>
                      <w:color w:val="000000"/>
                      <w:sz w:val="21"/>
                    </w:rPr>
                    <w:t>器材资产管理优异加分</w:t>
                  </w:r>
                </w:p>
              </w:tc>
              <w:tc>
                <w:tcPr>
                  <w:tcW w:w="1363" w:type="dxa"/>
                  <w:tcBorders>
                    <w:top w:val="nil"/>
                    <w:left w:val="single" w:color="000000" w:sz="4" w:space="0"/>
                    <w:bottom w:val="single" w:color="000000" w:sz="4" w:space="0"/>
                    <w:right w:val="single" w:color="000000" w:sz="4" w:space="0"/>
                  </w:tcBorders>
                  <w:tcMar>
                    <w:top w:w="120" w:type="dxa"/>
                    <w:left w:w="120" w:type="dxa"/>
                    <w:bottom w:w="120" w:type="dxa"/>
                    <w:right w:w="120" w:type="dxa"/>
                  </w:tcMar>
                  <w:vAlign w:val="top"/>
                </w:tcPr>
                <w:p w14:paraId="3EF1CE57">
                  <w:pPr>
                    <w:pStyle w:val="4"/>
                    <w:jc w:val="left"/>
                  </w:pPr>
                  <w:r>
                    <w:rPr>
                      <w:rFonts w:ascii="仿宋_GB2312" w:hAnsi="仿宋_GB2312" w:eastAsia="仿宋_GB2312" w:cs="仿宋_GB2312"/>
                      <w:color w:val="000000"/>
                      <w:sz w:val="21"/>
                    </w:rPr>
                    <w:t>月度器材盘点账物相符、完好率100%，无差错无丢失损坏</w:t>
                  </w:r>
                </w:p>
              </w:tc>
              <w:tc>
                <w:tcPr>
                  <w:tcW w:w="420" w:type="dxa"/>
                  <w:tcBorders>
                    <w:top w:val="nil"/>
                    <w:left w:val="single" w:color="000000" w:sz="4" w:space="0"/>
                    <w:bottom w:val="single" w:color="000000" w:sz="4" w:space="0"/>
                    <w:right w:val="single" w:color="000000" w:sz="4" w:space="0"/>
                  </w:tcBorders>
                  <w:tcMar>
                    <w:top w:w="120" w:type="dxa"/>
                    <w:left w:w="120" w:type="dxa"/>
                    <w:bottom w:w="120" w:type="dxa"/>
                    <w:right w:w="120" w:type="dxa"/>
                  </w:tcMar>
                  <w:vAlign w:val="top"/>
                </w:tcPr>
                <w:p w14:paraId="3D68AB8D">
                  <w:pPr>
                    <w:pStyle w:val="4"/>
                    <w:jc w:val="left"/>
                  </w:pPr>
                  <w:r>
                    <w:rPr>
                      <w:rFonts w:ascii="仿宋_GB2312" w:hAnsi="仿宋_GB2312" w:eastAsia="仿宋_GB2312" w:cs="仿宋_GB2312"/>
                      <w:color w:val="000000"/>
                      <w:sz w:val="21"/>
                    </w:rPr>
                    <w:t>4分/月</w:t>
                  </w:r>
                </w:p>
              </w:tc>
            </w:tr>
            <w:tr w14:paraId="489599B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62" w:type="dxa"/>
                  <w:tcBorders>
                    <w:top w:val="nil"/>
                    <w:left w:val="single" w:color="000000" w:sz="4" w:space="0"/>
                    <w:bottom w:val="single" w:color="000000" w:sz="4" w:space="0"/>
                    <w:right w:val="single" w:color="000000" w:sz="4" w:space="0"/>
                  </w:tcBorders>
                  <w:tcMar>
                    <w:top w:w="120" w:type="dxa"/>
                    <w:left w:w="120" w:type="dxa"/>
                    <w:bottom w:w="120" w:type="dxa"/>
                    <w:right w:w="120" w:type="dxa"/>
                  </w:tcMar>
                  <w:vAlign w:val="top"/>
                </w:tcPr>
                <w:p w14:paraId="384B8393">
                  <w:pPr>
                    <w:pStyle w:val="4"/>
                    <w:jc w:val="left"/>
                  </w:pPr>
                  <w:r>
                    <w:rPr>
                      <w:rFonts w:ascii="仿宋_GB2312" w:hAnsi="仿宋_GB2312" w:eastAsia="仿宋_GB2312" w:cs="仿宋_GB2312"/>
                      <w:color w:val="000000"/>
                      <w:sz w:val="21"/>
                    </w:rPr>
                    <w:t>6</w:t>
                  </w:r>
                </w:p>
              </w:tc>
              <w:tc>
                <w:tcPr>
                  <w:tcW w:w="507" w:type="dxa"/>
                  <w:tcBorders>
                    <w:top w:val="nil"/>
                    <w:left w:val="single" w:color="000000" w:sz="4" w:space="0"/>
                    <w:bottom w:val="single" w:color="000000" w:sz="4" w:space="0"/>
                    <w:right w:val="single" w:color="000000" w:sz="4" w:space="0"/>
                  </w:tcBorders>
                  <w:tcMar>
                    <w:top w:w="120" w:type="dxa"/>
                    <w:left w:w="120" w:type="dxa"/>
                    <w:bottom w:w="120" w:type="dxa"/>
                    <w:right w:w="120" w:type="dxa"/>
                  </w:tcMar>
                  <w:vAlign w:val="top"/>
                </w:tcPr>
                <w:p w14:paraId="5FEE4A00">
                  <w:pPr>
                    <w:pStyle w:val="4"/>
                    <w:jc w:val="left"/>
                  </w:pPr>
                  <w:r>
                    <w:rPr>
                      <w:rFonts w:ascii="仿宋_GB2312" w:hAnsi="仿宋_GB2312" w:eastAsia="仿宋_GB2312" w:cs="仿宋_GB2312"/>
                      <w:color w:val="000000"/>
                      <w:sz w:val="21"/>
                    </w:rPr>
                    <w:t>创新服务成果加分</w:t>
                  </w:r>
                </w:p>
              </w:tc>
              <w:tc>
                <w:tcPr>
                  <w:tcW w:w="1363" w:type="dxa"/>
                  <w:tcBorders>
                    <w:top w:val="nil"/>
                    <w:left w:val="single" w:color="000000" w:sz="4" w:space="0"/>
                    <w:bottom w:val="single" w:color="000000" w:sz="4" w:space="0"/>
                    <w:right w:val="single" w:color="000000" w:sz="4" w:space="0"/>
                  </w:tcBorders>
                  <w:tcMar>
                    <w:top w:w="120" w:type="dxa"/>
                    <w:left w:w="120" w:type="dxa"/>
                    <w:bottom w:w="120" w:type="dxa"/>
                    <w:right w:w="120" w:type="dxa"/>
                  </w:tcMar>
                  <w:vAlign w:val="top"/>
                </w:tcPr>
                <w:p w14:paraId="4F6CB23B">
                  <w:pPr>
                    <w:pStyle w:val="4"/>
                    <w:jc w:val="left"/>
                  </w:pPr>
                  <w:r>
                    <w:rPr>
                      <w:rFonts w:ascii="仿宋_GB2312" w:hAnsi="仿宋_GB2312" w:eastAsia="仿宋_GB2312" w:cs="仿宋_GB2312"/>
                      <w:color w:val="000000"/>
                      <w:sz w:val="21"/>
                    </w:rPr>
                    <w:t>创新服务模式、优化服务体验、提升运营效率（校方验收认可）</w:t>
                  </w:r>
                </w:p>
              </w:tc>
              <w:tc>
                <w:tcPr>
                  <w:tcW w:w="420" w:type="dxa"/>
                  <w:tcBorders>
                    <w:top w:val="nil"/>
                    <w:left w:val="single" w:color="000000" w:sz="4" w:space="0"/>
                    <w:bottom w:val="single" w:color="000000" w:sz="4" w:space="0"/>
                    <w:right w:val="single" w:color="000000" w:sz="4" w:space="0"/>
                  </w:tcBorders>
                  <w:tcMar>
                    <w:top w:w="120" w:type="dxa"/>
                    <w:left w:w="120" w:type="dxa"/>
                    <w:bottom w:w="120" w:type="dxa"/>
                    <w:right w:w="120" w:type="dxa"/>
                  </w:tcMar>
                  <w:vAlign w:val="top"/>
                </w:tcPr>
                <w:p w14:paraId="4784E00D">
                  <w:pPr>
                    <w:pStyle w:val="4"/>
                    <w:jc w:val="left"/>
                  </w:pPr>
                  <w:r>
                    <w:rPr>
                      <w:rFonts w:ascii="仿宋_GB2312" w:hAnsi="仿宋_GB2312" w:eastAsia="仿宋_GB2312" w:cs="仿宋_GB2312"/>
                      <w:color w:val="000000"/>
                      <w:sz w:val="21"/>
                    </w:rPr>
                    <w:t>5分/项</w:t>
                  </w:r>
                </w:p>
              </w:tc>
            </w:tr>
            <w:tr w14:paraId="520630D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62" w:type="dxa"/>
                  <w:tcBorders>
                    <w:top w:val="nil"/>
                    <w:left w:val="single" w:color="000000" w:sz="4" w:space="0"/>
                    <w:bottom w:val="single" w:color="000000" w:sz="4" w:space="0"/>
                    <w:right w:val="single" w:color="000000" w:sz="4" w:space="0"/>
                  </w:tcBorders>
                  <w:tcMar>
                    <w:top w:w="120" w:type="dxa"/>
                    <w:left w:w="120" w:type="dxa"/>
                    <w:bottom w:w="120" w:type="dxa"/>
                    <w:right w:w="120" w:type="dxa"/>
                  </w:tcMar>
                  <w:vAlign w:val="top"/>
                </w:tcPr>
                <w:p w14:paraId="02F6E0E0">
                  <w:pPr>
                    <w:pStyle w:val="4"/>
                    <w:jc w:val="left"/>
                  </w:pPr>
                  <w:r>
                    <w:rPr>
                      <w:rFonts w:ascii="仿宋_GB2312" w:hAnsi="仿宋_GB2312" w:eastAsia="仿宋_GB2312" w:cs="仿宋_GB2312"/>
                      <w:color w:val="000000"/>
                      <w:sz w:val="21"/>
                    </w:rPr>
                    <w:t>7</w:t>
                  </w:r>
                </w:p>
              </w:tc>
              <w:tc>
                <w:tcPr>
                  <w:tcW w:w="507" w:type="dxa"/>
                  <w:tcBorders>
                    <w:top w:val="nil"/>
                    <w:left w:val="single" w:color="000000" w:sz="4" w:space="0"/>
                    <w:bottom w:val="single" w:color="000000" w:sz="4" w:space="0"/>
                    <w:right w:val="single" w:color="000000" w:sz="4" w:space="0"/>
                  </w:tcBorders>
                  <w:tcMar>
                    <w:top w:w="120" w:type="dxa"/>
                    <w:left w:w="120" w:type="dxa"/>
                    <w:bottom w:w="120" w:type="dxa"/>
                    <w:right w:w="120" w:type="dxa"/>
                  </w:tcMar>
                  <w:vAlign w:val="top"/>
                </w:tcPr>
                <w:p w14:paraId="196A8B6D">
                  <w:pPr>
                    <w:pStyle w:val="4"/>
                    <w:jc w:val="left"/>
                  </w:pPr>
                  <w:r>
                    <w:rPr>
                      <w:rFonts w:ascii="仿宋_GB2312" w:hAnsi="仿宋_GB2312" w:eastAsia="仿宋_GB2312" w:cs="仿宋_GB2312"/>
                      <w:color w:val="000000"/>
                      <w:sz w:val="21"/>
                    </w:rPr>
                    <w:t>零投诉零隐患达标加分</w:t>
                  </w:r>
                </w:p>
              </w:tc>
              <w:tc>
                <w:tcPr>
                  <w:tcW w:w="1363" w:type="dxa"/>
                  <w:tcBorders>
                    <w:top w:val="nil"/>
                    <w:left w:val="single" w:color="000000" w:sz="4" w:space="0"/>
                    <w:bottom w:val="single" w:color="000000" w:sz="4" w:space="0"/>
                    <w:right w:val="single" w:color="000000" w:sz="4" w:space="0"/>
                  </w:tcBorders>
                  <w:tcMar>
                    <w:top w:w="120" w:type="dxa"/>
                    <w:left w:w="120" w:type="dxa"/>
                    <w:bottom w:w="120" w:type="dxa"/>
                    <w:right w:w="120" w:type="dxa"/>
                  </w:tcMar>
                  <w:vAlign w:val="top"/>
                </w:tcPr>
                <w:p w14:paraId="6ACAFF7F">
                  <w:pPr>
                    <w:pStyle w:val="4"/>
                    <w:jc w:val="left"/>
                  </w:pPr>
                  <w:r>
                    <w:rPr>
                      <w:rFonts w:ascii="仿宋_GB2312" w:hAnsi="仿宋_GB2312" w:eastAsia="仿宋_GB2312" w:cs="仿宋_GB2312"/>
                      <w:color w:val="000000"/>
                      <w:sz w:val="21"/>
                    </w:rPr>
                    <w:t>当月零有效投诉、零安全隐患漏报、零设备责任故障、零保障差错</w:t>
                  </w:r>
                </w:p>
              </w:tc>
              <w:tc>
                <w:tcPr>
                  <w:tcW w:w="420" w:type="dxa"/>
                  <w:tcBorders>
                    <w:top w:val="nil"/>
                    <w:left w:val="single" w:color="000000" w:sz="4" w:space="0"/>
                    <w:bottom w:val="single" w:color="000000" w:sz="4" w:space="0"/>
                    <w:right w:val="single" w:color="000000" w:sz="4" w:space="0"/>
                  </w:tcBorders>
                  <w:tcMar>
                    <w:top w:w="120" w:type="dxa"/>
                    <w:left w:w="120" w:type="dxa"/>
                    <w:bottom w:w="120" w:type="dxa"/>
                    <w:right w:w="120" w:type="dxa"/>
                  </w:tcMar>
                  <w:vAlign w:val="top"/>
                </w:tcPr>
                <w:p w14:paraId="051EEFED">
                  <w:pPr>
                    <w:pStyle w:val="4"/>
                    <w:jc w:val="left"/>
                  </w:pPr>
                  <w:r>
                    <w:rPr>
                      <w:rFonts w:ascii="仿宋_GB2312" w:hAnsi="仿宋_GB2312" w:eastAsia="仿宋_GB2312" w:cs="仿宋_GB2312"/>
                      <w:color w:val="000000"/>
                      <w:sz w:val="21"/>
                    </w:rPr>
                    <w:t>3分/月</w:t>
                  </w:r>
                </w:p>
              </w:tc>
            </w:tr>
          </w:tbl>
          <w:p w14:paraId="1565B499">
            <w:pPr>
              <w:pStyle w:val="4"/>
              <w:ind w:firstLine="420"/>
              <w:jc w:val="left"/>
            </w:pPr>
            <w:r>
              <w:rPr>
                <w:rFonts w:ascii="仿宋_GB2312" w:hAnsi="仿宋_GB2312" w:eastAsia="仿宋_GB2312" w:cs="仿宋_GB2312"/>
                <w:color w:val="000000"/>
                <w:sz w:val="21"/>
              </w:rPr>
              <w:t>3.1.3考核通用规则与一票否决条款</w:t>
            </w:r>
          </w:p>
          <w:tbl>
            <w:tblPr>
              <w:tblStyle w:val="2"/>
              <w:tblW w:w="0" w:type="auto"/>
              <w:tblInd w:w="12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662"/>
              <w:gridCol w:w="2027"/>
            </w:tblGrid>
            <w:tr w14:paraId="5AB8850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PrEx>
              <w:tc>
                <w:tcPr>
                  <w:tcW w:w="525" w:type="dxa"/>
                  <w:tcBorders>
                    <w:top w:val="single" w:color="000000" w:sz="4" w:space="0"/>
                    <w:left w:val="single" w:color="000000" w:sz="4" w:space="0"/>
                    <w:bottom w:val="single" w:color="000000" w:sz="4" w:space="0"/>
                    <w:right w:val="single" w:color="000000" w:sz="4" w:space="0"/>
                  </w:tcBorders>
                  <w:tcMar>
                    <w:top w:w="120" w:type="dxa"/>
                    <w:left w:w="120" w:type="dxa"/>
                    <w:bottom w:w="120" w:type="dxa"/>
                    <w:right w:w="120" w:type="dxa"/>
                  </w:tcMar>
                  <w:vAlign w:val="top"/>
                </w:tcPr>
                <w:p w14:paraId="47AC4569">
                  <w:pPr>
                    <w:pStyle w:val="4"/>
                    <w:jc w:val="both"/>
                  </w:pPr>
                  <w:r>
                    <w:rPr>
                      <w:rFonts w:ascii="仿宋_GB2312" w:hAnsi="仿宋_GB2312" w:eastAsia="仿宋_GB2312" w:cs="仿宋_GB2312"/>
                      <w:b/>
                      <w:color w:val="000000"/>
                      <w:sz w:val="21"/>
                    </w:rPr>
                    <w:t>通用扣分规则</w:t>
                  </w:r>
                </w:p>
              </w:tc>
              <w:tc>
                <w:tcPr>
                  <w:tcW w:w="2027" w:type="dxa"/>
                  <w:tcBorders>
                    <w:top w:val="single" w:color="000000" w:sz="4" w:space="0"/>
                    <w:left w:val="single" w:color="000000" w:sz="4" w:space="0"/>
                    <w:bottom w:val="single" w:color="000000" w:sz="4" w:space="0"/>
                    <w:right w:val="single" w:color="000000" w:sz="4" w:space="0"/>
                  </w:tcBorders>
                  <w:tcMar>
                    <w:top w:w="120" w:type="dxa"/>
                    <w:left w:w="120" w:type="dxa"/>
                    <w:bottom w:w="120" w:type="dxa"/>
                    <w:right w:w="120" w:type="dxa"/>
                  </w:tcMar>
                  <w:vAlign w:val="top"/>
                </w:tcPr>
                <w:p w14:paraId="6DC563AC">
                  <w:pPr>
                    <w:pStyle w:val="4"/>
                    <w:jc w:val="left"/>
                  </w:pPr>
                  <w:r>
                    <w:rPr>
                      <w:rFonts w:ascii="仿宋_GB2312" w:hAnsi="仿宋_GB2312" w:eastAsia="仿宋_GB2312" w:cs="仿宋_GB2312"/>
                      <w:color w:val="000000"/>
                      <w:sz w:val="21"/>
                    </w:rPr>
                    <w:t>1. 扣分扣完本项权重分值为止，不跨板块倒扣；</w:t>
                  </w:r>
                </w:p>
                <w:p w14:paraId="043A723E">
                  <w:pPr>
                    <w:pStyle w:val="4"/>
                    <w:jc w:val="left"/>
                  </w:pPr>
                  <w:r>
                    <w:rPr>
                      <w:rFonts w:ascii="仿宋_GB2312" w:hAnsi="仿宋_GB2312" w:eastAsia="仿宋_GB2312" w:cs="仿宋_GB2312"/>
                      <w:color w:val="000000"/>
                      <w:sz w:val="21"/>
                    </w:rPr>
                    <w:t>2. 同一问题多次违规，加倍扣分；</w:t>
                  </w:r>
                </w:p>
                <w:p w14:paraId="0A7D2A6F">
                  <w:pPr>
                    <w:pStyle w:val="4"/>
                    <w:jc w:val="left"/>
                  </w:pPr>
                  <w:r>
                    <w:rPr>
                      <w:rFonts w:ascii="仿宋_GB2312" w:hAnsi="仿宋_GB2312" w:eastAsia="仿宋_GB2312" w:cs="仿宋_GB2312"/>
                      <w:color w:val="000000"/>
                      <w:sz w:val="21"/>
                    </w:rPr>
                    <w:t>3. 逾期整改、虚假整改、台账造假，加倍扣分；</w:t>
                  </w:r>
                </w:p>
                <w:p w14:paraId="41F00CD7">
                  <w:pPr>
                    <w:pStyle w:val="4"/>
                    <w:jc w:val="left"/>
                  </w:pPr>
                  <w:r>
                    <w:rPr>
                      <w:rFonts w:ascii="仿宋_GB2312" w:hAnsi="仿宋_GB2312" w:eastAsia="仿宋_GB2312" w:cs="仿宋_GB2312"/>
                      <w:color w:val="000000"/>
                      <w:sz w:val="21"/>
                    </w:rPr>
                    <w:t>4. 月度得分＜80分为不合格，＜70分启动违约追责。</w:t>
                  </w:r>
                </w:p>
              </w:tc>
            </w:tr>
            <w:tr w14:paraId="387724B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25" w:type="dxa"/>
                  <w:tcBorders>
                    <w:top w:val="nil"/>
                    <w:left w:val="single" w:color="000000" w:sz="4" w:space="0"/>
                    <w:bottom w:val="single" w:color="000000" w:sz="4" w:space="0"/>
                    <w:right w:val="single" w:color="000000" w:sz="4" w:space="0"/>
                  </w:tcBorders>
                  <w:tcMar>
                    <w:top w:w="120" w:type="dxa"/>
                    <w:left w:w="120" w:type="dxa"/>
                    <w:bottom w:w="120" w:type="dxa"/>
                    <w:right w:w="120" w:type="dxa"/>
                  </w:tcMar>
                  <w:vAlign w:val="top"/>
                </w:tcPr>
                <w:p w14:paraId="405E44FE">
                  <w:pPr>
                    <w:pStyle w:val="4"/>
                    <w:jc w:val="both"/>
                  </w:pPr>
                  <w:r>
                    <w:rPr>
                      <w:rFonts w:ascii="仿宋_GB2312" w:hAnsi="仿宋_GB2312" w:eastAsia="仿宋_GB2312" w:cs="仿宋_GB2312"/>
                      <w:b/>
                      <w:color w:val="000000"/>
                      <w:sz w:val="21"/>
                    </w:rPr>
                    <w:t>加分约束规则</w:t>
                  </w:r>
                </w:p>
              </w:tc>
              <w:tc>
                <w:tcPr>
                  <w:tcW w:w="2027" w:type="dxa"/>
                  <w:tcBorders>
                    <w:top w:val="nil"/>
                    <w:left w:val="single" w:color="000000" w:sz="4" w:space="0"/>
                    <w:bottom w:val="single" w:color="000000" w:sz="4" w:space="0"/>
                    <w:right w:val="single" w:color="000000" w:sz="4" w:space="0"/>
                  </w:tcBorders>
                  <w:tcMar>
                    <w:top w:w="120" w:type="dxa"/>
                    <w:left w:w="120" w:type="dxa"/>
                    <w:bottom w:w="120" w:type="dxa"/>
                    <w:right w:w="120" w:type="dxa"/>
                  </w:tcMar>
                  <w:vAlign w:val="top"/>
                </w:tcPr>
                <w:p w14:paraId="116ACE82">
                  <w:pPr>
                    <w:pStyle w:val="4"/>
                    <w:jc w:val="left"/>
                  </w:pPr>
                  <w:r>
                    <w:rPr>
                      <w:rFonts w:ascii="仿宋_GB2312" w:hAnsi="仿宋_GB2312" w:eastAsia="仿宋_GB2312" w:cs="仿宋_GB2312"/>
                      <w:color w:val="000000"/>
                      <w:sz w:val="21"/>
                    </w:rPr>
                    <w:t>1. 加分需提供佐证材料，经校方审核确认；</w:t>
                  </w:r>
                </w:p>
                <w:p w14:paraId="50457D31">
                  <w:pPr>
                    <w:pStyle w:val="4"/>
                    <w:jc w:val="left"/>
                  </w:pPr>
                  <w:r>
                    <w:rPr>
                      <w:rFonts w:ascii="仿宋_GB2312" w:hAnsi="仿宋_GB2312" w:eastAsia="仿宋_GB2312" w:cs="仿宋_GB2312"/>
                      <w:color w:val="000000"/>
                      <w:sz w:val="21"/>
                    </w:rPr>
                    <w:t>2. 同一事项不重复加分，多项优异可叠加；</w:t>
                  </w:r>
                </w:p>
                <w:p w14:paraId="0E2F6BFB">
                  <w:pPr>
                    <w:pStyle w:val="4"/>
                    <w:jc w:val="left"/>
                  </w:pPr>
                  <w:r>
                    <w:rPr>
                      <w:rFonts w:ascii="仿宋_GB2312" w:hAnsi="仿宋_GB2312" w:eastAsia="仿宋_GB2312" w:cs="仿宋_GB2312"/>
                      <w:color w:val="000000"/>
                      <w:sz w:val="21"/>
                    </w:rPr>
                    <w:t>3. 加分可冲抵常规扣分，不可冲抵一票否决、重大安全及重大违规处罚；</w:t>
                  </w:r>
                </w:p>
                <w:p w14:paraId="55EA1522">
                  <w:pPr>
                    <w:pStyle w:val="4"/>
                    <w:jc w:val="left"/>
                  </w:pPr>
                  <w:r>
                    <w:rPr>
                      <w:rFonts w:ascii="仿宋_GB2312" w:hAnsi="仿宋_GB2312" w:eastAsia="仿宋_GB2312" w:cs="仿宋_GB2312"/>
                      <w:color w:val="000000"/>
                      <w:sz w:val="21"/>
                    </w:rPr>
                    <w:t>4. 月度加分上限15分，年度加分不限。</w:t>
                  </w:r>
                </w:p>
              </w:tc>
            </w:tr>
            <w:tr w14:paraId="4451855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25" w:type="dxa"/>
                  <w:tcBorders>
                    <w:top w:val="nil"/>
                    <w:left w:val="single" w:color="000000" w:sz="4" w:space="0"/>
                    <w:bottom w:val="single" w:color="000000" w:sz="4" w:space="0"/>
                    <w:right w:val="single" w:color="000000" w:sz="4" w:space="0"/>
                  </w:tcBorders>
                  <w:tcMar>
                    <w:top w:w="120" w:type="dxa"/>
                    <w:left w:w="120" w:type="dxa"/>
                    <w:bottom w:w="120" w:type="dxa"/>
                    <w:right w:w="120" w:type="dxa"/>
                  </w:tcMar>
                  <w:vAlign w:val="top"/>
                </w:tcPr>
                <w:p w14:paraId="06E1BA6C">
                  <w:pPr>
                    <w:pStyle w:val="4"/>
                    <w:jc w:val="both"/>
                  </w:pPr>
                  <w:r>
                    <w:rPr>
                      <w:rFonts w:ascii="仿宋_GB2312" w:hAnsi="仿宋_GB2312" w:eastAsia="仿宋_GB2312" w:cs="仿宋_GB2312"/>
                      <w:b/>
                      <w:color w:val="000000"/>
                      <w:sz w:val="21"/>
                    </w:rPr>
                    <w:t>一票否决（当月月度考核直接不合格）</w:t>
                  </w:r>
                </w:p>
              </w:tc>
              <w:tc>
                <w:tcPr>
                  <w:tcW w:w="2027" w:type="dxa"/>
                  <w:tcBorders>
                    <w:top w:val="nil"/>
                    <w:left w:val="single" w:color="000000" w:sz="4" w:space="0"/>
                    <w:bottom w:val="single" w:color="000000" w:sz="4" w:space="0"/>
                    <w:right w:val="single" w:color="000000" w:sz="4" w:space="0"/>
                  </w:tcBorders>
                  <w:tcMar>
                    <w:top w:w="120" w:type="dxa"/>
                    <w:left w:w="120" w:type="dxa"/>
                    <w:bottom w:w="120" w:type="dxa"/>
                    <w:right w:w="120" w:type="dxa"/>
                  </w:tcMar>
                  <w:vAlign w:val="top"/>
                </w:tcPr>
                <w:p w14:paraId="33D6F995">
                  <w:pPr>
                    <w:pStyle w:val="4"/>
                    <w:jc w:val="left"/>
                  </w:pPr>
                  <w:r>
                    <w:rPr>
                      <w:rFonts w:ascii="仿宋_GB2312" w:hAnsi="仿宋_GB2312" w:eastAsia="仿宋_GB2312" w:cs="仿宋_GB2312"/>
                      <w:color w:val="000000"/>
                      <w:sz w:val="21"/>
                    </w:rPr>
                    <w:t>1. 发生人员伤亡、重大安全责任事故、重大财产损毁事故；</w:t>
                  </w:r>
                </w:p>
                <w:p w14:paraId="00AD7A0B">
                  <w:pPr>
                    <w:pStyle w:val="4"/>
                    <w:jc w:val="left"/>
                  </w:pPr>
                  <w:r>
                    <w:rPr>
                      <w:rFonts w:ascii="仿宋_GB2312" w:hAnsi="仿宋_GB2312" w:eastAsia="仿宋_GB2312" w:cs="仿宋_GB2312"/>
                      <w:color w:val="000000"/>
                      <w:sz w:val="21"/>
                    </w:rPr>
                    <w:t>2. 引发重大校园舆论、群体性投诉，造成恶劣影响；</w:t>
                  </w:r>
                </w:p>
                <w:p w14:paraId="1AF6F195">
                  <w:pPr>
                    <w:pStyle w:val="4"/>
                    <w:jc w:val="left"/>
                  </w:pPr>
                  <w:r>
                    <w:rPr>
                      <w:rFonts w:ascii="仿宋_GB2312" w:hAnsi="仿宋_GB2312" w:eastAsia="仿宋_GB2312" w:cs="仿宋_GB2312"/>
                      <w:color w:val="000000"/>
                      <w:sz w:val="21"/>
                    </w:rPr>
                    <w:t>3. 擅自转包、分包项目服务内容；</w:t>
                  </w:r>
                </w:p>
                <w:p w14:paraId="6F0EAFE6">
                  <w:pPr>
                    <w:pStyle w:val="4"/>
                    <w:jc w:val="left"/>
                  </w:pPr>
                  <w:r>
                    <w:rPr>
                      <w:rFonts w:ascii="仿宋_GB2312" w:hAnsi="仿宋_GB2312" w:eastAsia="仿宋_GB2312" w:cs="仿宋_GB2312"/>
                      <w:color w:val="000000"/>
                      <w:sz w:val="21"/>
                    </w:rPr>
                    <w:t>4. 拒不执行校方合规指令，服务严重缺位、拒不整改。</w:t>
                  </w:r>
                </w:p>
              </w:tc>
            </w:tr>
          </w:tbl>
          <w:p w14:paraId="77D52675">
            <w:pPr>
              <w:pStyle w:val="4"/>
            </w:pPr>
            <w:r>
              <w:rPr>
                <w:rFonts w:ascii="仿宋_GB2312" w:hAnsi="仿宋_GB2312" w:eastAsia="仿宋_GB2312" w:cs="仿宋_GB2312"/>
                <w:color w:val="000000"/>
                <w:sz w:val="21"/>
              </w:rPr>
              <w:t>说明：本表格为项目月度、年度正式考核唯一依据，基准总分100分，可叠加月度加分（上限15分），扣分扣完本项权重分值为止，不跨项倒扣，设有一票否决机制。月度结算总得分=各板块实得分+加分项得分（加分月度上限15分）。考核汇总表中“一票否决”仅对应当月月度考核判定不合格；经认定属于成交供应商责任的安全责任事故，采购人有权直接解除合同。</w:t>
            </w:r>
          </w:p>
        </w:tc>
      </w:tr>
      <w:tr w14:paraId="7DB5A7B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58" w:type="dxa"/>
          </w:tcPr>
          <w:p w14:paraId="072C6B7D">
            <w:pPr>
              <w:pStyle w:val="4"/>
            </w:pPr>
            <w:r>
              <w:rPr>
                <w:rFonts w:ascii="仿宋_GB2312" w:hAnsi="仿宋_GB2312" w:eastAsia="仿宋_GB2312" w:cs="仿宋_GB2312"/>
              </w:rPr>
              <w:t>2</w:t>
            </w:r>
          </w:p>
        </w:tc>
        <w:tc>
          <w:tcPr>
            <w:tcW w:w="1587" w:type="dxa"/>
          </w:tcPr>
          <w:p w14:paraId="6EB86870"/>
        </w:tc>
        <w:tc>
          <w:tcPr>
            <w:tcW w:w="5962" w:type="dxa"/>
          </w:tcPr>
          <w:p w14:paraId="4A2FF695">
            <w:pPr>
              <w:pStyle w:val="4"/>
            </w:pPr>
            <w:r>
              <w:rPr>
                <w:rFonts w:ascii="仿宋_GB2312" w:hAnsi="仿宋_GB2312" w:eastAsia="仿宋_GB2312" w:cs="仿宋_GB2312"/>
                <w:sz w:val="21"/>
              </w:rPr>
              <w:t>二、采购要求</w:t>
            </w:r>
          </w:p>
          <w:p w14:paraId="6BFA001C">
            <w:pPr>
              <w:pStyle w:val="4"/>
            </w:pPr>
            <w:r>
              <w:rPr>
                <w:rFonts w:ascii="仿宋_GB2312" w:hAnsi="仿宋_GB2312" w:eastAsia="仿宋_GB2312" w:cs="仿宋_GB2312"/>
                <w:sz w:val="21"/>
              </w:rPr>
              <w:t>（一）技术要求</w:t>
            </w:r>
          </w:p>
          <w:p w14:paraId="18813FA4">
            <w:pPr>
              <w:pStyle w:val="4"/>
              <w:ind w:firstLine="420"/>
            </w:pPr>
            <w:r>
              <w:rPr>
                <w:rFonts w:ascii="仿宋_GB2312" w:hAnsi="仿宋_GB2312" w:eastAsia="仿宋_GB2312" w:cs="仿宋_GB2312"/>
                <w:sz w:val="21"/>
              </w:rPr>
              <w:t>供应商须根据学校管理规定与服务要求，制订切实可行的宝鸡文理学院场馆服务总体方案。</w:t>
            </w:r>
          </w:p>
          <w:p w14:paraId="45A8DD2A">
            <w:pPr>
              <w:pStyle w:val="4"/>
              <w:ind w:firstLine="420"/>
            </w:pPr>
            <w:r>
              <w:rPr>
                <w:rFonts w:ascii="仿宋_GB2312" w:hAnsi="仿宋_GB2312" w:eastAsia="仿宋_GB2312" w:cs="仿宋_GB2312"/>
                <w:sz w:val="21"/>
              </w:rPr>
              <w:t>1.学校对服务事项有指挥权和决定权，成交供应商须服从学校关于服务内容、时间、标准的合理调整。</w:t>
            </w:r>
          </w:p>
          <w:p w14:paraId="0E81E53A">
            <w:pPr>
              <w:pStyle w:val="4"/>
              <w:ind w:firstLine="420"/>
            </w:pPr>
            <w:r>
              <w:rPr>
                <w:rFonts w:ascii="仿宋_GB2312" w:hAnsi="仿宋_GB2312" w:eastAsia="仿宋_GB2312" w:cs="仿宋_GB2312"/>
                <w:sz w:val="21"/>
              </w:rPr>
              <w:t>2.学校为服务人员提供必要的工作条件（值班室、工具间等），工作场地正常办公作业产生的水电费由学校承担，服务人员个人生活用水、用电产生的费用由成交供应商承担，学校据实向成交供应商收取。服务人员的食宿、交通、工装、劳保用品及日常办公耗材等费用均由成交供应商在报价中自行考虑，学校不另行支付。</w:t>
            </w:r>
          </w:p>
          <w:p w14:paraId="6A470DFC">
            <w:pPr>
              <w:pStyle w:val="4"/>
              <w:ind w:firstLine="420"/>
            </w:pPr>
            <w:r>
              <w:rPr>
                <w:rFonts w:ascii="仿宋_GB2312" w:hAnsi="仿宋_GB2312" w:eastAsia="仿宋_GB2312" w:cs="仿宋_GB2312"/>
                <w:sz w:val="21"/>
              </w:rPr>
              <w:t>3.成交供应商须建立内部服务质量管控机制，对服务中发现的各类问题及时处置，不断创新服务举措和提升服务水平。</w:t>
            </w:r>
          </w:p>
          <w:p w14:paraId="4FAA90D4">
            <w:pPr>
              <w:pStyle w:val="4"/>
            </w:pPr>
            <w:r>
              <w:rPr>
                <w:rFonts w:ascii="仿宋_GB2312" w:hAnsi="仿宋_GB2312" w:eastAsia="仿宋_GB2312" w:cs="仿宋_GB2312"/>
                <w:sz w:val="21"/>
              </w:rPr>
              <w:t>（二）合同价格</w:t>
            </w:r>
          </w:p>
          <w:p w14:paraId="621BEFC1">
            <w:pPr>
              <w:pStyle w:val="4"/>
              <w:ind w:firstLine="420"/>
            </w:pPr>
            <w:r>
              <w:rPr>
                <w:rFonts w:ascii="仿宋_GB2312" w:hAnsi="仿宋_GB2312" w:eastAsia="仿宋_GB2312" w:cs="仿宋_GB2312"/>
                <w:sz w:val="21"/>
              </w:rPr>
              <w:t>本项目合同为固定总价合同，成交价格在合同期内不受市场价格变化影响。合同总价包含合同约定服务范围内的一切费用。若采购人要求增加的服务事项超出本合同明确约定的服务范围，双方另行协商确定服务费用。</w:t>
            </w:r>
          </w:p>
          <w:p w14:paraId="7E49E32B">
            <w:pPr>
              <w:pStyle w:val="4"/>
            </w:pPr>
            <w:r>
              <w:rPr>
                <w:rFonts w:ascii="仿宋_GB2312" w:hAnsi="仿宋_GB2312" w:eastAsia="仿宋_GB2312" w:cs="仿宋_GB2312"/>
                <w:sz w:val="21"/>
              </w:rPr>
              <w:t>（三）验收与考核要求</w:t>
            </w:r>
          </w:p>
          <w:p w14:paraId="74D37E4F">
            <w:pPr>
              <w:pStyle w:val="4"/>
              <w:ind w:firstLine="420"/>
            </w:pPr>
            <w:r>
              <w:rPr>
                <w:rFonts w:ascii="仿宋_GB2312" w:hAnsi="仿宋_GB2312" w:eastAsia="仿宋_GB2312" w:cs="仿宋_GB2312"/>
                <w:sz w:val="21"/>
              </w:rPr>
              <w:t>1.月度考核机制：</w:t>
            </w:r>
          </w:p>
          <w:p w14:paraId="7D2FE859">
            <w:pPr>
              <w:pStyle w:val="4"/>
              <w:ind w:firstLine="420"/>
            </w:pPr>
            <w:r>
              <w:rPr>
                <w:rFonts w:ascii="仿宋_GB2312" w:hAnsi="仿宋_GB2312" w:eastAsia="仿宋_GB2312" w:cs="仿宋_GB2312"/>
                <w:sz w:val="21"/>
              </w:rPr>
              <w:t>采购人制定《场馆服务月度考核评分表》，从服务响应、质量标准、安全责任、师生满意度等维度进行百分制考核，月度考核得分与季度服务费支付系数挂钩：季度平均得分≥90分，支付100%；80分≤季度平均得分&lt;90分，支付95%；季度平均得分&lt;80分，支付90%。</w:t>
            </w:r>
          </w:p>
          <w:p w14:paraId="657DC6FC">
            <w:pPr>
              <w:pStyle w:val="4"/>
              <w:ind w:firstLine="420"/>
            </w:pPr>
            <w:r>
              <w:rPr>
                <w:rFonts w:ascii="仿宋_GB2312" w:hAnsi="仿宋_GB2312" w:eastAsia="仿宋_GB2312" w:cs="仿宋_GB2312"/>
                <w:sz w:val="21"/>
              </w:rPr>
              <w:t>2.结果运用：</w:t>
            </w:r>
          </w:p>
          <w:p w14:paraId="39B7860F">
            <w:pPr>
              <w:pStyle w:val="4"/>
              <w:ind w:firstLine="420"/>
            </w:pPr>
            <w:r>
              <w:rPr>
                <w:rFonts w:ascii="仿宋_GB2312" w:hAnsi="仿宋_GB2312" w:eastAsia="仿宋_GB2312" w:cs="仿宋_GB2312"/>
                <w:sz w:val="21"/>
              </w:rPr>
              <w:t>2.1月度考核得分低于80分的，成交供应商应在5个工作日内提交整改报告；</w:t>
            </w:r>
          </w:p>
          <w:p w14:paraId="24A18326">
            <w:pPr>
              <w:pStyle w:val="4"/>
              <w:ind w:firstLine="420"/>
            </w:pPr>
            <w:r>
              <w:rPr>
                <w:rFonts w:ascii="仿宋_GB2312" w:hAnsi="仿宋_GB2312" w:eastAsia="仿宋_GB2312" w:cs="仿宋_GB2312"/>
                <w:sz w:val="21"/>
              </w:rPr>
              <w:t>2.2连续三个月考核得分低于80分，且经催告整改后仍不达标的，采购人有权单方解除合同；</w:t>
            </w:r>
          </w:p>
          <w:p w14:paraId="298C4B00">
            <w:pPr>
              <w:pStyle w:val="4"/>
              <w:ind w:firstLine="420"/>
            </w:pPr>
            <w:r>
              <w:rPr>
                <w:rFonts w:ascii="仿宋_GB2312" w:hAnsi="仿宋_GB2312" w:eastAsia="仿宋_GB2312" w:cs="仿宋_GB2312"/>
                <w:sz w:val="21"/>
              </w:rPr>
              <w:t>2.3因成交供应商原因导致考核不合格的，成交供应商应承担相应的违约责任。</w:t>
            </w:r>
          </w:p>
          <w:p w14:paraId="6F53186F">
            <w:pPr>
              <w:pStyle w:val="4"/>
              <w:ind w:firstLine="420"/>
            </w:pPr>
            <w:r>
              <w:rPr>
                <w:rFonts w:ascii="仿宋_GB2312" w:hAnsi="仿宋_GB2312" w:eastAsia="仿宋_GB2312" w:cs="仿宋_GB2312"/>
                <w:sz w:val="21"/>
              </w:rPr>
              <w:t>3.安全一票否决：</w:t>
            </w:r>
          </w:p>
          <w:p w14:paraId="431C9B67">
            <w:pPr>
              <w:pStyle w:val="4"/>
              <w:ind w:firstLine="420"/>
            </w:pPr>
            <w:r>
              <w:rPr>
                <w:rFonts w:ascii="仿宋_GB2312" w:hAnsi="仿宋_GB2312" w:eastAsia="仿宋_GB2312" w:cs="仿宋_GB2312"/>
                <w:sz w:val="21"/>
              </w:rPr>
              <w:t>发生重大安全责任事故（如溺水、火灾、设备损毁等），采购人有权立即解除合同，并由成交供应商承担全部法律责任及经济赔偿。</w:t>
            </w:r>
          </w:p>
          <w:p w14:paraId="27F240A5">
            <w:pPr>
              <w:pStyle w:val="4"/>
              <w:ind w:firstLine="420"/>
            </w:pPr>
            <w:r>
              <w:rPr>
                <w:rFonts w:ascii="仿宋_GB2312" w:hAnsi="仿宋_GB2312" w:eastAsia="仿宋_GB2312" w:cs="仿宋_GB2312"/>
                <w:sz w:val="21"/>
              </w:rPr>
              <w:t>4.劳动关系专项责任：</w:t>
            </w:r>
          </w:p>
          <w:p w14:paraId="4AF2428D">
            <w:pPr>
              <w:pStyle w:val="4"/>
              <w:ind w:firstLine="420"/>
            </w:pPr>
            <w:r>
              <w:rPr>
                <w:rFonts w:ascii="仿宋_GB2312" w:hAnsi="仿宋_GB2312" w:eastAsia="仿宋_GB2312" w:cs="仿宋_GB2312"/>
                <w:sz w:val="21"/>
              </w:rPr>
              <w:t>成交供应商与员工之间的劳动合同签订、薪酬发放、社保缴纳、工伤认定、劳动纠纷等一切事宜，均由成交供应商独立承担法律责任。成交供应商须自行承担因用工不规范引发的全部法律责任，学校因成交供应商用工问题遭受损失的，有权向成交供应商全额追偿。因成交供应商用工不规范导致员工向学校主张权利的，学校有权向成交供应商全额追偿，并从服务费中直接扣除。</w:t>
            </w:r>
          </w:p>
          <w:p w14:paraId="329B5129">
            <w:pPr>
              <w:pStyle w:val="4"/>
            </w:pPr>
            <w:r>
              <w:rPr>
                <w:rFonts w:ascii="仿宋_GB2312" w:hAnsi="仿宋_GB2312" w:eastAsia="仿宋_GB2312" w:cs="仿宋_GB2312"/>
                <w:sz w:val="21"/>
              </w:rPr>
              <w:t>（四）其他要求</w:t>
            </w:r>
          </w:p>
          <w:p w14:paraId="71D2FA6A">
            <w:pPr>
              <w:pStyle w:val="4"/>
              <w:ind w:firstLine="420"/>
            </w:pPr>
            <w:r>
              <w:rPr>
                <w:rFonts w:ascii="仿宋_GB2312" w:hAnsi="仿宋_GB2312" w:eastAsia="仿宋_GB2312" w:cs="仿宋_GB2312"/>
                <w:sz w:val="21"/>
              </w:rPr>
              <w:t>1.成交供应商须严格遵守《中华人民共和国劳动法》《中华人民共和国劳动合同法》《中华人民共和国社会保险法》《中华人民共和国安全生产法》《中华人民共和国消防法》及相关行业安全规范。</w:t>
            </w:r>
          </w:p>
          <w:p w14:paraId="09A304DB">
            <w:pPr>
              <w:pStyle w:val="4"/>
              <w:ind w:firstLine="420"/>
            </w:pPr>
            <w:r>
              <w:rPr>
                <w:rFonts w:ascii="仿宋_GB2312" w:hAnsi="仿宋_GB2312" w:eastAsia="仿宋_GB2312" w:cs="仿宋_GB2312"/>
                <w:sz w:val="21"/>
              </w:rPr>
              <w:t>2.成交供应商派驻人员须遵守学校场馆管理的合理规定，学校不直接对成交供应商派驻人员进行劳动人事管理，成交供应商派驻人员与学校之间不存在劳动或劳务关系，学校有权向成交供应商提出更换不适宜从事本项目服务人员的要求，成交供应商应当在规定时限内完成人员更换。</w:t>
            </w:r>
          </w:p>
          <w:p w14:paraId="5A83BCD1">
            <w:pPr>
              <w:pStyle w:val="4"/>
              <w:ind w:firstLine="420"/>
            </w:pPr>
            <w:r>
              <w:rPr>
                <w:rFonts w:ascii="仿宋_GB2312" w:hAnsi="仿宋_GB2312" w:eastAsia="仿宋_GB2312" w:cs="仿宋_GB2312"/>
                <w:sz w:val="21"/>
              </w:rPr>
              <w:t>3.学校现有服务人员安置：</w:t>
            </w:r>
          </w:p>
          <w:p w14:paraId="0D5AFA24">
            <w:pPr>
              <w:pStyle w:val="4"/>
              <w:ind w:firstLine="420"/>
            </w:pPr>
            <w:r>
              <w:rPr>
                <w:rFonts w:ascii="仿宋_GB2312" w:hAnsi="仿宋_GB2312" w:eastAsia="仿宋_GB2312" w:cs="仿宋_GB2312"/>
                <w:sz w:val="21"/>
              </w:rPr>
              <w:t>3.1本项目涉及现有服务人员的劳动关系处理，由成交供应商依法自主决定。鼓励成交供应商在同等条件下优先聘用符合岗位要求的现有服务人员。</w:t>
            </w:r>
          </w:p>
          <w:p w14:paraId="28975AFC">
            <w:pPr>
              <w:pStyle w:val="4"/>
              <w:ind w:firstLine="420"/>
            </w:pPr>
            <w:r>
              <w:rPr>
                <w:rFonts w:ascii="仿宋_GB2312" w:hAnsi="仿宋_GB2312" w:eastAsia="仿宋_GB2312" w:cs="仿宋_GB2312"/>
                <w:sz w:val="21"/>
              </w:rPr>
              <w:t>3.2如成交供应商聘用现有服务人员应当依法与被聘用人员签订劳动合同，工资待遇不得低于宝鸡市最低工资标准，并按规定缴纳社会保险。</w:t>
            </w:r>
          </w:p>
          <w:p w14:paraId="3944952A">
            <w:pPr>
              <w:pStyle w:val="4"/>
              <w:ind w:firstLine="420"/>
            </w:pPr>
            <w:r>
              <w:rPr>
                <w:rFonts w:ascii="仿宋_GB2312" w:hAnsi="仿宋_GB2312" w:eastAsia="仿宋_GB2312" w:cs="仿宋_GB2312"/>
                <w:sz w:val="21"/>
              </w:rPr>
              <w:t>3.3采购人可协调原服务单位依法妥善解决相关人员的劳动关系问题，但不承担由此产生的任何责任。</w:t>
            </w:r>
          </w:p>
          <w:p w14:paraId="7E404CBB">
            <w:pPr>
              <w:pStyle w:val="4"/>
              <w:ind w:firstLine="420"/>
            </w:pPr>
            <w:r>
              <w:rPr>
                <w:rFonts w:ascii="仿宋_GB2312" w:hAnsi="仿宋_GB2312" w:eastAsia="仿宋_GB2312" w:cs="仿宋_GB2312"/>
                <w:sz w:val="21"/>
              </w:rPr>
              <w:t>4.因成交供应商保管、管理不当造成体育教学器材丢失、损毁，成交供应商应当照价赔偿，采购人有权在当月服务费中直接扣除相应赔偿金额。</w:t>
            </w:r>
          </w:p>
          <w:p w14:paraId="1D23AAD1">
            <w:pPr>
              <w:pStyle w:val="4"/>
              <w:ind w:firstLine="420"/>
            </w:pPr>
            <w:r>
              <w:rPr>
                <w:rFonts w:ascii="仿宋_GB2312" w:hAnsi="仿宋_GB2312" w:eastAsia="仿宋_GB2312" w:cs="仿宋_GB2312"/>
                <w:sz w:val="21"/>
              </w:rPr>
              <w:t>5.本项目服务人员分类参考：</w:t>
            </w:r>
          </w:p>
          <w:p w14:paraId="4AF264E9">
            <w:pPr>
              <w:pStyle w:val="4"/>
            </w:pPr>
            <w:r>
              <w:rPr>
                <w:rFonts w:ascii="仿宋_GB2312" w:hAnsi="仿宋_GB2312" w:eastAsia="仿宋_GB2312" w:cs="仿宋_GB2312"/>
                <w:sz w:val="21"/>
              </w:rPr>
              <w:t>范围对应的保障规模参考为32人岗工作量（其中驻场管理经理1岗、前台服务员6岗、门卫2岗、救生员8岗、设备管理员3岗、保洁员12岗）。供应商可结合自身管理效率自主确定实际派驻人数及排班方式，但需确保服务事项全部达标。</w:t>
            </w:r>
          </w:p>
        </w:tc>
      </w:tr>
    </w:tbl>
    <w:p w14:paraId="5B1A8267"/>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KSOFE44F9426">
    <w:panose1 w:val="02010609060101010101"/>
    <w:charset w:val="86"/>
    <w:family w:val="auto"/>
    <w:pitch w:val="default"/>
    <w:sig w:usb0="00000001" w:usb1="00000000" w:usb2="00000000" w:usb3="00000000" w:csb0="00040001" w:csb1="00000000"/>
  </w:font>
  <w:font w:name="KSOFE4500885">
    <w:panose1 w:val="02010609060101010101"/>
    <w:charset w:val="86"/>
    <w:family w:val="auto"/>
    <w:pitch w:val="default"/>
    <w:sig w:usb0="00000001" w:usb1="00000000" w:usb2="00000000"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69"/>
  <w:doNotDisplayPageBoundaries w:val="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83D6B2F"/>
    <w:rsid w:val="283D6B2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 w:type="paragraph" w:customStyle="1" w:styleId="4">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12</Pages>
  <Words>0</Words>
  <Characters>0</Characters>
  <Lines>0</Lines>
  <Paragraphs>0</Paragraphs>
  <TotalTime>0</TotalTime>
  <ScaleCrop>false</ScaleCrop>
  <LinksUpToDate>false</LinksUpToDate>
  <CharactersWithSpaces>0</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2026-08-13T09:36:00Z</dcterms:created>
  <dc:creator>徐闫靖双</dc:creator>
  <cp:lastModifiedBy>徐闫靖双</cp:lastModifiedBy>
  <dcterms:modified xsi:type="dcterms:W3CDTF">2026-08-13T09:36:39Z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5BD114AD3ED640899A6CD2F895D4A2B9_11</vt:lpwstr>
  </property>
  <property fmtid="{D5CDD505-2E9C-101B-9397-08002B2CF9AE}" pid="4" name="KSOTemplateDocerSaveRecord">
    <vt:lpwstr>eyJoZGlkIjoiYzA1MTFjMGE5NjMwY2U1ODU1MGFhN2UxMjk1NDdlZjEiLCJ1c2VySWQiOiI0NTE5NDQwNTQifQ==</vt:lpwstr>
  </property>
</Properties>
</file>