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版本号：ZJDY-HZCG-2026-0720260518001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2026年南郑区两河镇墁坡村烤烟工厂提升项目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ZJDY-HZCG-2026-07</w:t>
      </w:r>
      <w:r>
        <w:br/>
      </w:r>
      <w:r>
        <w:br/>
      </w:r>
      <w:r>
        <w:br/>
      </w:r>
    </w:p>
    <w:p>
      <w:pPr>
        <w:pStyle w:val="null3"/>
        <w:jc w:val="center"/>
        <w:outlineLvl w:val="2"/>
      </w:pPr>
      <w:r>
        <w:rPr>
          <w:rFonts w:ascii="仿宋_GB2312" w:hAnsi="仿宋_GB2312" w:cs="仿宋_GB2312" w:eastAsia="仿宋_GB2312"/>
          <w:sz w:val="28"/>
          <w:b/>
        </w:rPr>
        <w:t>汉中市南郑区两河镇人民政府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汉中市南郑区两河镇人民政府</w:t>
      </w:r>
      <w:r>
        <w:rPr>
          <w:rFonts w:ascii="仿宋_GB2312" w:hAnsi="仿宋_GB2312" w:cs="仿宋_GB2312" w:eastAsia="仿宋_GB2312"/>
        </w:rPr>
        <w:t>委托，拟对</w:t>
      </w:r>
      <w:r>
        <w:rPr>
          <w:rFonts w:ascii="仿宋_GB2312" w:hAnsi="仿宋_GB2312" w:cs="仿宋_GB2312" w:eastAsia="仿宋_GB2312"/>
        </w:rPr>
        <w:t>2026年南郑区两河镇墁坡村烤烟工厂提升项目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2026年南郑区两河镇墁坡村烤烟工厂提升项目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本项目建设地点位于墁坡村，主要建设内容包括，新建烤烟房、钢架彩钢敞篷，配套实施场地硬化、浆砌挡墙施工，购置并安装相关配套设备，含后期运营保障，具体建设内容以工程量清单描述为准。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采购包1（2026年南郑区两河镇墁坡村烤烟工厂提升项目）：属于专门面向中小企业采购。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3、供应商资格要求：供应商同时具有行政主管部门核发的【钢结构工程专业承包】三级（含三级)及以上资质与【建筑工程】三级（含三级)以上资质，且具有有效的安全生产许可证；</w:t>
      </w:r>
    </w:p>
    <w:p>
      <w:pPr>
        <w:pStyle w:val="null3"/>
      </w:pPr>
      <w:r>
        <w:rPr>
          <w:rFonts w:ascii="仿宋_GB2312" w:hAnsi="仿宋_GB2312" w:cs="仿宋_GB2312" w:eastAsia="仿宋_GB2312"/>
        </w:rPr>
        <w:t>4、拟派项目负责人资格要求：拟派项目经理须具备建筑工程专业二级（含二级）以上注册建造师资格和安全生产考核合格B证，且无在建项目</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汉中市南郑区两河镇人民政府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两河镇三门村三门街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汉中市南郑区两河镇人民政府经办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13379164195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汉台区东关街道办事处中饮国际办公中心8026室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汉中市南郑区两河镇人民政府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汉中市南郑区两河镇人民政府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汉中市南郑区两河镇人民政府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联系电话：1357167736</w:t>
      </w:r>
    </w:p>
    <w:p>
      <w:pPr>
        <w:pStyle w:val="null3"/>
      </w:pPr>
      <w:r>
        <w:rPr>
          <w:rFonts w:ascii="仿宋_GB2312" w:hAnsi="仿宋_GB2312" w:cs="仿宋_GB2312" w:eastAsia="仿宋_GB2312"/>
        </w:rPr>
        <w:t>地址：汉台区东关街道办事处中饮国际办公中心8026室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2,590,000.00</w:t>
      </w:r>
    </w:p>
    <w:p>
      <w:pPr>
        <w:pStyle w:val="null3"/>
      </w:pPr>
      <w:r>
        <w:rPr>
          <w:rFonts w:ascii="仿宋_GB2312" w:hAnsi="仿宋_GB2312" w:cs="仿宋_GB2312" w:eastAsia="仿宋_GB2312"/>
        </w:rPr>
        <w:t>采购包最高限价（元）: 2,589,097.92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2026年南郑区两河镇墁坡村烤烟工厂提升项目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标的名称：2026年南郑区两河镇墁坡村烤烟工厂提升项目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新建砖混结构</w:t>
            </w:r>
            <w:r>
              <w:rPr>
                <w:rFonts w:ascii="仿宋_GB2312" w:hAnsi="仿宋_GB2312" w:cs="仿宋_GB2312" w:eastAsia="仿宋_GB2312"/>
                <w:sz w:val="28"/>
              </w:rPr>
              <w:t>1#烤烟房502.33平方米、2#烤烟房119.76平方米、钢结构仓储用房174.44平方米、彩钢棚236平方米、室外道路硬化601.77平方米、浆砌石挡墙904.06m³、烤烟设备21套、农业旋耕机1台、拆除原有房屋等，具体建设内容以工程量清单描述为准</w:t>
            </w:r>
            <w:r>
              <w:rPr>
                <w:rFonts w:ascii="仿宋_GB2312" w:hAnsi="仿宋_GB2312" w:cs="仿宋_GB2312" w:eastAsia="仿宋_GB2312"/>
                <w:sz w:val="28"/>
              </w:rPr>
              <w:t>。</w:t>
            </w:r>
          </w:p>
          <w:p>
            <w:pPr>
              <w:pStyle w:val="null3"/>
              <w:numPr>
                <w:ilvl w:val="0"/>
                <w:numId w:val="1"/>
              </w:numPr>
              <w:ind w:right="-180"/>
              <w:jc w:val="left"/>
            </w:pP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1、依据汉中市南郑区</w:t>
            </w:r>
            <w:r>
              <w:rPr>
                <w:rFonts w:ascii="仿宋_GB2312" w:hAnsi="仿宋_GB2312" w:cs="仿宋_GB2312" w:eastAsia="仿宋_GB2312"/>
                <w:sz w:val="28"/>
              </w:rPr>
              <w:t>两河</w:t>
            </w:r>
            <w:r>
              <w:rPr>
                <w:rFonts w:ascii="仿宋_GB2312" w:hAnsi="仿宋_GB2312" w:cs="仿宋_GB2312" w:eastAsia="仿宋_GB2312"/>
                <w:sz w:val="28"/>
              </w:rPr>
              <w:t>镇人民政府提供的</w:t>
            </w:r>
            <w:r>
              <w:rPr>
                <w:rFonts w:ascii="仿宋_GB2312" w:hAnsi="仿宋_GB2312" w:cs="仿宋_GB2312" w:eastAsia="仿宋_GB2312"/>
                <w:sz w:val="28"/>
              </w:rPr>
              <w:t>施工</w:t>
            </w:r>
            <w:r>
              <w:rPr>
                <w:rFonts w:ascii="仿宋_GB2312" w:hAnsi="仿宋_GB2312" w:cs="仿宋_GB2312" w:eastAsia="仿宋_GB2312"/>
                <w:sz w:val="28"/>
              </w:rPr>
              <w:t>图纸等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2、《陕西省工程建设标准之建设工程工程量清单计价标准》(2025)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3、《陕西省工程建设标准之工程量计算标准》(2025)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4、《陕西省建设工程费用规则(2025)》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陕西省基价表(房屋建筑、装饰工程、通用安装、市政、园林绿化、地下综合管廊、绿色建筑)(2025)》、《陕西省消耗量定额(房屋建筑、装饰工程、通用安装、市政、园林绿化、地下综合管廊、绿色建筑)(2025)》、《陕西省建设工程施工机械台班费用定额(2025)》、《陕西省建设工程施工仪器仪表台班费用定额(2025)》及配套使用的相关计价文件、其他相关计价依据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6、主要材料价按汉中市工程造价管理办公室发布的《汉中建设工程造价信息》202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3</w:t>
            </w:r>
            <w:r>
              <w:rPr>
                <w:rFonts w:ascii="仿宋_GB2312" w:hAnsi="仿宋_GB2312" w:cs="仿宋_GB2312" w:eastAsia="仿宋_GB2312"/>
                <w:sz w:val="28"/>
              </w:rPr>
              <w:t>期材料价、当前建筑材料市场价综合计入</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三、问题说明</w:t>
            </w:r>
          </w:p>
          <w:p>
            <w:pPr>
              <w:pStyle w:val="null3"/>
              <w:ind w:firstLine="560"/>
              <w:jc w:val="left"/>
            </w:pPr>
            <w:r>
              <w:rPr>
                <w:rFonts w:ascii="仿宋_GB2312" w:hAnsi="仿宋_GB2312" w:cs="仿宋_GB2312" w:eastAsia="仿宋_GB2312"/>
                <w:sz w:val="28"/>
              </w:rPr>
              <w:t>1、烤烟设备，暂按综合单价11000元/套计入；</w:t>
            </w:r>
          </w:p>
          <w:p>
            <w:pPr>
              <w:pStyle w:val="null3"/>
              <w:ind w:firstLine="560"/>
              <w:jc w:val="left"/>
            </w:pPr>
            <w:r>
              <w:rPr>
                <w:rFonts w:ascii="仿宋_GB2312" w:hAnsi="仿宋_GB2312" w:cs="仿宋_GB2312" w:eastAsia="仿宋_GB2312"/>
                <w:sz w:val="28"/>
              </w:rPr>
              <w:t>2、农业旋耕机，暂按综合单价110000元/台计入；</w:t>
            </w:r>
          </w:p>
          <w:p>
            <w:pPr>
              <w:pStyle w:val="null3"/>
              <w:ind w:firstLine="560"/>
              <w:jc w:val="left"/>
            </w:pPr>
            <w:r>
              <w:rPr>
                <w:rFonts w:ascii="仿宋_GB2312" w:hAnsi="仿宋_GB2312" w:cs="仿宋_GB2312" w:eastAsia="仿宋_GB2312"/>
                <w:sz w:val="28"/>
              </w:rPr>
              <w:t>3、弃土运距按5km计入，结算时据实计算；</w:t>
            </w:r>
          </w:p>
          <w:p>
            <w:pPr>
              <w:pStyle w:val="null3"/>
              <w:ind w:firstLine="560"/>
              <w:jc w:val="left"/>
            </w:pPr>
            <w:r>
              <w:rPr>
                <w:rFonts w:ascii="仿宋_GB2312" w:hAnsi="仿宋_GB2312" w:cs="仿宋_GB2312" w:eastAsia="仿宋_GB2312"/>
                <w:sz w:val="28"/>
              </w:rPr>
              <w:t>4、暂列金按40000元计入。</w:t>
            </w:r>
          </w:p>
          <w:p>
            <w:pPr>
              <w:pStyle w:val="null3"/>
              <w:ind w:firstLine="562"/>
              <w:jc w:val="left"/>
            </w:pPr>
            <w:r>
              <w:rPr>
                <w:rFonts w:ascii="仿宋_GB2312" w:hAnsi="仿宋_GB2312" w:cs="仿宋_GB2312" w:eastAsia="仿宋_GB2312"/>
                <w:sz w:val="28"/>
                <w:b/>
              </w:rPr>
              <w:t>四、质保期</w:t>
            </w:r>
          </w:p>
          <w:p>
            <w:pPr>
              <w:pStyle w:val="null3"/>
              <w:ind w:firstLine="560"/>
              <w:jc w:val="left"/>
            </w:pPr>
            <w:r>
              <w:rPr>
                <w:rFonts w:ascii="仿宋_GB2312" w:hAnsi="仿宋_GB2312" w:cs="仿宋_GB2312" w:eastAsia="仿宋_GB2312"/>
                <w:sz w:val="28"/>
              </w:rPr>
              <w:t>质保要求：烤烟设备质保期</w:t>
            </w:r>
            <w:r>
              <w:rPr>
                <w:rFonts w:ascii="仿宋_GB2312" w:hAnsi="仿宋_GB2312" w:cs="仿宋_GB2312" w:eastAsia="仿宋_GB2312"/>
                <w:sz w:val="28"/>
              </w:rPr>
              <w:t>2 年，农业机械相关设备质保期 1 年，工程及配套设施质保期 1 年；</w:t>
            </w:r>
          </w:p>
          <w:p>
            <w:pPr>
              <w:pStyle w:val="null3"/>
              <w:ind w:firstLine="562"/>
              <w:jc w:val="left"/>
            </w:pPr>
            <w:r>
              <w:rPr>
                <w:rFonts w:ascii="仿宋_GB2312" w:hAnsi="仿宋_GB2312" w:cs="仿宋_GB2312" w:eastAsia="仿宋_GB2312"/>
                <w:sz w:val="28"/>
                <w:b/>
              </w:rPr>
              <w:t>五、工期：</w:t>
            </w:r>
            <w:r>
              <w:rPr>
                <w:rFonts w:ascii="仿宋_GB2312" w:hAnsi="仿宋_GB2312" w:cs="仿宋_GB2312" w:eastAsia="仿宋_GB2312"/>
                <w:sz w:val="28"/>
              </w:rPr>
              <w:t>45日历天（含设备安装调试）</w:t>
            </w:r>
          </w:p>
          <w:p>
            <w:pPr>
              <w:pStyle w:val="null3"/>
              <w:ind w:firstLine="562"/>
              <w:jc w:val="left"/>
            </w:pPr>
            <w:r>
              <w:rPr>
                <w:rFonts w:ascii="仿宋_GB2312" w:hAnsi="仿宋_GB2312" w:cs="仿宋_GB2312" w:eastAsia="仿宋_GB2312"/>
                <w:sz w:val="28"/>
                <w:b/>
              </w:rPr>
              <w:t>六、其他问题说明</w:t>
            </w:r>
          </w:p>
          <w:p>
            <w:pPr>
              <w:pStyle w:val="null3"/>
              <w:jc w:val="left"/>
            </w:pPr>
            <w:r>
              <w:rPr>
                <w:rFonts w:ascii="仿宋_GB2312" w:hAnsi="仿宋_GB2312" w:cs="仿宋_GB2312" w:eastAsia="仿宋_GB2312"/>
                <w:sz w:val="28"/>
              </w:rPr>
              <w:t>1. 资产权属：本项目建成后，所有资产（含新建烤烟房、钢架彩钢敞篷、场地硬化、浆砌挡墙及配套设备）归村集体所有，成交中标人可采用租赁方式运营。</w:t>
            </w:r>
          </w:p>
          <w:p>
            <w:pPr>
              <w:pStyle w:val="null3"/>
              <w:jc w:val="left"/>
            </w:pPr>
            <w:r>
              <w:rPr>
                <w:rFonts w:ascii="仿宋_GB2312" w:hAnsi="仿宋_GB2312" w:cs="仿宋_GB2312" w:eastAsia="仿宋_GB2312"/>
                <w:sz w:val="28"/>
              </w:rPr>
              <w:t>2. 运营维护责任：本项目实行“谁中标，谁负责”原则，中标人作为项目履约及后期运营维护主体，自项目竣工验收合格、资产移交之日起，负责项目全部资产（含烤烟设备、农业旋耕机等配套设备、工程设施）的后期运营维护工作，直至租赁运营期限届满。</w:t>
            </w:r>
          </w:p>
          <w:p>
            <w:pPr>
              <w:pStyle w:val="null3"/>
              <w:jc w:val="left"/>
            </w:pPr>
            <w:r>
              <w:rPr>
                <w:rFonts w:ascii="仿宋_GB2312" w:hAnsi="仿宋_GB2312" w:cs="仿宋_GB2312" w:eastAsia="仿宋_GB2312"/>
                <w:sz w:val="28"/>
              </w:rPr>
              <w:t>3. 运营维护要求：中标人需严格按照合同约定及行业规范，开展日常巡检、故障排查、维修保养等运营维护工作，确保资产完好、正常运营，同时配合村集体完成资产监管、巡检核查等相关工作，不得擅自推诿、拖延运营维护责任。</w:t>
            </w:r>
          </w:p>
          <w:p>
            <w:pPr>
              <w:pStyle w:val="null3"/>
              <w:jc w:val="left"/>
            </w:pPr>
            <w:r>
              <w:rPr>
                <w:rFonts w:ascii="仿宋_GB2312" w:hAnsi="仿宋_GB2312" w:cs="仿宋_GB2312" w:eastAsia="仿宋_GB2312"/>
                <w:sz w:val="28"/>
              </w:rPr>
              <w:t>4. 质保期：运营维护期间，中标人需同步履行法定及约定质保责任，严格按照以下要求执行：① 烤烟设备保修期：自设备安装、调试、运行检验合格之日起2年；② 农业旋耕机保修期：自销售者开具购机发票之日起，整机三包有效期不少于1年；③ 工程保修期：严格按法定最低标准执行。质保期内，中标人需免费提供维修、备件更换等服务，并承担质量问题导致的相关损失。</w:t>
            </w:r>
          </w:p>
          <w:p>
            <w:pPr>
              <w:pStyle w:val="null3"/>
              <w:jc w:val="center"/>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严格遵照国家及现行行业技术规范标准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及行业相关技术标准开展各项技术服务工作，提供全程现场技术指导、问题处置、资料编制整理、验收配合及后期技术咨询服务，全力保障项目建设质量与施工进度，圆满完成全部技术服务相关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服从统一管理，严控工期、质量、安全文明施工，配合验收及后期保修。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供应商同时具有行政主管部门核发的【钢结构工程专业承包】三级（含三级)及以上资质与【建筑工程】三级（含三级)以上资质，且具有有效的安全生产许可证；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已标价工程量清单 中小企业声明函 残疾人福利性单位声明函 报价函 标的清单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供应商针对本项目建筑工程+钢结构施工需求，编制完善的施工部署，内容包含：①施工目标（量化质量、工期要求）；②施工准备（人员、设备、材料配置）；③施工平面布置与安排。 二、评审标准:1、完整性:方案必须全面,对评审内容中的各项要求有详细描述;2、可实施性:切合本项目实际情况，提出步清晰、合理的方案;3、针对性:方案能够紧扣项目实际情况，内容科学合理。三、赋分标准(满分6分):(①施工目标:每完全满足一个评审标准得0.5分，满分1.5分;②施工准备:每完全满足一个评审标准得0.5分，满分1.5分;③施工平面布置与安排:每完全满足一个评审标准得1分，满分3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一、评审内容:供应商针对本项目编制科学的项目管理机构，内容包含: ①管理机构配备计划; ②组织机构岗位职责； 二、评审标准: 1、完整性:方案必须全面，对评审内容中的各项要求有详细描述;2、可实施性:切合本项目实际情况，提出步清晰、合理的方案;3、针对性:方案能够紧扣项目实际情况，内容科学合理。 三、赋分标准(满分 4.5分) ①管理机构的配备计划:每完全满足一个评审标准得1分，满分3分;②组织机构的岗位职责:每完全满足一个评审标准得1分，满分3分;未提供者不得分。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2.项目拟派人员安排</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一、评审内容:结合本项目的实际，供应商应依据国家相关规定对工程质量编制保修方案，内容包含:①维修措施;②保修责任;③保修承诺。 二、评审标准:1、完整性:内容必须全面，对评审内容中的各项要求有详细描述;2、落实性:切合项目具体情况，提出责任明确、要求具体的方案;3、针对性:内容能够紧扣项目实际情况，内容科学合理。 三、赋分标准(满分4.5分):①维修措施:每完全满足一个评审标准得0.5分，满分1.5分;②保修责任:每完全满足一个评审标准得0.5分，满分1.5分;(③保修承诺:每完全满足一个评审标准得0.5分，满分1.5分;④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3.保修方案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二、评审标准:1、完整性:方案必须全面，对评审内容中的各项要求有详细描述;2、可实施性:切合本项目实际情况，提出步清晰、合理的方案;3、针对性:方案能够紧扣项目实际情况，内容科学合理。 三、赋分标准(满分9.0分):①施工进度计划横道图:每完全满足一个评审标准得1分，满分3分;②进度计划保证措施:每完全满足一个评审标准得1分,满分3分;③工期保证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4.施工进度计划</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二、评审标准:1、完整性:方案必须全面，对评审内容中的各项要求有详细描述;2、可实施性:切合本项目实际情况，提出步清晰、合理的方案;3、针对性:方案能够紧扣项目实际情况，内容科学合理。三、赋分标准(满分9分):①施工质量检验制度:每完全满足一个评审标准得1分，满分3分;②确保质量的技术组织措施:每完全满足一个评审标准得1分，满分3分;③施工质量控制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④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6.资源配置计划</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7.5分):①安全生产管理制度:每完全满足一个评审标准得1分，满分3分;②安全施工措施:每完全满足一个评审标准得0.5分，满分1.5分;③安全应急预案:每完全满足一个评审标准得0.5分，满分1.5分;④安全生产教育:每完全满足一个评审标准得0.5分，满分1.5分;⑤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7.安全施工措施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三、赋分标准(满分6分):①文明施工管理目标及技术措施:每完全满足一个评审标准得1分，满分3分;②文明施工现场管理:每完全满足一个评审标准得1分，满分3分:③未提供者不得分。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8.文明施工措施</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一、评审内容：针对项目实施过程中可能出现的恶劣天气、自然灾害、公共活动等突发情况，评审应急方案的针对性、可操作性及响应及时性，保障项目顺利推进。 二、评分标准（3分） 0分：未提供应急措施，视为不满足评审要求。 1分：仅提及制定应急方案，未区分突发事件类型，无具体处置措施、无应急物资清单，内容笼统。 2分：按类型制定专项应急方案，有基本处置措施、流程及责任人，但内容不够完整、操作性一般。 3分：按恶劣天气、自然灾害、公共活动分类制定专项应急方案，明确具体处置措施、应急响应流程、应急物资清单及责任人，方案可直接落地执行，针对性强、响应及时。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9.针对突发事件应急保证措施</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一、评审内容：供应商针对本项目编制完善的分部分项工程施工方案，内容包含：①工程重难点及解决措施；②分部分项工程施工方法；③施工质量通病防治措施。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三、赋分标准（满分6分）：①工程重难点及解决措施：每完全满足一个评审标准得1分，满分3分；②分部分项工程施工方法：每完全满足一个评审标准得0.5分，满分1.5分；③施工质量通病防治措施：每完全满足一个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10.分部分项工程施工方案</w:t>
            </w:r>
          </w:p>
        </w:tc>
      </w:tr>
      <w:tr>
        <w:tc>
          <w:tcPr>
            <w:tcW w:type="dxa" w:w="831"/>
            <w:vMerge/>
          </w:tcPr>
          <w:p/>
        </w:tc>
        <w:tc>
          <w:tcPr>
            <w:tcW w:type="dxa" w:w="1661"/>
          </w:tcPr>
          <w:p>
            <w:pPr>
              <w:pStyle w:val="null3"/>
            </w:pPr>
            <w:r>
              <w:rPr>
                <w:rFonts w:ascii="仿宋_GB2312" w:hAnsi="仿宋_GB2312" w:cs="仿宋_GB2312" w:eastAsia="仿宋_GB2312"/>
              </w:rPr>
              <w:t>设备保修方案</w:t>
            </w:r>
          </w:p>
        </w:tc>
        <w:tc>
          <w:tcPr>
            <w:tcW w:type="dxa" w:w="2492"/>
          </w:tcPr>
          <w:p>
            <w:pPr>
              <w:pStyle w:val="null3"/>
            </w:pPr>
            <w:r>
              <w:rPr>
                <w:rFonts w:ascii="仿宋_GB2312" w:hAnsi="仿宋_GB2312" w:cs="仿宋_GB2312" w:eastAsia="仿宋_GB2312"/>
              </w:rPr>
              <w:t>一、评审内容：结合本项目设备实际使用需求，编制完善的设备保修方案，内容包含：设备保修期限、保修范围（含易损件界定）、维修响应流程、维保措施、保修责任划分及售后保修承诺，确保配套设备保修期内正常稳定运行。 二、评审标准 1. 完整性：方案内容全面，完整涵盖设备保修期限、范围、响应、措施、责任、承诺等所有要求，描述详细、无遗漏。 2. 可实施性：贴合本项目设备类型及现场使用工况，维修响应时限明确、维保流程清晰，措施具体可行，便于落地执行。 3. 针对性：紧扣本项目设备性能、使用场景，保修方案科学合理，能精准解决设备保修期内可能出现的故障及问题。 三、赋分标准（总分2分） 1. 三项评审标准全部满足，方案内容详实、措施到位，得2分（满分）； 2. 满足两项评审标准，方案内容基本齐全、无重大遗漏，得1分； 3. 仅满足一项及以下，或未提供设备保修方案，得0分。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11.设备保修方案</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近3年（2023.5-至今）每提供1个有效类似项目业绩得2.5分，最高5分；“类似项目”定义：建筑工程或钢结构工程；评审依据：同时具备①中标通知书、②施工合同（时间以合同签订时间为准）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8、类似业绩情况表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1、上限为采购预算价，即报价大于上限价视为无效标；2、以满足本次磋商文件要求的最低报价为评审基准价，其价格为满分；3、不享有政策优惠条件的投标投标人报价得分=（评审基准价/报价）×30。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详见附件：1.总体施工方案</w:t>
      </w:r>
    </w:p>
    <w:p>
      <w:pPr>
        <w:pStyle w:val="null3"/>
        <w:ind w:firstLine="960"/>
      </w:pPr>
      <w:r>
        <w:rPr>
          <w:rFonts w:ascii="仿宋_GB2312" w:hAnsi="仿宋_GB2312" w:cs="仿宋_GB2312" w:eastAsia="仿宋_GB2312"/>
        </w:rPr>
        <w:t>详见附件：2.项目拟派人员安排</w:t>
      </w:r>
    </w:p>
    <w:p>
      <w:pPr>
        <w:pStyle w:val="null3"/>
        <w:ind w:firstLine="960"/>
      </w:pPr>
      <w:r>
        <w:rPr>
          <w:rFonts w:ascii="仿宋_GB2312" w:hAnsi="仿宋_GB2312" w:cs="仿宋_GB2312" w:eastAsia="仿宋_GB2312"/>
        </w:rPr>
        <w:t>详见附件：3.保修方案</w:t>
      </w:r>
    </w:p>
    <w:p>
      <w:pPr>
        <w:pStyle w:val="null3"/>
        <w:ind w:firstLine="960"/>
      </w:pPr>
      <w:r>
        <w:rPr>
          <w:rFonts w:ascii="仿宋_GB2312" w:hAnsi="仿宋_GB2312" w:cs="仿宋_GB2312" w:eastAsia="仿宋_GB2312"/>
        </w:rPr>
        <w:t>详见附件：4.施工进度计划</w:t>
      </w:r>
    </w:p>
    <w:p>
      <w:pPr>
        <w:pStyle w:val="null3"/>
        <w:ind w:firstLine="960"/>
      </w:pPr>
      <w:r>
        <w:rPr>
          <w:rFonts w:ascii="仿宋_GB2312" w:hAnsi="仿宋_GB2312" w:cs="仿宋_GB2312" w:eastAsia="仿宋_GB2312"/>
        </w:rPr>
        <w:t>详见附件：5.质量保证措施</w:t>
      </w:r>
    </w:p>
    <w:p>
      <w:pPr>
        <w:pStyle w:val="null3"/>
        <w:ind w:firstLine="960"/>
      </w:pPr>
      <w:r>
        <w:rPr>
          <w:rFonts w:ascii="仿宋_GB2312" w:hAnsi="仿宋_GB2312" w:cs="仿宋_GB2312" w:eastAsia="仿宋_GB2312"/>
        </w:rPr>
        <w:t>详见附件：6.资源配置计划</w:t>
      </w:r>
    </w:p>
    <w:p>
      <w:pPr>
        <w:pStyle w:val="null3"/>
        <w:ind w:firstLine="960"/>
      </w:pPr>
      <w:r>
        <w:rPr>
          <w:rFonts w:ascii="仿宋_GB2312" w:hAnsi="仿宋_GB2312" w:cs="仿宋_GB2312" w:eastAsia="仿宋_GB2312"/>
        </w:rPr>
        <w:t>详见附件：7.安全施工措施</w:t>
      </w:r>
    </w:p>
    <w:p>
      <w:pPr>
        <w:pStyle w:val="null3"/>
        <w:ind w:firstLine="960"/>
      </w:pPr>
      <w:r>
        <w:rPr>
          <w:rFonts w:ascii="仿宋_GB2312" w:hAnsi="仿宋_GB2312" w:cs="仿宋_GB2312" w:eastAsia="仿宋_GB2312"/>
        </w:rPr>
        <w:t>详见附件：8.文明施工措施</w:t>
      </w:r>
    </w:p>
    <w:p>
      <w:pPr>
        <w:pStyle w:val="null3"/>
        <w:ind w:firstLine="960"/>
      </w:pPr>
      <w:r>
        <w:rPr>
          <w:rFonts w:ascii="仿宋_GB2312" w:hAnsi="仿宋_GB2312" w:cs="仿宋_GB2312" w:eastAsia="仿宋_GB2312"/>
        </w:rPr>
        <w:t>详见附件：9.针对突发事件应急保证措施</w:t>
      </w:r>
    </w:p>
    <w:p>
      <w:pPr>
        <w:pStyle w:val="null3"/>
        <w:ind w:firstLine="960"/>
      </w:pPr>
      <w:r>
        <w:rPr>
          <w:rFonts w:ascii="仿宋_GB2312" w:hAnsi="仿宋_GB2312" w:cs="仿宋_GB2312" w:eastAsia="仿宋_GB2312"/>
        </w:rPr>
        <w:t>详见附件：10.分部分项工程施工方案</w:t>
      </w:r>
    </w:p>
    <w:p>
      <w:pPr>
        <w:pStyle w:val="null3"/>
        <w:ind w:firstLine="960"/>
      </w:pPr>
      <w:r>
        <w:rPr>
          <w:rFonts w:ascii="仿宋_GB2312" w:hAnsi="仿宋_GB2312" w:cs="仿宋_GB2312" w:eastAsia="仿宋_GB2312"/>
        </w:rPr>
        <w:t>详见附件：11.设备保修方案</w:t>
      </w:r>
    </w:p>
    <w:p>
      <w:pPr>
        <w:pStyle w:val="null3"/>
        <w:ind w:firstLine="960"/>
      </w:pPr>
      <w:r>
        <w:rPr>
          <w:rFonts w:ascii="仿宋_GB2312" w:hAnsi="仿宋_GB2312" w:cs="仿宋_GB2312" w:eastAsia="仿宋_GB2312"/>
        </w:rPr>
        <w:t>详见附件：8、类似业绩情况表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