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版本号：2026-HXCT-15720260707001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2026-HXCT-157</w:t>
      </w:r>
      <w:r>
        <w:br/>
      </w:r>
      <w:r>
        <w:br/>
      </w:r>
      <w:r>
        <w:br/>
      </w:r>
    </w:p>
    <w:p>
      <w:pPr>
        <w:pStyle w:val="null3"/>
        <w:jc w:val="center"/>
        <w:outlineLvl w:val="2"/>
      </w:pPr>
      <w:r>
        <w:rPr>
          <w:rFonts w:ascii="仿宋_GB2312" w:hAnsi="仿宋_GB2312" w:cs="仿宋_GB2312" w:eastAsia="仿宋_GB2312"/>
          <w:sz w:val="28"/>
          <w:b/>
        </w:rPr>
        <w:t>西安市雁塔区第六小学</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西安市雁塔区第六小学</w:t>
      </w:r>
      <w:r>
        <w:rPr>
          <w:rFonts w:ascii="仿宋_GB2312" w:hAnsi="仿宋_GB2312" w:cs="仿宋_GB2312" w:eastAsia="仿宋_GB2312"/>
        </w:rPr>
        <w:t>委托，拟对</w:t>
      </w:r>
      <w:r>
        <w:rPr>
          <w:rFonts w:ascii="仿宋_GB2312" w:hAnsi="仿宋_GB2312" w:cs="仿宋_GB2312" w:eastAsia="仿宋_GB2312"/>
        </w:rPr>
        <w:t>校园维修项目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2026-HXCT-157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校园维修项目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校园维修项目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采购包1（校园维修项目）：属于专门面向中小企业采购。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 ：具有独立承担民事责任能力的法人、其他组织或自然人，并出具合法有效的营业执照或事业单位法人证书等国家规定的相关证明，自然人参与的提供其身份证明。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2、纳税证明 ：提供响应时间前六个月内已缴纳的至少一个月的纳税证明或完税证明，依法免税的单位应提供相关证明材料。</w:t>
      </w:r>
    </w:p>
    <w:p>
      <w:pPr>
        <w:pStyle w:val="null3"/>
      </w:pPr>
      <w:r>
        <w:rPr>
          <w:rFonts w:ascii="仿宋_GB2312" w:hAnsi="仿宋_GB2312" w:cs="仿宋_GB2312" w:eastAsia="仿宋_GB2312"/>
        </w:rPr>
        <w:t>3、社保证明 ：提供响应时间前六个月内已缴存的至少一个月的社会保障资金缴存单据或社保机构开具的社会保险参保缴费情况证明，依法不需要缴纳社会保障资金的单位应提供相关证明材料。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4、三年无违法声明 ：参加政府采购活动前3年内，在经营活动中没有重大违法记录的书面声明。</w:t>
      </w:r>
    </w:p>
    <w:p>
      <w:pPr>
        <w:pStyle w:val="null3"/>
      </w:pPr>
      <w:r>
        <w:rPr>
          <w:rFonts w:ascii="仿宋_GB2312" w:hAnsi="仿宋_GB2312" w:cs="仿宋_GB2312" w:eastAsia="仿宋_GB2312"/>
        </w:rPr>
        <w:t>5、履约能力声明 ：提供具有履行合同所必需的设备和专业技术能力的承诺。</w:t>
      </w:r>
    </w:p>
    <w:p>
      <w:pPr>
        <w:pStyle w:val="null3"/>
      </w:pPr>
      <w:r>
        <w:rPr>
          <w:rFonts w:ascii="仿宋_GB2312" w:hAnsi="仿宋_GB2312" w:cs="仿宋_GB2312" w:eastAsia="仿宋_GB2312"/>
        </w:rPr>
        <w:t>6、身份证明 ：法定代表人直接参加投标的，须提供法定代表人身份证明；法定代表人授权代表参加投标的，须提供法定代表人授权委托书。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7、资质证书 ：供应商具备行政主管部门颁发的建筑工程施工总承包三级及以上资质，具备有效的安全生产许可证。</w:t>
      </w:r>
    </w:p>
    <w:p>
      <w:pPr>
        <w:pStyle w:val="null3"/>
      </w:pPr>
      <w:r>
        <w:rPr>
          <w:rFonts w:ascii="仿宋_GB2312" w:hAnsi="仿宋_GB2312" w:cs="仿宋_GB2312" w:eastAsia="仿宋_GB2312"/>
        </w:rPr>
        <w:t>8、项目经理 ：供应商拟派项目经理具有建筑工程专业二级及以上注册建造师证书(含二级),具备有效的安全生产考核合格证书(建安B证),且无不良信用记录，无在建工程(提供承诺书)。</w:t>
      </w:r>
    </w:p>
    <w:p>
      <w:pPr>
        <w:pStyle w:val="null3"/>
      </w:pPr>
      <w:r>
        <w:rPr>
          <w:rFonts w:ascii="仿宋_GB2312" w:hAnsi="仿宋_GB2312" w:cs="仿宋_GB2312" w:eastAsia="仿宋_GB2312"/>
        </w:rPr>
        <w:t>9、非联合体声明 ：本项目不接受联合体投标。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西安市雁塔区第六小学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西安市雁塔区大寨路城中村改造项目内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苗老师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029-88630063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13201780511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采购包1：417,011.66元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代理服务费收费标准：1、参照《国家发展改革委关于进一步放开建设项目专业服务价格的通知》（发改价格〔2015〕299号）的有关规定执行。 2、成交单位在领取成交通知书前，须向采购代理机构一次性支付采购代理服务费， 代理费缴存账户： 开户名称：华夏城投项目管理有限公司 开户银行：招商银行股份有限公司西安城北支行 账号：129914077110901（备注：项目名称+代理服务费）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西安市雁塔区第六小学</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西安市雁塔区第六小学</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西安市雁塔区第六小学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1、验收内容：工程量清单和采购文件规定的所有内容。 2、验收责任主体：采购人。 3、验收方法：由熟悉采购项目需求的人员、财务人员、资产管理人员、使用人员、专业技术人员等至少3人以上单数组成，通过资料核查和现场实地踏勘实测的方法进行验收。 4、验收程序：施工单位自检报验、监理预验收/初审、组建验收小组，制定验收方案、现场实地验收核查、集中评审与问题汇总、限期整改与复验、出具验收结论与签字确认、资料归档与备案。 5、验收标准技术：符合采购文件、投标（响应）文件、合同约定的技术、服务、安全标准以及履约期限、交付方式、售后服务条款等要求，同时符合国家强制性标准。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联系人：陈晨</w:t>
      </w:r>
    </w:p>
    <w:p>
      <w:pPr>
        <w:pStyle w:val="null3"/>
      </w:pPr>
      <w:r>
        <w:rPr>
          <w:rFonts w:ascii="仿宋_GB2312" w:hAnsi="仿宋_GB2312" w:cs="仿宋_GB2312" w:eastAsia="仿宋_GB2312"/>
        </w:rPr>
        <w:t>联系电话：13201780511</w:t>
      </w:r>
    </w:p>
    <w:p>
      <w:pPr>
        <w:pStyle w:val="null3"/>
      </w:pPr>
      <w:r>
        <w:rPr>
          <w:rFonts w:ascii="仿宋_GB2312" w:hAnsi="仿宋_GB2312" w:cs="仿宋_GB2312" w:eastAsia="仿宋_GB2312"/>
        </w:rPr>
        <w:t>地址：西安市未央区凤城七路长和国际D座26层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417,011.66</w:t>
      </w:r>
    </w:p>
    <w:p>
      <w:pPr>
        <w:pStyle w:val="null3"/>
      </w:pPr>
      <w:r>
        <w:rPr>
          <w:rFonts w:ascii="仿宋_GB2312" w:hAnsi="仿宋_GB2312" w:cs="仿宋_GB2312" w:eastAsia="仿宋_GB2312"/>
        </w:rPr>
        <w:t>采购包最高限价（元）: 417,011.66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西安市雁塔区第六小学校园维修项目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417,011.66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标的名称：西安市雁塔区第六小学校园维修项目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sz w:val="24"/>
                <w:b/>
              </w:rPr>
              <w:t>一、工程概况</w:t>
            </w:r>
          </w:p>
          <w:p>
            <w:pPr>
              <w:pStyle w:val="null3"/>
              <w:ind w:firstLine="480"/>
              <w:jc w:val="left"/>
            </w:pPr>
            <w:r>
              <w:rPr>
                <w:rFonts w:ascii="仿宋_GB2312" w:hAnsi="仿宋_GB2312" w:cs="仿宋_GB2312" w:eastAsia="仿宋_GB2312"/>
                <w:sz w:val="24"/>
              </w:rPr>
              <w:t>本工程为西安市雁塔区第六小学校园维修项目，建设地点位于西安市雁塔第六小学院内，主要对校园建筑、室外场地现存薄弱、破损设施进行修缮提质，工程类别为房屋建筑与装饰改造工程。</w:t>
            </w:r>
          </w:p>
          <w:p>
            <w:pPr>
              <w:pStyle w:val="null3"/>
              <w:ind w:firstLine="480"/>
              <w:jc w:val="left"/>
            </w:pPr>
            <w:r>
              <w:rPr>
                <w:rFonts w:ascii="仿宋_GB2312" w:hAnsi="仿宋_GB2312" w:cs="仿宋_GB2312" w:eastAsia="仿宋_GB2312"/>
                <w:sz w:val="24"/>
              </w:rPr>
              <w:t>本工程施工内容涵盖校园多处设施薄弱点位整治，主要分为四大施工内容：一是地面及楼梯翻新工程，拆除原有地面瓷砖、垫层及老化防水层，重做</w:t>
            </w:r>
            <w:r>
              <w:rPr>
                <w:rFonts w:ascii="仿宋_GB2312" w:hAnsi="仿宋_GB2312" w:cs="仿宋_GB2312" w:eastAsia="仿宋_GB2312"/>
                <w:sz w:val="24"/>
              </w:rPr>
              <w:t>SBS防水卷材、细石混凝土找坡层、砂浆垫层，重新铺设防滑瓷砖，同步完成楼梯破损修复、防水施工及压条更换；二是墙体与屋顶改造工程，对内外墙进行打磨、防水处理、腻子找平及真石漆、涂料装饰，拆除原有屋顶吊顶，完成顶棚喷黑、铝格栅吊顶安装及配套专用照明灯具布设；三是操场跑道修缮工程，实施校园排水沟清淤、盖板更换抬升，对跑道裂缝、塌陷区域进行开挖、灰土垫层、钢筋混凝土基层加固，恢复EPDM塑胶面层，同步完成运动场沙坑塌陷整改及人造草坪重新铺设；四是校园安防改造工程，完成围墙热镀锌角钢支架及蛇腹式刀片刺网安装施工。</w:t>
            </w:r>
          </w:p>
          <w:p>
            <w:pPr>
              <w:pStyle w:val="null3"/>
              <w:ind w:firstLine="482"/>
              <w:jc w:val="left"/>
            </w:pPr>
            <w:r>
              <w:rPr>
                <w:rFonts w:ascii="仿宋_GB2312" w:hAnsi="仿宋_GB2312" w:cs="仿宋_GB2312" w:eastAsia="仿宋_GB2312"/>
                <w:sz w:val="24"/>
                <w:b/>
              </w:rPr>
              <w:t>二、编制依据</w:t>
            </w:r>
          </w:p>
          <w:p>
            <w:pPr>
              <w:pStyle w:val="null3"/>
              <w:ind w:firstLine="480"/>
              <w:jc w:val="left"/>
            </w:pPr>
            <w:r>
              <w:rPr>
                <w:rFonts w:ascii="仿宋_GB2312" w:hAnsi="仿宋_GB2312" w:cs="仿宋_GB2312" w:eastAsia="仿宋_GB2312"/>
                <w:sz w:val="24"/>
              </w:rPr>
              <w:t>1、本工程招标文件、工程量清单及招标人提供的全套施工图纸、现场踏勘实际情况及项目改造需求。</w:t>
            </w:r>
          </w:p>
          <w:p>
            <w:pPr>
              <w:pStyle w:val="null3"/>
              <w:ind w:firstLine="480"/>
              <w:jc w:val="left"/>
            </w:pPr>
            <w:r>
              <w:rPr>
                <w:rFonts w:ascii="仿宋_GB2312" w:hAnsi="仿宋_GB2312" w:cs="仿宋_GB2312" w:eastAsia="仿宋_GB2312"/>
                <w:sz w:val="24"/>
              </w:rPr>
              <w:t>2、国家、陕西省及西安市现行房屋建筑与装饰工程计价规范、定额标准、取费文件及相关造价管理规定。</w:t>
            </w:r>
          </w:p>
          <w:p>
            <w:pPr>
              <w:pStyle w:val="null3"/>
              <w:ind w:firstLine="480"/>
              <w:jc w:val="left"/>
            </w:pPr>
            <w:r>
              <w:rPr>
                <w:rFonts w:ascii="仿宋_GB2312" w:hAnsi="仿宋_GB2312" w:cs="仿宋_GB2312" w:eastAsia="仿宋_GB2312"/>
                <w:sz w:val="24"/>
              </w:rPr>
              <w:t>3、2026年6月当期市场人工、材料、机械设备价格信息，结合本工程据实核算。</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、人工单价：按照</w:t>
            </w:r>
            <w:r>
              <w:rPr>
                <w:rFonts w:ascii="仿宋_GB2312" w:hAnsi="仿宋_GB2312" w:cs="仿宋_GB2312" w:eastAsia="仿宋_GB2312"/>
                <w:sz w:val="24"/>
              </w:rPr>
              <w:t>2026年西安市建筑市场人工价格标准计取。</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、材料单价：主要材料价格依据当期市场询价</w:t>
            </w:r>
            <w:r>
              <w:rPr>
                <w:rFonts w:ascii="仿宋_GB2312" w:hAnsi="仿宋_GB2312" w:cs="仿宋_GB2312" w:eastAsia="仿宋_GB2312"/>
                <w:sz w:val="24"/>
              </w:rPr>
              <w:t>,</w:t>
            </w:r>
            <w:r>
              <w:rPr>
                <w:rFonts w:ascii="仿宋_GB2312" w:hAnsi="仿宋_GB2312" w:cs="仿宋_GB2312" w:eastAsia="仿宋_GB2312"/>
                <w:sz w:val="24"/>
              </w:rPr>
              <w:t>材料价格包含材料采购、运输、装卸、损耗等全部费用。</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、机械单价：机械使用费依据市场机械租赁、运维、安拆、折旧等费用标准核算，包含机械人工、能耗、检修、维护等全部配套费用。</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、国家及地方关于建筑工程安全文明施工、冬雨季施工、夜间施工等专项费用计取</w:t>
            </w:r>
            <w:r>
              <w:rPr>
                <w:rFonts w:ascii="仿宋_GB2312" w:hAnsi="仿宋_GB2312" w:cs="仿宋_GB2312" w:eastAsia="仿宋_GB2312"/>
                <w:sz w:val="24"/>
              </w:rPr>
              <w:t>符合</w:t>
            </w:r>
            <w:r>
              <w:rPr>
                <w:rFonts w:ascii="仿宋_GB2312" w:hAnsi="仿宋_GB2312" w:cs="仿宋_GB2312" w:eastAsia="仿宋_GB2312"/>
                <w:sz w:val="24"/>
              </w:rPr>
              <w:t>相关规定。</w:t>
            </w:r>
          </w:p>
          <w:p>
            <w:pPr>
              <w:pStyle w:val="null3"/>
              <w:ind w:firstLine="482"/>
              <w:jc w:val="left"/>
            </w:pPr>
            <w:r>
              <w:rPr>
                <w:rFonts w:ascii="仿宋_GB2312" w:hAnsi="仿宋_GB2312" w:cs="仿宋_GB2312" w:eastAsia="仿宋_GB2312"/>
                <w:sz w:val="24"/>
                <w:b/>
              </w:rPr>
              <w:t>三</w:t>
            </w:r>
            <w:r>
              <w:rPr>
                <w:rFonts w:ascii="仿宋_GB2312" w:hAnsi="仿宋_GB2312" w:cs="仿宋_GB2312" w:eastAsia="仿宋_GB2312"/>
                <w:sz w:val="24"/>
                <w:b/>
              </w:rPr>
              <w:t>、其他说明</w:t>
            </w:r>
          </w:p>
          <w:p>
            <w:pPr>
              <w:pStyle w:val="null3"/>
              <w:ind w:firstLine="480"/>
              <w:jc w:val="left"/>
            </w:pPr>
            <w:r>
              <w:rPr>
                <w:rFonts w:ascii="仿宋_GB2312" w:hAnsi="仿宋_GB2312" w:cs="仿宋_GB2312" w:eastAsia="仿宋_GB2312"/>
                <w:sz w:val="24"/>
              </w:rPr>
              <w:t>1、本工程最高投标限价</w:t>
            </w:r>
            <w:r>
              <w:rPr>
                <w:rFonts w:ascii="仿宋_GB2312" w:hAnsi="仿宋_GB2312" w:cs="仿宋_GB2312" w:eastAsia="仿宋_GB2312"/>
                <w:sz w:val="24"/>
              </w:rPr>
              <w:t>417011.66</w:t>
            </w:r>
            <w:r>
              <w:rPr>
                <w:rFonts w:ascii="仿宋_GB2312" w:hAnsi="仿宋_GB2312" w:cs="仿宋_GB2312" w:eastAsia="仿宋_GB2312"/>
                <w:sz w:val="24"/>
              </w:rPr>
              <w:t>元。投标人投标报价不得超出本限价总价，否则视为无效投标。</w:t>
            </w:r>
          </w:p>
          <w:p>
            <w:pPr>
              <w:pStyle w:val="null3"/>
              <w:ind w:firstLine="480"/>
              <w:jc w:val="left"/>
            </w:pPr>
            <w:r>
              <w:rPr>
                <w:rFonts w:ascii="仿宋_GB2312" w:hAnsi="仿宋_GB2312" w:cs="仿宋_GB2312" w:eastAsia="仿宋_GB2312"/>
                <w:sz w:val="24"/>
              </w:rPr>
              <w:t>2、本限价已包含完成本工程招标文件及工程量清单范围内全部施工内容的所有费用，投标人需综合考虑施工难度、现场条件、市场价格波动、工期要求、安全文明施工等所有风险因素，自主合理报价。</w:t>
            </w:r>
          </w:p>
          <w:p>
            <w:pPr>
              <w:pStyle w:val="null3"/>
              <w:ind w:firstLine="480"/>
              <w:jc w:val="left"/>
            </w:pPr>
            <w:r>
              <w:rPr>
                <w:rFonts w:ascii="仿宋_GB2312" w:hAnsi="仿宋_GB2312" w:cs="仿宋_GB2312" w:eastAsia="仿宋_GB2312"/>
                <w:sz w:val="24"/>
              </w:rPr>
              <w:t>3、工程施工过程中，如发生设计变更、现场签证、工程增量等情况，费用结算按照招标文件、施工合同约定及现行计价规范执行，暂列金额按实际发生内容据实核销。</w:t>
            </w:r>
          </w:p>
          <w:p>
            <w:pPr>
              <w:pStyle w:val="null3"/>
            </w:pPr>
            <w:r>
              <w:rPr>
                <w:rFonts w:ascii="仿宋_GB2312" w:hAnsi="仿宋_GB2312" w:cs="仿宋_GB2312" w:eastAsia="仿宋_GB2312"/>
                <w:sz w:val="24"/>
              </w:rPr>
              <w:t>4、</w:t>
            </w:r>
            <w:r>
              <w:rPr>
                <w:rFonts w:ascii="仿宋_GB2312" w:hAnsi="仿宋_GB2312" w:cs="仿宋_GB2312" w:eastAsia="仿宋_GB2312"/>
                <w:sz w:val="24"/>
              </w:rPr>
              <w:t>本工程量清单采用广联达云计价平台</w:t>
            </w:r>
            <w:r>
              <w:rPr>
                <w:rFonts w:ascii="仿宋_GB2312" w:hAnsi="仿宋_GB2312" w:cs="仿宋_GB2312" w:eastAsia="仿宋_GB2312"/>
                <w:sz w:val="24"/>
              </w:rPr>
              <w:t>GCCP</w:t>
            </w:r>
            <w:r>
              <w:rPr>
                <w:rFonts w:ascii="仿宋_GB2312" w:hAnsi="仿宋_GB2312" w:cs="仿宋_GB2312" w:eastAsia="仿宋_GB2312"/>
                <w:sz w:val="24"/>
              </w:rPr>
              <w:t>7</w:t>
            </w:r>
            <w:r>
              <w:rPr>
                <w:rFonts w:ascii="仿宋_GB2312" w:hAnsi="仿宋_GB2312" w:cs="仿宋_GB2312" w:eastAsia="仿宋_GB2312"/>
                <w:sz w:val="24"/>
              </w:rPr>
              <w:t>.0（7.5000.23.3版本）编制。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1、工期：30天 2、质保期：2年 3、付款方式：工程验收合格且出具正式项目竣工结算审计报告后，一次性支付审定造价的100%（付款方式以此条为准）。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提供具有财务审计资质单位出具的2025年度完整的财务报告（成立时间至提交文件截止时间不足一年的可提供成立后任意时段的资产负债表）或开标前六个月内其基本账户银行出具的资信证明和开户许可证；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提供响应时间前六个月内已缴纳的至少一个月的纳税证明或完税证明，依法免税的单位应提供相关证明材料。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提供响应时间前六个月内已缴存的至少一个月的社会保障资金缴存单据或社保机构开具的社会保险参保缴费情况证明，依法不需要缴纳社会保障资金的单位应提供相关证明材料。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供应商具备行政主管部门颁发的建筑工程施工总承包三级及以上资质，具备有效的安全生产许可证。</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供应商拟派项目经理具有建筑工程专业二级及以上注册建造师证书(含二级),具备有效的安全生产考核合格证书(建安B证),且无不良信用记录，无在建工程(提供承诺书)。</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应符合磋商文件的格式要求。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文件格式</w:t>
            </w:r>
          </w:p>
        </w:tc>
        <w:tc>
          <w:tcPr>
            <w:tcW w:type="dxa" w:w="3322"/>
          </w:tcPr>
          <w:p>
            <w:pPr>
              <w:pStyle w:val="null3"/>
            </w:pPr>
            <w:r>
              <w:rPr>
                <w:rFonts w:ascii="仿宋_GB2312" w:hAnsi="仿宋_GB2312" w:cs="仿宋_GB2312" w:eastAsia="仿宋_GB2312"/>
              </w:rPr>
              <w:t>应符合磋商文件的格式要求，可以扩充。</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w:t>
            </w:r>
          </w:p>
        </w:tc>
        <w:tc>
          <w:tcPr>
            <w:tcW w:type="dxa" w:w="3322"/>
          </w:tcPr>
          <w:p>
            <w:pPr>
              <w:pStyle w:val="null3"/>
            </w:pPr>
            <w:r>
              <w:rPr>
                <w:rFonts w:ascii="仿宋_GB2312" w:hAnsi="仿宋_GB2312" w:cs="仿宋_GB2312" w:eastAsia="仿宋_GB2312"/>
              </w:rPr>
              <w:t>第一次磋商报价不超过最高限价。</w:t>
            </w:r>
          </w:p>
        </w:tc>
        <w:tc>
          <w:tcPr>
            <w:tcW w:type="dxa" w:w="1661"/>
          </w:tcPr>
          <w:p>
            <w:pPr>
              <w:pStyle w:val="null3"/>
            </w:pPr>
            <w:r>
              <w:rPr>
                <w:rFonts w:ascii="仿宋_GB2312" w:hAnsi="仿宋_GB2312" w:cs="仿宋_GB2312" w:eastAsia="仿宋_GB2312"/>
              </w:rPr>
              <w:t>响应文件封面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已标价清单</w:t>
            </w:r>
          </w:p>
        </w:tc>
        <w:tc>
          <w:tcPr>
            <w:tcW w:type="dxa" w:w="3322"/>
          </w:tcPr>
          <w:p>
            <w:pPr>
              <w:pStyle w:val="null3"/>
            </w:pPr>
            <w:r>
              <w:rPr>
                <w:rFonts w:ascii="仿宋_GB2312" w:hAnsi="仿宋_GB2312" w:cs="仿宋_GB2312" w:eastAsia="仿宋_GB2312"/>
              </w:rPr>
              <w:t>应符合磋商文件给出的工程量清单范围和数量。</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一、评审内容：①总体施工部署与流程；②主要分部分项工程施工方案；③工程重点、难点分析及解决措施等；；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一、评审内容：①质量管理体系与制度；②主要工序质量技术保证措施等；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一、评审内容：①安全生产管理体系与制度；②施工现场安全技术措施等；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文明施工、环境保护措施、施工现场扬尘污染防治措施</w:t>
            </w:r>
          </w:p>
        </w:tc>
        <w:tc>
          <w:tcPr>
            <w:tcW w:type="dxa" w:w="2492"/>
          </w:tcPr>
          <w:p>
            <w:pPr>
              <w:pStyle w:val="null3"/>
            </w:pPr>
            <w:r>
              <w:rPr>
                <w:rFonts w:ascii="仿宋_GB2312" w:hAnsi="仿宋_GB2312" w:cs="仿宋_GB2312" w:eastAsia="仿宋_GB2312"/>
              </w:rPr>
              <w:t>一、评审内容：①文明施工与环保管理体系；②施工现场环保技术措施等；二、评审标准：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施工进度计划及保证措施</w:t>
            </w:r>
          </w:p>
        </w:tc>
        <w:tc>
          <w:tcPr>
            <w:tcW w:type="dxa" w:w="2492"/>
          </w:tcPr>
          <w:p>
            <w:pPr>
              <w:pStyle w:val="null3"/>
            </w:pPr>
            <w:r>
              <w:rPr>
                <w:rFonts w:ascii="仿宋_GB2312" w:hAnsi="仿宋_GB2312" w:cs="仿宋_GB2312" w:eastAsia="仿宋_GB2312"/>
              </w:rPr>
              <w:t>一、评审内容：①科学合理的施工进度计划（含横道图或网络图）；②各关键节点的控制措施；③劳动力及材料的投入与调配计划等；二、评审标准：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施工机械配备及布置</w:t>
            </w:r>
          </w:p>
        </w:tc>
        <w:tc>
          <w:tcPr>
            <w:tcW w:type="dxa" w:w="2492"/>
          </w:tcPr>
          <w:p>
            <w:pPr>
              <w:pStyle w:val="null3"/>
            </w:pPr>
            <w:r>
              <w:rPr>
                <w:rFonts w:ascii="仿宋_GB2312" w:hAnsi="仿宋_GB2312" w:cs="仿宋_GB2312" w:eastAsia="仿宋_GB2312"/>
              </w:rPr>
              <w:t>一、评审内容：①施工现场机械布置方案；②拟投入的主要施工机械设备表等；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一、评审内容：①项目管理组织机构设置；②主要管理人员配备（岗位设置、专业种类、能力及相关专业技术职称等）；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项目实施过程中周边关系协调方案和保证措施合理</w:t>
            </w:r>
          </w:p>
        </w:tc>
        <w:tc>
          <w:tcPr>
            <w:tcW w:type="dxa" w:w="2492"/>
          </w:tcPr>
          <w:p>
            <w:pPr>
              <w:pStyle w:val="null3"/>
            </w:pPr>
            <w:r>
              <w:rPr>
                <w:rFonts w:ascii="仿宋_GB2312" w:hAnsi="仿宋_GB2312" w:cs="仿宋_GB2312" w:eastAsia="仿宋_GB2312"/>
              </w:rPr>
              <w:t>一、评审内容：①周边关系协调的组织管理体系；②具体协调措施与保障机制等；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突发事件的应急措施和解决方案</w:t>
            </w:r>
          </w:p>
        </w:tc>
        <w:tc>
          <w:tcPr>
            <w:tcW w:type="dxa" w:w="2492"/>
          </w:tcPr>
          <w:p>
            <w:pPr>
              <w:pStyle w:val="null3"/>
            </w:pPr>
            <w:r>
              <w:rPr>
                <w:rFonts w:ascii="仿宋_GB2312" w:hAnsi="仿宋_GB2312" w:cs="仿宋_GB2312" w:eastAsia="仿宋_GB2312"/>
              </w:rPr>
              <w:t>一、评审内容：①应急管理体系与响应机制；②各类突发事件（如生产安全事故、消防火灾、自然灾害、公共卫生事件等）专项应急预案等；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2023年7月至今（时间以合同签订时间为准）承接过类似项目的业绩证明，每提供一个得2分，满分10分。（以合同复印件为准；弄虚作假者取消其成交资格）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4.磋商报价不完整的，不进入评标标准价的计算，本项得0分。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