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版本号：JXRC-260538.1B120260625001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角膜内皮显微镜等医疗设备采购项目(二次)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JXRC-260538.1B1</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角膜内皮显微镜等医疗设备采购项目(二次)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JXRC-260538.1B1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角膜内皮显微镜等医疗设备采购项目(二次)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此次购置角膜内皮显微镜3台，一台为视光中心为北郊视光中心建设项目新配置设备，一台为我院眼视光科新配置项目，一台为白内障中心增配项目。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会计师事务所出具的完整的2024年或2025年度审计报告（成立时间至提交投标文件截止时间不足一年的可提供成立后任意时段的资产负债表)，或开标前六个月内其基本开户银行出具的资信证明(附《基本存款账户信息》或《银行开户许可证》复印件)，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纳税证明：法人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投标人应提供相关文件证明。</w:t>
      </w:r>
    </w:p>
    <w:p>
      <w:pPr>
        <w:pStyle w:val="null3"/>
      </w:pPr>
      <w:r>
        <w:rPr>
          <w:rFonts w:ascii="仿宋_GB2312" w:hAnsi="仿宋_GB2312" w:cs="仿宋_GB2312" w:eastAsia="仿宋_GB2312"/>
        </w:rPr>
        <w:t>5、社保缴纳证明：提供自2025年12月1日以来至少一个月已缴纳的社会保障资金的证明（社会保障资金缴存单据或社保机构开具的社会保险参保缴费情况证明等)；依法不需要缴纳社会保障资金的投标人应提供相关证明文件。</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8、医疗器械经营许可证：经销商提供医疗器械经营许可证或备案证，生产企业提供医疗器械生产许可证。</w:t>
      </w:r>
    </w:p>
    <w:p>
      <w:pPr>
        <w:pStyle w:val="null3"/>
      </w:pPr>
      <w:r>
        <w:rPr>
          <w:rFonts w:ascii="仿宋_GB2312" w:hAnsi="仿宋_GB2312" w:cs="仿宋_GB2312" w:eastAsia="仿宋_GB2312"/>
        </w:rPr>
        <w:t>9、医疗器械注册证：医疗器械管理范围的产品需提供医疗器械注册证。</w:t>
      </w:r>
    </w:p>
    <w:p>
      <w:pPr>
        <w:pStyle w:val="null3"/>
      </w:pPr>
      <w:r>
        <w:rPr>
          <w:rFonts w:ascii="仿宋_GB2312" w:hAnsi="仿宋_GB2312" w:cs="仿宋_GB2312" w:eastAsia="仿宋_GB2312"/>
        </w:rPr>
        <w:t>10、本采购包允许进口产品投标：进口产品提供完整授权链，且授权范围需包含本次采购项目内容。</w:t>
      </w:r>
    </w:p>
    <w:p>
      <w:pPr>
        <w:pStyle w:val="null3"/>
      </w:pPr>
      <w:r>
        <w:rPr>
          <w:rFonts w:ascii="仿宋_GB2312" w:hAnsi="仿宋_GB2312" w:cs="仿宋_GB2312" w:eastAsia="仿宋_GB2312"/>
        </w:rPr>
        <w:t>11、不允许联合体投标：本项目不允许联合体投标，提供承诺函。</w:t>
      </w:r>
    </w:p>
    <w:p>
      <w:pPr>
        <w:pStyle w:val="null3"/>
      </w:pPr>
      <w:r>
        <w:rPr>
          <w:rFonts w:ascii="仿宋_GB2312" w:hAnsi="仿宋_GB2312" w:cs="仿宋_GB2312" w:eastAsia="仿宋_GB2312"/>
        </w:rPr>
        <w:t>12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在磋商当日响应文件递交截止时间后的相关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西安市人民医院（西安市第四医院）经办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他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西安市人民医院（西安市第四医院）眼视光科是一个集医疗、教学、科研为一体的专业诊治视光疾病的综合性科室，在儿童青少年近视防控、眼保健、视功能评估及视觉康复训练，以及成人视光相关疾病方面积累了丰富的临床经验。现拥有眼视光医生</w:t>
      </w:r>
      <w:r>
        <w:rPr>
          <w:rFonts w:ascii="仿宋_GB2312" w:hAnsi="仿宋_GB2312" w:cs="仿宋_GB2312" w:eastAsia="仿宋_GB2312"/>
          <w:sz w:val="24"/>
        </w:rPr>
        <w:t xml:space="preserve"> 17</w:t>
      </w:r>
      <w:r>
        <w:rPr>
          <w:rFonts w:ascii="仿宋_GB2312" w:hAnsi="仿宋_GB2312" w:cs="仿宋_GB2312" w:eastAsia="仿宋_GB2312"/>
          <w:sz w:val="24"/>
        </w:rPr>
        <w:t>名，中高级职称</w:t>
      </w:r>
      <w:r>
        <w:rPr>
          <w:rFonts w:ascii="仿宋_GB2312" w:hAnsi="仿宋_GB2312" w:cs="仿宋_GB2312" w:eastAsia="仿宋_GB2312"/>
          <w:sz w:val="24"/>
        </w:rPr>
        <w:t xml:space="preserve"> 9 </w:t>
      </w:r>
      <w:r>
        <w:rPr>
          <w:rFonts w:ascii="仿宋_GB2312" w:hAnsi="仿宋_GB2312" w:cs="仿宋_GB2312" w:eastAsia="仿宋_GB2312"/>
          <w:sz w:val="24"/>
        </w:rPr>
        <w:t>名，博士</w:t>
      </w:r>
      <w:r>
        <w:rPr>
          <w:rFonts w:ascii="仿宋_GB2312" w:hAnsi="仿宋_GB2312" w:cs="仿宋_GB2312" w:eastAsia="仿宋_GB2312"/>
          <w:sz w:val="24"/>
        </w:rPr>
        <w:t xml:space="preserve"> 2 </w:t>
      </w:r>
      <w:r>
        <w:rPr>
          <w:rFonts w:ascii="仿宋_GB2312" w:hAnsi="仿宋_GB2312" w:cs="仿宋_GB2312" w:eastAsia="仿宋_GB2312"/>
          <w:sz w:val="24"/>
        </w:rPr>
        <w:t>名，硕士</w:t>
      </w:r>
      <w:r>
        <w:rPr>
          <w:rFonts w:ascii="仿宋_GB2312" w:hAnsi="仿宋_GB2312" w:cs="仿宋_GB2312" w:eastAsia="仿宋_GB2312"/>
          <w:sz w:val="24"/>
        </w:rPr>
        <w:t xml:space="preserve"> 14 </w:t>
      </w:r>
      <w:r>
        <w:rPr>
          <w:rFonts w:ascii="仿宋_GB2312" w:hAnsi="仿宋_GB2312" w:cs="仿宋_GB2312" w:eastAsia="仿宋_GB2312"/>
          <w:sz w:val="24"/>
        </w:rPr>
        <w:t>名，高级验光师</w:t>
      </w:r>
      <w:r>
        <w:rPr>
          <w:rFonts w:ascii="仿宋_GB2312" w:hAnsi="仿宋_GB2312" w:cs="仿宋_GB2312" w:eastAsia="仿宋_GB2312"/>
          <w:sz w:val="24"/>
        </w:rPr>
        <w:t xml:space="preserve"> 20 </w:t>
      </w:r>
      <w:r>
        <w:rPr>
          <w:rFonts w:ascii="仿宋_GB2312" w:hAnsi="仿宋_GB2312" w:cs="仿宋_GB2312" w:eastAsia="仿宋_GB2312"/>
          <w:sz w:val="24"/>
        </w:rPr>
        <w:t>余名。开展的主要业务：儿童青少年近视防控、儿童眼保健、视功能评估及中枢视觉康复训练、斜弱视、各类屈光不正矫正、框架眼镜验配、角膜接触镜验配等。现为全国角膜塑形镜安全重点监测哨点单位、中国校园健康行动护眼亮眼工程公益护眼基地、全国眼视光联盟理事单位、西安医学院和川北医学院眼视专业临床实习基地，陕西省医师协会视光医师分会、陕西省妇促会与视觉健康委员会主委单位。</w:t>
      </w:r>
    </w:p>
    <w:p>
      <w:pPr>
        <w:pStyle w:val="null3"/>
        <w:ind w:firstLine="480"/>
      </w:pPr>
      <w:r>
        <w:rPr>
          <w:rFonts w:ascii="仿宋_GB2312" w:hAnsi="仿宋_GB2312" w:cs="仿宋_GB2312" w:eastAsia="仿宋_GB2312"/>
          <w:sz w:val="24"/>
        </w:rPr>
        <w:t>白内障人工晶体中心目前已发展成为集医疗、科研、教学、和预防为一体化的综合专业组，拥有一支技术过硬、服务优良的医护队伍。主任医师</w:t>
      </w:r>
      <w:r>
        <w:rPr>
          <w:rFonts w:ascii="仿宋_GB2312" w:hAnsi="仿宋_GB2312" w:cs="仿宋_GB2312" w:eastAsia="仿宋_GB2312"/>
          <w:sz w:val="24"/>
        </w:rPr>
        <w:t>6</w:t>
      </w:r>
      <w:r>
        <w:rPr>
          <w:rFonts w:ascii="仿宋_GB2312" w:hAnsi="仿宋_GB2312" w:cs="仿宋_GB2312" w:eastAsia="仿宋_GB2312"/>
          <w:sz w:val="24"/>
        </w:rPr>
        <w:t>人，副主任医师</w:t>
      </w:r>
      <w:r>
        <w:rPr>
          <w:rFonts w:ascii="仿宋_GB2312" w:hAnsi="仿宋_GB2312" w:cs="仿宋_GB2312" w:eastAsia="仿宋_GB2312"/>
          <w:sz w:val="24"/>
        </w:rPr>
        <w:t>8</w:t>
      </w:r>
      <w:r>
        <w:rPr>
          <w:rFonts w:ascii="仿宋_GB2312" w:hAnsi="仿宋_GB2312" w:cs="仿宋_GB2312" w:eastAsia="仿宋_GB2312"/>
          <w:sz w:val="24"/>
        </w:rPr>
        <w:t>人，主治医师</w:t>
      </w:r>
      <w:r>
        <w:rPr>
          <w:rFonts w:ascii="仿宋_GB2312" w:hAnsi="仿宋_GB2312" w:cs="仿宋_GB2312" w:eastAsia="仿宋_GB2312"/>
          <w:sz w:val="24"/>
        </w:rPr>
        <w:t>2</w:t>
      </w:r>
      <w:r>
        <w:rPr>
          <w:rFonts w:ascii="仿宋_GB2312" w:hAnsi="仿宋_GB2312" w:cs="仿宋_GB2312" w:eastAsia="仿宋_GB2312"/>
          <w:sz w:val="24"/>
        </w:rPr>
        <w:t>人，住院医师</w:t>
      </w:r>
      <w:r>
        <w:rPr>
          <w:rFonts w:ascii="仿宋_GB2312" w:hAnsi="仿宋_GB2312" w:cs="仿宋_GB2312" w:eastAsia="仿宋_GB2312"/>
          <w:sz w:val="24"/>
        </w:rPr>
        <w:t>5</w:t>
      </w:r>
      <w:r>
        <w:rPr>
          <w:rFonts w:ascii="仿宋_GB2312" w:hAnsi="仿宋_GB2312" w:cs="仿宋_GB2312" w:eastAsia="仿宋_GB2312"/>
          <w:sz w:val="24"/>
        </w:rPr>
        <w:t>人。其中博士学位</w:t>
      </w:r>
      <w:r>
        <w:rPr>
          <w:rFonts w:ascii="仿宋_GB2312" w:hAnsi="仿宋_GB2312" w:cs="仿宋_GB2312" w:eastAsia="仿宋_GB2312"/>
          <w:sz w:val="24"/>
        </w:rPr>
        <w:t>3</w:t>
      </w:r>
      <w:r>
        <w:rPr>
          <w:rFonts w:ascii="仿宋_GB2312" w:hAnsi="仿宋_GB2312" w:cs="仿宋_GB2312" w:eastAsia="仿宋_GB2312"/>
          <w:sz w:val="24"/>
        </w:rPr>
        <w:t>人，在读博士</w:t>
      </w:r>
      <w:r>
        <w:rPr>
          <w:rFonts w:ascii="仿宋_GB2312" w:hAnsi="仿宋_GB2312" w:cs="仿宋_GB2312" w:eastAsia="仿宋_GB2312"/>
          <w:sz w:val="24"/>
        </w:rPr>
        <w:t>2</w:t>
      </w:r>
      <w:r>
        <w:rPr>
          <w:rFonts w:ascii="仿宋_GB2312" w:hAnsi="仿宋_GB2312" w:cs="仿宋_GB2312" w:eastAsia="仿宋_GB2312"/>
          <w:sz w:val="24"/>
        </w:rPr>
        <w:t>人，硕士学位</w:t>
      </w:r>
      <w:r>
        <w:rPr>
          <w:rFonts w:ascii="仿宋_GB2312" w:hAnsi="仿宋_GB2312" w:cs="仿宋_GB2312" w:eastAsia="仿宋_GB2312"/>
          <w:sz w:val="24"/>
        </w:rPr>
        <w:t>11</w:t>
      </w:r>
      <w:r>
        <w:rPr>
          <w:rFonts w:ascii="仿宋_GB2312" w:hAnsi="仿宋_GB2312" w:cs="仿宋_GB2312" w:eastAsia="仿宋_GB2312"/>
          <w:sz w:val="24"/>
        </w:rPr>
        <w:t>人，护理人员</w:t>
      </w:r>
      <w:r>
        <w:rPr>
          <w:rFonts w:ascii="仿宋_GB2312" w:hAnsi="仿宋_GB2312" w:cs="仿宋_GB2312" w:eastAsia="仿宋_GB2312"/>
          <w:sz w:val="24"/>
        </w:rPr>
        <w:t>12</w:t>
      </w:r>
      <w:r>
        <w:rPr>
          <w:rFonts w:ascii="仿宋_GB2312" w:hAnsi="仿宋_GB2312" w:cs="仿宋_GB2312" w:eastAsia="仿宋_GB2312"/>
          <w:sz w:val="24"/>
        </w:rPr>
        <w:t>人，年手术量约一万余例。</w:t>
      </w:r>
    </w:p>
    <w:p>
      <w:pPr>
        <w:pStyle w:val="null3"/>
        <w:ind w:firstLine="480"/>
      </w:pPr>
      <w:r>
        <w:rPr>
          <w:rFonts w:ascii="仿宋_GB2312" w:hAnsi="仿宋_GB2312" w:cs="仿宋_GB2312" w:eastAsia="仿宋_GB2312"/>
          <w:sz w:val="24"/>
        </w:rPr>
        <w:t>医院现有角膜内皮显微镜共计</w:t>
      </w:r>
      <w:r>
        <w:rPr>
          <w:rFonts w:ascii="仿宋_GB2312" w:hAnsi="仿宋_GB2312" w:cs="仿宋_GB2312" w:eastAsia="仿宋_GB2312"/>
          <w:sz w:val="24"/>
        </w:rPr>
        <w:t>4</w:t>
      </w:r>
      <w:r>
        <w:rPr>
          <w:rFonts w:ascii="仿宋_GB2312" w:hAnsi="仿宋_GB2312" w:cs="仿宋_GB2312" w:eastAsia="仿宋_GB2312"/>
          <w:sz w:val="24"/>
        </w:rPr>
        <w:t>台，均为进口设备，分别存放于第十五诊区</w:t>
      </w:r>
      <w:r>
        <w:rPr>
          <w:rFonts w:ascii="仿宋_GB2312" w:hAnsi="仿宋_GB2312" w:cs="仿宋_GB2312" w:eastAsia="仿宋_GB2312"/>
          <w:sz w:val="24"/>
        </w:rPr>
        <w:t>(</w:t>
      </w:r>
      <w:r>
        <w:rPr>
          <w:rFonts w:ascii="仿宋_GB2312" w:hAnsi="仿宋_GB2312" w:cs="仿宋_GB2312" w:eastAsia="仿宋_GB2312"/>
          <w:sz w:val="24"/>
        </w:rPr>
        <w:t>大差市</w:t>
      </w:r>
      <w:r>
        <w:rPr>
          <w:rFonts w:ascii="仿宋_GB2312" w:hAnsi="仿宋_GB2312" w:cs="仿宋_GB2312" w:eastAsia="仿宋_GB2312"/>
          <w:sz w:val="24"/>
        </w:rPr>
        <w:t>)</w:t>
      </w:r>
      <w:r>
        <w:rPr>
          <w:rFonts w:ascii="仿宋_GB2312" w:hAnsi="仿宋_GB2312" w:cs="仿宋_GB2312" w:eastAsia="仿宋_GB2312"/>
          <w:sz w:val="24"/>
        </w:rPr>
        <w:t>为眼屈光中心，第十五诊区</w:t>
      </w:r>
      <w:r>
        <w:rPr>
          <w:rFonts w:ascii="仿宋_GB2312" w:hAnsi="仿宋_GB2312" w:cs="仿宋_GB2312" w:eastAsia="仿宋_GB2312"/>
          <w:sz w:val="24"/>
        </w:rPr>
        <w:t>(H)</w:t>
      </w:r>
      <w:r>
        <w:rPr>
          <w:rFonts w:ascii="仿宋_GB2312" w:hAnsi="仿宋_GB2312" w:cs="仿宋_GB2312" w:eastAsia="仿宋_GB2312"/>
          <w:sz w:val="24"/>
        </w:rPr>
        <w:t>为眼科医院，第八诊区</w:t>
      </w:r>
      <w:r>
        <w:rPr>
          <w:rFonts w:ascii="仿宋_GB2312" w:hAnsi="仿宋_GB2312" w:cs="仿宋_GB2312" w:eastAsia="仿宋_GB2312"/>
          <w:sz w:val="24"/>
        </w:rPr>
        <w:t>(</w:t>
      </w:r>
      <w:r>
        <w:rPr>
          <w:rFonts w:ascii="仿宋_GB2312" w:hAnsi="仿宋_GB2312" w:cs="仿宋_GB2312" w:eastAsia="仿宋_GB2312"/>
          <w:sz w:val="24"/>
        </w:rPr>
        <w:t>大差市</w:t>
      </w:r>
      <w:r>
        <w:rPr>
          <w:rFonts w:ascii="仿宋_GB2312" w:hAnsi="仿宋_GB2312" w:cs="仿宋_GB2312" w:eastAsia="仿宋_GB2312"/>
          <w:sz w:val="24"/>
        </w:rPr>
        <w:t>)</w:t>
      </w:r>
      <w:r>
        <w:rPr>
          <w:rFonts w:ascii="仿宋_GB2312" w:hAnsi="仿宋_GB2312" w:cs="仿宋_GB2312" w:eastAsia="仿宋_GB2312"/>
          <w:sz w:val="24"/>
        </w:rPr>
        <w:t>白内障中心，第四诊区</w:t>
      </w:r>
      <w:r>
        <w:rPr>
          <w:rFonts w:ascii="仿宋_GB2312" w:hAnsi="仿宋_GB2312" w:cs="仿宋_GB2312" w:eastAsia="仿宋_GB2312"/>
          <w:sz w:val="24"/>
        </w:rPr>
        <w:t>(</w:t>
      </w:r>
      <w:r>
        <w:rPr>
          <w:rFonts w:ascii="仿宋_GB2312" w:hAnsi="仿宋_GB2312" w:cs="仿宋_GB2312" w:eastAsia="仿宋_GB2312"/>
          <w:sz w:val="24"/>
        </w:rPr>
        <w:t>大差市</w:t>
      </w:r>
      <w:r>
        <w:rPr>
          <w:rFonts w:ascii="仿宋_GB2312" w:hAnsi="仿宋_GB2312" w:cs="仿宋_GB2312" w:eastAsia="仿宋_GB2312"/>
          <w:sz w:val="24"/>
        </w:rPr>
        <w:t>)</w:t>
      </w:r>
      <w:r>
        <w:rPr>
          <w:rFonts w:ascii="仿宋_GB2312" w:hAnsi="仿宋_GB2312" w:cs="仿宋_GB2312" w:eastAsia="仿宋_GB2312"/>
          <w:sz w:val="24"/>
        </w:rPr>
        <w:t>日间平台，该设备用于对患者角膜内皮细胞进行显微放大，尤其是在进行白内障手术或近视激光手术前评估角膜情况，降低手术风险。</w:t>
      </w:r>
    </w:p>
    <w:p>
      <w:pPr>
        <w:pStyle w:val="null3"/>
        <w:ind w:firstLine="480"/>
      </w:pPr>
      <w:r>
        <w:rPr>
          <w:rFonts w:ascii="仿宋_GB2312" w:hAnsi="仿宋_GB2312" w:cs="仿宋_GB2312" w:eastAsia="仿宋_GB2312"/>
          <w:sz w:val="24"/>
        </w:rPr>
        <w:t>我院此次购置角膜内皮显微镜</w:t>
      </w:r>
      <w:r>
        <w:rPr>
          <w:rFonts w:ascii="仿宋_GB2312" w:hAnsi="仿宋_GB2312" w:cs="仿宋_GB2312" w:eastAsia="仿宋_GB2312"/>
          <w:sz w:val="24"/>
        </w:rPr>
        <w:t>3</w:t>
      </w:r>
      <w:r>
        <w:rPr>
          <w:rFonts w:ascii="仿宋_GB2312" w:hAnsi="仿宋_GB2312" w:cs="仿宋_GB2312" w:eastAsia="仿宋_GB2312"/>
          <w:sz w:val="24"/>
        </w:rPr>
        <w:t>台，一台为视光中心为北郊视光中心建设项目新配置设备，一台为我院眼视光科新配置项目，一台为白内障中心增配项目。</w:t>
      </w:r>
    </w:p>
    <w:tbl>
      <w:tblPr>
        <w:tblW w:w="0" w:type="auto"/>
        <w:tblBorders>
          <w:top w:val="none" w:color="000000" w:sz="4"/>
          <w:left w:val="none" w:color="000000" w:sz="4"/>
          <w:bottom w:val="none" w:color="000000" w:sz="4"/>
          <w:right w:val="none" w:color="000000" w:sz="4"/>
          <w:insideH w:val="none"/>
          <w:insideV w:val="none"/>
        </w:tblBorders>
      </w:tblPr>
      <w:tblGrid>
        <w:gridCol w:w="593"/>
        <w:gridCol w:w="1695"/>
        <w:gridCol w:w="1780"/>
        <w:gridCol w:w="1187"/>
        <w:gridCol w:w="1356"/>
        <w:gridCol w:w="1695"/>
      </w:tblGrid>
      <w:tr>
        <w:tc>
          <w:tcPr>
            <w:tcW w:type="dxa" w:w="5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品目</w:t>
            </w:r>
          </w:p>
        </w:tc>
        <w:tc>
          <w:tcPr>
            <w:tcW w:type="dxa" w:w="169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分项名称</w:t>
            </w:r>
          </w:p>
        </w:tc>
        <w:tc>
          <w:tcPr>
            <w:tcW w:type="dxa" w:w="178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进口</w:t>
            </w:r>
            <w:r>
              <w:rPr>
                <w:rFonts w:ascii="仿宋_GB2312" w:hAnsi="仿宋_GB2312" w:cs="仿宋_GB2312" w:eastAsia="仿宋_GB2312"/>
                <w:sz w:val="24"/>
                <w:color w:val="000000"/>
              </w:rPr>
              <w:t>/</w:t>
            </w:r>
            <w:r>
              <w:rPr>
                <w:rFonts w:ascii="仿宋_GB2312" w:hAnsi="仿宋_GB2312" w:cs="仿宋_GB2312" w:eastAsia="仿宋_GB2312"/>
                <w:sz w:val="24"/>
                <w:color w:val="000000"/>
              </w:rPr>
              <w:t>国产</w:t>
            </w:r>
          </w:p>
        </w:tc>
        <w:tc>
          <w:tcPr>
            <w:tcW w:type="dxa" w:w="118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采购数量（套）</w:t>
            </w:r>
          </w:p>
        </w:tc>
        <w:tc>
          <w:tcPr>
            <w:tcW w:type="dxa" w:w="135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单套预算</w:t>
            </w:r>
          </w:p>
          <w:p>
            <w:pPr>
              <w:pStyle w:val="null3"/>
              <w:jc w:val="center"/>
            </w:pPr>
            <w:r>
              <w:rPr>
                <w:rFonts w:ascii="仿宋_GB2312" w:hAnsi="仿宋_GB2312" w:cs="仿宋_GB2312" w:eastAsia="仿宋_GB2312"/>
                <w:sz w:val="24"/>
                <w:color w:val="000000"/>
              </w:rPr>
              <w:t>（万元）</w:t>
            </w:r>
          </w:p>
        </w:tc>
        <w:tc>
          <w:tcPr>
            <w:tcW w:type="dxa" w:w="169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单套限价</w:t>
            </w:r>
          </w:p>
          <w:p>
            <w:pPr>
              <w:pStyle w:val="null3"/>
              <w:jc w:val="center"/>
            </w:pPr>
            <w:r>
              <w:rPr>
                <w:rFonts w:ascii="仿宋_GB2312" w:hAnsi="仿宋_GB2312" w:cs="仿宋_GB2312" w:eastAsia="仿宋_GB2312"/>
                <w:sz w:val="24"/>
                <w:color w:val="000000"/>
              </w:rPr>
              <w:t>（万元）</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角膜内皮显微镜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已完成进口审批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角膜内皮显微镜等医疗设备采购项目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标的名称：角膜内皮显微镜等医疗设备采购项目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一、品目1：角膜内皮显微镜（进口）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品目名称后标注“进口”指该品目接受进口产品。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1、用于对患者角膜内皮细胞进行显微放大。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2、拍摄方式：非接触。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3、拍摄模式：全自动/半自动。</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4、放大倍数≥190x。</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、拍摄视野≥0.25mm×0.50mm。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6</w:t>
            </w:r>
            <w:r>
              <w:rPr>
                <w:rFonts w:ascii="仿宋_GB2312" w:hAnsi="仿宋_GB2312" w:cs="仿宋_GB2312" w:eastAsia="仿宋_GB2312"/>
                <w:sz w:val="24"/>
              </w:rPr>
              <w:t>、角膜厚度测量范围400～750μm。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7、拍摄点≥15个。</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8、测量时间≤3s。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9、内置LED光源。</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10、液晶触摸屏≥8英寸。</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11、具有暗区分析功能。</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12、可显示原始角膜内皮细胞图像、有轮廓标注的角膜内皮细胞图像、不同面积大小的内皮细胞图像、不同结构形状的内皮细胞图像。</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rPr>
              <w:t>13</w:t>
            </w:r>
            <w:r>
              <w:rPr>
                <w:rFonts w:ascii="仿宋_GB2312" w:hAnsi="仿宋_GB2312" w:cs="仿宋_GB2312" w:eastAsia="仿宋_GB2312"/>
                <w:sz w:val="24"/>
              </w:rPr>
              <w:t>、检查结果可显示在同一界面。</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rPr>
              <w:t>14</w:t>
            </w:r>
            <w:r>
              <w:rPr>
                <w:rFonts w:ascii="仿宋_GB2312" w:hAnsi="仿宋_GB2312" w:cs="仿宋_GB2312" w:eastAsia="仿宋_GB2312"/>
                <w:sz w:val="24"/>
              </w:rPr>
              <w:t>、具有检查数据对比功能。</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rPr>
              <w:t>15</w:t>
            </w:r>
            <w:r>
              <w:rPr>
                <w:rFonts w:ascii="仿宋_GB2312" w:hAnsi="仿宋_GB2312" w:cs="仿宋_GB2312" w:eastAsia="仿宋_GB2312"/>
                <w:sz w:val="24"/>
              </w:rPr>
              <w:t>、分析数据至少包含：NUM(细胞数量)、CD(细胞密度)、AVG(细胞平均面积)、MAX(最大细胞面积)、MIN(最小细胞面积)、SD(细胞标准偏差)、CV(细胞面积变化系数)等。</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16、储存患者数据≥10000份。</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（二）单台配置要求: 角膜内皮显微镜（含升降台车、打印机）1套</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二、接口及数据要求</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 xml:space="preserve">1. </w:t>
            </w:r>
            <w:r>
              <w:rPr>
                <w:rFonts w:ascii="仿宋_GB2312" w:hAnsi="仿宋_GB2312" w:cs="仿宋_GB2312" w:eastAsia="仿宋_GB2312"/>
                <w:sz w:val="24"/>
              </w:rPr>
              <w:t>负责系统升级，可与我院HIS、LIS、眼科PACS、病理系统等信息系统及集成平台对接，所接系统软件工作站、双向接口、配件等由此产生的所有费用（含高清采集卡、采集盒、视频线、脚踏、手控、交换机等）均包含在报价中。</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具有时间同步功能。</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工作站为中文操作系统，连接设备后有可用网口。</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设备具有串口、USB、网口、DICOM任一通讯端口。如通信接口特殊，不在上述范围内，需提供转换为以上4类接口的相应转换头。</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4"/>
              </w:rPr>
              <w:t>成交供应商</w:t>
            </w:r>
            <w:r>
              <w:rPr>
                <w:rFonts w:ascii="仿宋_GB2312" w:hAnsi="仿宋_GB2312" w:cs="仿宋_GB2312" w:eastAsia="仿宋_GB2312"/>
                <w:sz w:val="24"/>
              </w:rPr>
              <w:t>需完成首次计量器具的检定或校准工作，按照设备安装场地现场情况，完成场地准备，达到设备正常安装使用要求，提供满足诊疗需求并符合国家对消毒、控感、卫生的要求，其中所产生的所有人工、材料、运输、安装施工、配套设备、设备性能检测等费用均由成交供应商承担。</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保修期为伍年（从验收合格之日起开始计算）,提供设备维护、软件升级的技术支持和指导，配合医院完成设备维修、保养、相关工作。保修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操作人员的技术培训时间不得少于一周，提供培训计划。</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提供生产厂家（进口产品提供国内总代理商的）出具的≥5年的质保声明或质保承诺书。</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提供近五年内用户名单和相关联系方式。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合同签订后自甲方通知90日内完成全部项目内容，并交付采购人验收合格。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所有货物到达甲方指定地点，安装、调试完毕、提供国家或行业标准的合格验收证明以及出具所有设备生产厂家提供的伍年质量保证书等，乙方完成自检合格后，提交甲方进行第一次验收，甲方自第一次验收合格且收到发票之日，达到付款条件起10日内，支付验收合格产品对应金额总价95%。因系统录入限制，支付时间以“10日内”为准，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第一次验收合格满60个月后，进行二次验收，验收合格后达到付款条件起10日内，支付合同总金额的5%。因系统录入限制，支付时间以“10日内”为准，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他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1、合同其他条款： 乙方义务：按照合同约定时间，按甲方指定地点提供货物并确保货物质量，配合验收工作，并负责安装、调试、提供现场技术培训，保证使用人员正常操作设备的各种功能，提供双向免费接口服务；乙方确保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 乙方保证货物后期可与甲方各类信息化网络系统双向接口免费对接，即供应商应负责与甲方及甲方信息化网络系统供应商的接口均完成对接，过程中所产生的费用由乙方承担。 2、履约验收时间： 供应商提出验收申请之日起七日内组织验收。 3、技术履约验收内容： （1）定期派技术人员到现场走访，给予检查维护，一年不少于2次。 （2）供应商应终身免费提供维护手册、维修手册、软件备份、故障代码表、备件清单、零部件、维修密码等维护维修必须的材料和信息。 4、商务履约验收内容： （1）按照合同约定时间，按院方指定地点提供货物，配合验收工作，并负责安装、调试、提供现场技术培训，保证使用人员正常操作设备的各种功能。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5、履约验收标准： （1）按照合同约定时间，按院方指定地点提供货物，配合验收工作，并负责安装、调试、提供现场技术培训，保证使用人员正常操作设备的各种功能。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（4）供应商应终身免费提供维护手册、维修手册、软件备份、故障代码表、备件清单、零部件、维修密码等维护维修必需的材料和信息。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或2025年度审计报告（成立时间至提交投标文件截止时间不足一年的可提供成立后任意时段的资产负债表)，或开标前六个月内其基本开户银行出具的资信证明(附《基本存款账户信息》或《银行开户许可证》复印件)，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提供自2025年12月1日以来至少一个月已缴纳的社会保障资金的证明（社会保障资金缴存单据或社保机构开具的社会保险参保缴费情况证明等)；依法不需要缴纳社会保障资金的投标人应提供相关证明文件。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医疗器械经营许可证</w:t>
            </w:r>
          </w:p>
        </w:tc>
        <w:tc>
          <w:tcPr>
            <w:tcW w:type="dxa" w:w="3322"/>
          </w:tcPr>
          <w:p>
            <w:pPr>
              <w:pStyle w:val="null3"/>
            </w:pPr>
            <w:r>
              <w:rPr>
                <w:rFonts w:ascii="仿宋_GB2312" w:hAnsi="仿宋_GB2312" w:cs="仿宋_GB2312" w:eastAsia="仿宋_GB2312"/>
              </w:rPr>
              <w:t>经销商提供医疗器械经营许可证或备案证，生产企业提供医疗器械生产许可证。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医疗器械管理范围的产品需提供医疗器械注册证。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本采购包允许进口产品投标</w:t>
            </w:r>
          </w:p>
        </w:tc>
        <w:tc>
          <w:tcPr>
            <w:tcW w:type="dxa" w:w="3322"/>
          </w:tcPr>
          <w:p>
            <w:pPr>
              <w:pStyle w:val="null3"/>
            </w:pPr>
            <w:r>
              <w:rPr>
                <w:rFonts w:ascii="仿宋_GB2312" w:hAnsi="仿宋_GB2312" w:cs="仿宋_GB2312" w:eastAsia="仿宋_GB2312"/>
              </w:rPr>
              <w:t>进口产品提供完整授权链，且授权范围需包含本次采购项目内容。</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本项目不允许联合体投标，提供承诺函。</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在磋商当日响应文件递交截止时间后的相关网站查询结果为准。</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投标方案 分项报价表 技术响应偏离表 本国产品说明 中小企业声明函 中国境内生产的组件成本核算基本规则 供应商业绩 响应文件封面 其他材料 残疾人福利性单位声明函 供应商基本信息 供应商企业关联关系声明函 标的清单 关于符合本国产品标准的声明函 合同响应偏离表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法定代表人授权代表参加投标的，须提供被授权人2025年12月1日起任意1个月的社保缴纳证明材料。</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投标人必须满足招标文件的实质性要求。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法律、法规规定的其他情形</w:t>
            </w:r>
          </w:p>
        </w:tc>
        <w:tc>
          <w:tcPr>
            <w:tcW w:type="dxa" w:w="3322"/>
          </w:tcPr>
          <w:p>
            <w:pPr>
              <w:pStyle w:val="null3"/>
            </w:pPr>
            <w:r>
              <w:rPr>
                <w:rFonts w:ascii="仿宋_GB2312" w:hAnsi="仿宋_GB2312" w:cs="仿宋_GB2312" w:eastAsia="仿宋_GB2312"/>
              </w:rPr>
              <w:t>供应商须符合法律、法规规定的其他情形。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供应商须提供承诺书（格式见响应文件格式附件）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投标产品的技术指标满足或高于招标文件要求的，得满分24分。 “★”号技术指标（共3项）有一项不满足即视为无效响应； 非“★”号技术指标（共24项），每不满足一项扣1分。 注：对带“★”的技术参数必须在响应文件中提供技术支持资料（包括但不限于彩色样本或说明书或技术白皮书或图纸或权威机构出具的检验报告等，其中28、30须提供承诺书），并在技术响应偏离表中标注对应页码及位置，未提供或所提供材料无法有效证明的将视为不满足本参数要求。 对非“★”的技术参数供应商在响应文件中应尽可能多地提供技术支持资料予以证明其技术指标响应性（包括但不限于彩色样本或产品说明书或技术白皮书或检验报告等），并在技术响应偏离表中标注对应页码及位置。</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商务及合同响应</w:t>
            </w:r>
          </w:p>
        </w:tc>
        <w:tc>
          <w:tcPr>
            <w:tcW w:type="dxa" w:w="2492"/>
          </w:tcPr>
          <w:p>
            <w:pPr>
              <w:pStyle w:val="null3"/>
            </w:pPr>
            <w:r>
              <w:rPr>
                <w:rFonts w:ascii="仿宋_GB2312" w:hAnsi="仿宋_GB2312" w:cs="仿宋_GB2312" w:eastAsia="仿宋_GB2312"/>
              </w:rPr>
              <w:t>供应商针对“第三章3.4及3.5”以及“第八章拟签订的采购合同文本”进行响应，全部满足得3分，负偏离此项得0分。注：供应商应在商务响应偏离表和合同响应偏离表中进行响应，未响应的将视为不满足本参数要求。</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p>
            <w:pPr>
              <w:pStyle w:val="null3"/>
            </w:pPr>
            <w:r>
              <w:rPr>
                <w:rFonts w:ascii="仿宋_GB2312" w:hAnsi="仿宋_GB2312" w:cs="仿宋_GB2312" w:eastAsia="仿宋_GB2312"/>
              </w:rPr>
              <w:t>合同响应偏离表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9分；设备选型方案思路清晰、科学合理、可行性较强、满足采购人需求得7分；设备选型方案合理完善、可行性较强、基本满足采购人需求得5分；设备选型方案有缺漏项、可行性一般得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保供方案（须细化到接到采购人通知后具体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供应商针对本项目提供质量保证承诺方案。内容包含：①符合国家相关质量标准、通过国家法定检验注册，产品性能稳定；②在产品使用、技术保障方面的承诺和保证措施。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三、赋分依据（满分6分） 上述2项评审内容全部满足评审标准得6分；每有一个评审内容缺项扣3分；每有一项评审内容存在缺陷，扣（0-3）分。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供应商针对本项目提供完整的培训方案。内容包含：①负责为使用单位培训操作维护人员；②培训及现场服务方案。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提供2023年5月1日至响应文件递交截止时间所投产品市场销售业绩（以合同签订日期为准），每提供1份有效业绩得1分，满分5分； 注：响应文件中须提供完整有效的合同复印件；复印件加盖供应商公章，原件备查。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