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版本号：HJLHZ--2026--008.1.2B220260512001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宁强县分散供养特困人员第三方照料护理服务采购(三次)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HJLHZ--2026--008.1.2B2</w:t>
      </w:r>
      <w:r>
        <w:br/>
      </w:r>
      <w:r>
        <w:br/>
      </w:r>
      <w:r>
        <w:br/>
      </w:r>
    </w:p>
    <w:p>
      <w:pPr>
        <w:pStyle w:val="null3"/>
        <w:jc w:val="center"/>
        <w:outlineLvl w:val="2"/>
      </w:pPr>
      <w:r>
        <w:rPr>
          <w:rFonts w:ascii="仿宋_GB2312" w:hAnsi="仿宋_GB2312" w:cs="仿宋_GB2312" w:eastAsia="仿宋_GB2312"/>
          <w:sz w:val="28"/>
          <w:b/>
        </w:rPr>
        <w:t>宁强县民政局</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宁强县民政局</w:t>
      </w:r>
      <w:r>
        <w:rPr>
          <w:rFonts w:ascii="仿宋_GB2312" w:hAnsi="仿宋_GB2312" w:cs="仿宋_GB2312" w:eastAsia="仿宋_GB2312"/>
        </w:rPr>
        <w:t>委托，拟对</w:t>
      </w:r>
      <w:r>
        <w:rPr>
          <w:rFonts w:ascii="仿宋_GB2312" w:hAnsi="仿宋_GB2312" w:cs="仿宋_GB2312" w:eastAsia="仿宋_GB2312"/>
        </w:rPr>
        <w:t>宁强县分散供养特困人员第三方照料护理服务采购(三次)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HJLHZ--2026--008.1.2B2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宁强县分散供养特困人员第三方照料护理服务采购(三次)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宁强县民政局决定对分散供养对象购买第三方照料护理服务，其中五丁关以南（汉源街道、高寨子街道、胡家坝镇、铁锁关镇、舒家坝镇、巴山镇、毛坝河镇、禅家岩 镇、二郎坝镇）拟定396人；五丁关以北（大安镇、阳平关镇、代家坝镇、燕子砭镇、安乐河镇、广坪镇、青木川镇、巨亭镇、太阳岭镇）拟定416人。最终付款以实际服务对象数量核算后进行拨付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采购包1（五丁关以南）：属于专门面向中小企业采购。</w:t>
      </w:r>
    </w:p>
    <w:p>
      <w:pPr>
        <w:pStyle w:val="null3"/>
      </w:pPr>
      <w:r>
        <w:rPr>
          <w:rFonts w:ascii="仿宋_GB2312" w:hAnsi="仿宋_GB2312" w:cs="仿宋_GB2312" w:eastAsia="仿宋_GB2312"/>
        </w:rPr>
        <w:t>采购包2（五丁关以北）：属于专门面向中小企业采购。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1、供应商：供应商具有独立承担民事责任的能力，提供营业执照、税务登记证、组织机构代码证或登载有统一社会信用代码的营业执照。</w:t>
      </w:r>
    </w:p>
    <w:p>
      <w:pPr>
        <w:pStyle w:val="null3"/>
      </w:pPr>
      <w:r>
        <w:rPr>
          <w:rFonts w:ascii="仿宋_GB2312" w:hAnsi="仿宋_GB2312" w:cs="仿宋_GB2312" w:eastAsia="仿宋_GB2312"/>
        </w:rPr>
        <w:t>2、法定代表人：法定代表人须提供身份证及法定代表人证明书</w:t>
      </w:r>
    </w:p>
    <w:p>
      <w:pPr>
        <w:pStyle w:val="null3"/>
      </w:pPr>
      <w:r>
        <w:rPr>
          <w:rFonts w:ascii="仿宋_GB2312" w:hAnsi="仿宋_GB2312" w:cs="仿宋_GB2312" w:eastAsia="仿宋_GB2312"/>
        </w:rPr>
        <w:t>3、资格承诺函：提供《汉中市政府采购供应商资格承诺函》</w:t>
      </w:r>
    </w:p>
    <w:p>
      <w:pPr>
        <w:pStyle w:val="null3"/>
      </w:pPr>
      <w:r>
        <w:rPr>
          <w:rFonts w:ascii="仿宋_GB2312" w:hAnsi="仿宋_GB2312" w:cs="仿宋_GB2312" w:eastAsia="仿宋_GB2312"/>
        </w:rPr>
        <w:t>4、《中小企业声明函》：本项目专门面向中小企业，投标企业须提供《中小企业声明函》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1、供应商：供应商具有独立承担民事责任的能力，提供营业执照、税务登记证、组织机构代码证或登载有统一社会信用代码的营业执照。</w:t>
      </w:r>
    </w:p>
    <w:p>
      <w:pPr>
        <w:pStyle w:val="null3"/>
      </w:pPr>
      <w:r>
        <w:rPr>
          <w:rFonts w:ascii="仿宋_GB2312" w:hAnsi="仿宋_GB2312" w:cs="仿宋_GB2312" w:eastAsia="仿宋_GB2312"/>
        </w:rPr>
        <w:t>2、法定代表人：法定代表人须提供身份证及法定代表人证明书</w:t>
      </w:r>
    </w:p>
    <w:p>
      <w:pPr>
        <w:pStyle w:val="null3"/>
      </w:pPr>
      <w:r>
        <w:rPr>
          <w:rFonts w:ascii="仿宋_GB2312" w:hAnsi="仿宋_GB2312" w:cs="仿宋_GB2312" w:eastAsia="仿宋_GB2312"/>
        </w:rPr>
        <w:t>3、资格承诺函：提供《汉中市政府采购供应商资格承诺函》</w:t>
      </w:r>
    </w:p>
    <w:p>
      <w:pPr>
        <w:pStyle w:val="null3"/>
      </w:pPr>
      <w:r>
        <w:rPr>
          <w:rFonts w:ascii="仿宋_GB2312" w:hAnsi="仿宋_GB2312" w:cs="仿宋_GB2312" w:eastAsia="仿宋_GB2312"/>
        </w:rPr>
        <w:t>4、《中小企业声明函》：本项目专门面向中小企业，投标企业须提供《中小企业声明函》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宁强县汉源街道办七星池九亩地</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宁强县民政局经办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18909166877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陕西省汉中市汉台区七里街道办事处盛世国际商业广场 2 号写字楼 1105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0916--2222662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p>
          <w:p>
            <w:pPr>
              <w:pStyle w:val="null3"/>
            </w:pPr>
            <w:r>
              <w:rPr>
                <w:rFonts w:ascii="仿宋_GB2312" w:hAnsi="仿宋_GB2312" w:cs="仿宋_GB2312" w:eastAsia="仿宋_GB2312"/>
              </w:rPr>
              <w:t>采购包2：720,000.00元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开户名称：华建联项目管理有限公司汉中分公司</w:t>
            </w:r>
          </w:p>
          <w:p>
            <w:pPr>
              <w:pStyle w:val="null3"/>
            </w:pPr>
            <w:r>
              <w:rPr>
                <w:rFonts w:ascii="仿宋_GB2312" w:hAnsi="仿宋_GB2312" w:cs="仿宋_GB2312" w:eastAsia="仿宋_GB2312"/>
              </w:rPr>
              <w:t>开户银行：中国农业银行汉中市汉台区支行营业部</w:t>
            </w:r>
          </w:p>
          <w:p>
            <w:pPr>
              <w:pStyle w:val="null3"/>
            </w:pPr>
            <w:r>
              <w:rPr>
                <w:rFonts w:ascii="仿宋_GB2312" w:hAnsi="仿宋_GB2312" w:cs="仿宋_GB2312" w:eastAsia="仿宋_GB2312"/>
              </w:rPr>
              <w:t>银行账号：26605401040004078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中标服务费，交费金额参照国家计委颁布的《招标代理服务收费管理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宁强县民政局</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为分散供养特困人员购买上门照料护理服务，服务项目为院落保洁、室内保洁、擦玻璃、衣物清洗、床上用品清洗与床铺整理、门窗、窗帘清洗、理发、个人卫生清 洁，根据现场情况，服务对象要求，可灵活选择如助医、助餐、助急、助行、买药、助农、代办、维修、心灵慰藉、政策宣讲等其他服务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为分散供养特困人员购买上门照料护理服务，服务项目为院落保洁、室内保洁、擦玻璃、衣物清洗、床上用品清洗与床铺整理、门窗、窗帘清洗、理发、个人卫生清 洁，根据现场情况，服务对象要求，可灵活选择如助医、助餐、助急、助行、买药、助农、代办、维修、心灵慰藉、政策宣讲等其他服务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联系电话：0916--2222662</w:t>
      </w:r>
    </w:p>
    <w:p>
      <w:pPr>
        <w:pStyle w:val="null3"/>
      </w:pPr>
      <w:r>
        <w:rPr>
          <w:rFonts w:ascii="仿宋_GB2312" w:hAnsi="仿宋_GB2312" w:cs="仿宋_GB2312" w:eastAsia="仿宋_GB2312"/>
        </w:rPr>
        <w:t>地址：陕西省汉中市汉台区七里街道办事处盛世国际商业广场2号写字楼1105</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宁强县民政局决定对分散供养对象购买第三方照料护理服务，其中五丁关以南（汉源街道、高寨子街道、胡家坝镇、铁锁关镇、舒家坝镇、巴山镇、毛坝河镇、禅家岩镇、二郎坝镇）拟定396人；五丁关以北（大安镇、阳平关镇、代家坝镇、燕子砭镇、安乐河镇、广坪镇、青木川镇、巨亭镇、太阳岭镇）拟定416人。最终付款以实际服务对象数量核算后进行拨付。</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五丁关以南分散供养对象购买第三方照料护理服务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五丁关以北分散供养对象购买第三方照料护理服务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标的名称：五丁关以南分散供养对象购买第三方照料护理服务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为分散供养特困人员购买上门照料护理服务，服务项目为院落保洁、室内保洁、擦玻璃、衣物清洗、床上用品清洗与床铺整理、门窗、窗帘清洗、理发、个人卫生清洁，根据现场情况，服务对象要求，可灵活选择如助医、助餐、助急、助行、买药、助农、代办、维修、心灵慰藉、政策宣讲等其他服务。本次购买服务只涉及特困人员自理能力评估为全自理、半护理的对象，每月提供服务4次。全自理护理类型每人每月214元标准，</w:t>
            </w:r>
            <w:r>
              <w:rPr>
                <w:rFonts w:ascii="仿宋_GB2312" w:hAnsi="仿宋_GB2312" w:cs="仿宋_GB2312" w:eastAsia="仿宋_GB2312"/>
                <w:sz w:val="24"/>
              </w:rPr>
              <w:t>最终以实际服务人数为准。</w:t>
            </w:r>
            <w:r>
              <w:drawing>
                <wp:inline distT="0" distR="0" distB="0" distL="0">
                  <wp:extent cx="1621155" cy="19897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989725"/>
                          </a:xfrm>
                          <a:prstGeom prst="rect">
                            <a:avLst/>
                          </a:prstGeom>
                        </pic:spPr>
                      </pic:pic>
                    </a:graphicData>
                  </a:graphic>
                </wp:inline>
              </w:drawing>
            </w:r>
            <w:r>
              <w:drawing>
                <wp:inline distT="0" distR="0" distB="0" distL="0">
                  <wp:extent cx="1621155" cy="231368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2313687"/>
                          </a:xfrm>
                          <a:prstGeom prst="rect">
                            <a:avLst/>
                          </a:prstGeom>
                        </pic:spPr>
                      </pic:pic>
                    </a:graphicData>
                  </a:graphic>
                </wp:inline>
              </w:drawing>
            </w:r>
            <w:r>
              <w:drawing>
                <wp:inline distT="0" distR="0" distB="0" distL="0">
                  <wp:extent cx="1621155" cy="2350833"/>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2350833"/>
                          </a:xfrm>
                          <a:prstGeom prst="rect">
                            <a:avLst/>
                          </a:prstGeom>
                        </pic:spPr>
                      </pic:pic>
                    </a:graphicData>
                  </a:graphic>
                </wp:inline>
              </w:drawing>
            </w:r>
            <w:r>
              <w:drawing>
                <wp:inline distT="0" distR="0" distB="0" distL="0">
                  <wp:extent cx="1621155" cy="2337404"/>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621155" cy="2337404"/>
                          </a:xfrm>
                          <a:prstGeom prst="rect">
                            <a:avLst/>
                          </a:prstGeom>
                        </pic:spPr>
                      </pic:pic>
                    </a:graphicData>
                  </a:graphic>
                </wp:inline>
              </w:drawing>
            </w:r>
            <w:r>
              <w:drawing>
                <wp:inline distT="0" distR="0" distB="0" distL="0">
                  <wp:extent cx="1621155" cy="2235649"/>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621155" cy="2235649"/>
                          </a:xfrm>
                          <a:prstGeom prst="rect">
                            <a:avLst/>
                          </a:prstGeom>
                        </pic:spPr>
                      </pic:pic>
                    </a:graphicData>
                  </a:graphic>
                </wp:inline>
              </w:drawing>
            </w:r>
            <w:r>
              <w:drawing>
                <wp:inline distT="0" distR="0" distB="0" distL="0">
                  <wp:extent cx="1621155" cy="2404766"/>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1621155" cy="2404766"/>
                          </a:xfrm>
                          <a:prstGeom prst="rect">
                            <a:avLst/>
                          </a:prstGeom>
                        </pic:spPr>
                      </pic:pic>
                    </a:graphicData>
                  </a:graphic>
                </wp:inline>
              </w:drawing>
            </w:r>
            <w:r>
              <w:drawing>
                <wp:inline distT="0" distR="0" distB="0" distL="0">
                  <wp:extent cx="1621155" cy="2374290"/>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1621155" cy="2374290"/>
                          </a:xfrm>
                          <a:prstGeom prst="rect">
                            <a:avLst/>
                          </a:prstGeom>
                        </pic:spPr>
                      </pic:pic>
                    </a:graphicData>
                  </a:graphic>
                </wp:inline>
              </w:drawing>
            </w:r>
            <w:r>
              <w:drawing>
                <wp:inline distT="0" distR="0" distB="0" distL="0">
                  <wp:extent cx="1621155" cy="2331798"/>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1621155" cy="2331798"/>
                          </a:xfrm>
                          <a:prstGeom prst="rect">
                            <a:avLst/>
                          </a:prstGeom>
                        </pic:spPr>
                      </pic:pic>
                    </a:graphicData>
                  </a:graphic>
                </wp:inline>
              </w:drawing>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标的名称：五丁关以北分散供养对象购买第三方照料护理服务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为分散供养特困人员购买上门照料护理服务，服务项目为院落保洁、室内保洁、擦玻璃、衣物清洗、床上用品清洗与床铺整理、门窗、窗帘清洗、理发、个人卫生清洁，根据现场情况，服务对象要求，可灵活选择如助医、助餐、助急、助行、买药、助农、代办、维修、心灵慰藉、政策宣讲等其他服务。本次购买服务只涉及特困人员自理能力评估为全自理、半护理的对象，每月提供服务4次。全自理护理类型每人每月214元标准，</w:t>
            </w:r>
            <w:r>
              <w:rPr>
                <w:rFonts w:ascii="仿宋_GB2312" w:hAnsi="仿宋_GB2312" w:cs="仿宋_GB2312" w:eastAsia="仿宋_GB2312"/>
                <w:sz w:val="24"/>
              </w:rPr>
              <w:t>最终以实际服务人数为准。</w:t>
            </w:r>
            <w:r>
              <w:drawing>
                <wp:inline distT="0" distR="0" distB="0" distL="0">
                  <wp:extent cx="1621155" cy="1989725"/>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6"/>
                          <a:stretch>
                            <a:fillRect/>
                          </a:stretch>
                        </pic:blipFill>
                        <pic:spPr>
                          <a:xfrm>
                            <a:off x="0" y="0"/>
                            <a:ext cx="1621155" cy="1989725"/>
                          </a:xfrm>
                          <a:prstGeom prst="rect">
                            <a:avLst/>
                          </a:prstGeom>
                        </pic:spPr>
                      </pic:pic>
                    </a:graphicData>
                  </a:graphic>
                </wp:inline>
              </w:drawing>
            </w:r>
            <w:r>
              <w:drawing>
                <wp:inline distT="0" distR="0" distB="0" distL="0">
                  <wp:extent cx="1621155" cy="2313687"/>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7"/>
                          <a:stretch>
                            <a:fillRect/>
                          </a:stretch>
                        </pic:blipFill>
                        <pic:spPr>
                          <a:xfrm>
                            <a:off x="0" y="0"/>
                            <a:ext cx="1621155" cy="2313687"/>
                          </a:xfrm>
                          <a:prstGeom prst="rect">
                            <a:avLst/>
                          </a:prstGeom>
                        </pic:spPr>
                      </pic:pic>
                    </a:graphicData>
                  </a:graphic>
                </wp:inline>
              </w:drawing>
            </w:r>
            <w:r>
              <w:drawing>
                <wp:inline distT="0" distR="0" distB="0" distL="0">
                  <wp:extent cx="1621155" cy="2350833"/>
                  <wp:docPr id="11" name="Drawing 11" descr="img"/>
                  <a:graphic xmlns:a="http://schemas.openxmlformats.org/drawingml/2006/main">
                    <a:graphicData uri="http://schemas.openxmlformats.org/drawingml/2006/picture">
                      <pic:pic xmlns:pic="http://schemas.openxmlformats.org/drawingml/2006/picture">
                        <pic:nvPicPr>
                          <pic:cNvPr id="0" name="Picture 11" descr="img"/>
                          <pic:cNvPicPr>
                            <a:picLocks noChangeAspect="true"/>
                          </pic:cNvPicPr>
                        </pic:nvPicPr>
                        <pic:blipFill>
                          <a:blip r:embed="rId8"/>
                          <a:stretch>
                            <a:fillRect/>
                          </a:stretch>
                        </pic:blipFill>
                        <pic:spPr>
                          <a:xfrm>
                            <a:off x="0" y="0"/>
                            <a:ext cx="1621155" cy="2350833"/>
                          </a:xfrm>
                          <a:prstGeom prst="rect">
                            <a:avLst/>
                          </a:prstGeom>
                        </pic:spPr>
                      </pic:pic>
                    </a:graphicData>
                  </a:graphic>
                </wp:inline>
              </w:drawing>
            </w:r>
            <w:r>
              <w:drawing>
                <wp:inline distT="0" distR="0" distB="0" distL="0">
                  <wp:extent cx="1621155" cy="2337404"/>
                  <wp:docPr id="12" name="Drawing 12" descr="img"/>
                  <a:graphic xmlns:a="http://schemas.openxmlformats.org/drawingml/2006/main">
                    <a:graphicData uri="http://schemas.openxmlformats.org/drawingml/2006/picture">
                      <pic:pic xmlns:pic="http://schemas.openxmlformats.org/drawingml/2006/picture">
                        <pic:nvPicPr>
                          <pic:cNvPr id="0" name="Picture 12" descr="img"/>
                          <pic:cNvPicPr>
                            <a:picLocks noChangeAspect="true"/>
                          </pic:cNvPicPr>
                        </pic:nvPicPr>
                        <pic:blipFill>
                          <a:blip r:embed="rId9"/>
                          <a:stretch>
                            <a:fillRect/>
                          </a:stretch>
                        </pic:blipFill>
                        <pic:spPr>
                          <a:xfrm>
                            <a:off x="0" y="0"/>
                            <a:ext cx="1621155" cy="2337404"/>
                          </a:xfrm>
                          <a:prstGeom prst="rect">
                            <a:avLst/>
                          </a:prstGeom>
                        </pic:spPr>
                      </pic:pic>
                    </a:graphicData>
                  </a:graphic>
                </wp:inline>
              </w:drawing>
            </w:r>
            <w:r>
              <w:drawing>
                <wp:inline distT="0" distR="0" distB="0" distL="0">
                  <wp:extent cx="1621155" cy="2235649"/>
                  <wp:docPr id="13" name="Drawing 13" descr="img"/>
                  <a:graphic xmlns:a="http://schemas.openxmlformats.org/drawingml/2006/main">
                    <a:graphicData uri="http://schemas.openxmlformats.org/drawingml/2006/picture">
                      <pic:pic xmlns:pic="http://schemas.openxmlformats.org/drawingml/2006/picture">
                        <pic:nvPicPr>
                          <pic:cNvPr id="0" name="Picture 13" descr="img"/>
                          <pic:cNvPicPr>
                            <a:picLocks noChangeAspect="true"/>
                          </pic:cNvPicPr>
                        </pic:nvPicPr>
                        <pic:blipFill>
                          <a:blip r:embed="rId10"/>
                          <a:stretch>
                            <a:fillRect/>
                          </a:stretch>
                        </pic:blipFill>
                        <pic:spPr>
                          <a:xfrm>
                            <a:off x="0" y="0"/>
                            <a:ext cx="1621155" cy="2235649"/>
                          </a:xfrm>
                          <a:prstGeom prst="rect">
                            <a:avLst/>
                          </a:prstGeom>
                        </pic:spPr>
                      </pic:pic>
                    </a:graphicData>
                  </a:graphic>
                </wp:inline>
              </w:drawing>
            </w:r>
            <w:r>
              <w:drawing>
                <wp:inline distT="0" distR="0" distB="0" distL="0">
                  <wp:extent cx="1621155" cy="2404766"/>
                  <wp:docPr id="14" name="Drawing 14" descr="img"/>
                  <a:graphic xmlns:a="http://schemas.openxmlformats.org/drawingml/2006/main">
                    <a:graphicData uri="http://schemas.openxmlformats.org/drawingml/2006/picture">
                      <pic:pic xmlns:pic="http://schemas.openxmlformats.org/drawingml/2006/picture">
                        <pic:nvPicPr>
                          <pic:cNvPr id="0" name="Picture 14" descr="img"/>
                          <pic:cNvPicPr>
                            <a:picLocks noChangeAspect="true"/>
                          </pic:cNvPicPr>
                        </pic:nvPicPr>
                        <pic:blipFill>
                          <a:blip r:embed="rId11"/>
                          <a:stretch>
                            <a:fillRect/>
                          </a:stretch>
                        </pic:blipFill>
                        <pic:spPr>
                          <a:xfrm>
                            <a:off x="0" y="0"/>
                            <a:ext cx="1621155" cy="2404766"/>
                          </a:xfrm>
                          <a:prstGeom prst="rect">
                            <a:avLst/>
                          </a:prstGeom>
                        </pic:spPr>
                      </pic:pic>
                    </a:graphicData>
                  </a:graphic>
                </wp:inline>
              </w:drawing>
            </w:r>
            <w:r>
              <w:drawing>
                <wp:inline distT="0" distR="0" distB="0" distL="0">
                  <wp:extent cx="1621155" cy="2374290"/>
                  <wp:docPr id="15" name="Drawing 15" descr="img"/>
                  <a:graphic xmlns:a="http://schemas.openxmlformats.org/drawingml/2006/main">
                    <a:graphicData uri="http://schemas.openxmlformats.org/drawingml/2006/picture">
                      <pic:pic xmlns:pic="http://schemas.openxmlformats.org/drawingml/2006/picture">
                        <pic:nvPicPr>
                          <pic:cNvPr id="0" name="Picture 15" descr="img"/>
                          <pic:cNvPicPr>
                            <a:picLocks noChangeAspect="true"/>
                          </pic:cNvPicPr>
                        </pic:nvPicPr>
                        <pic:blipFill>
                          <a:blip r:embed="rId12"/>
                          <a:stretch>
                            <a:fillRect/>
                          </a:stretch>
                        </pic:blipFill>
                        <pic:spPr>
                          <a:xfrm>
                            <a:off x="0" y="0"/>
                            <a:ext cx="1621155" cy="2374290"/>
                          </a:xfrm>
                          <a:prstGeom prst="rect">
                            <a:avLst/>
                          </a:prstGeom>
                        </pic:spPr>
                      </pic:pic>
                    </a:graphicData>
                  </a:graphic>
                </wp:inline>
              </w:drawing>
            </w:r>
            <w:r>
              <w:drawing>
                <wp:inline distT="0" distR="0" distB="0" distL="0">
                  <wp:extent cx="1621155" cy="2331798"/>
                  <wp:docPr id="16" name="Drawing 16" descr="img"/>
                  <a:graphic xmlns:a="http://schemas.openxmlformats.org/drawingml/2006/main">
                    <a:graphicData uri="http://schemas.openxmlformats.org/drawingml/2006/picture">
                      <pic:pic xmlns:pic="http://schemas.openxmlformats.org/drawingml/2006/picture">
                        <pic:nvPicPr>
                          <pic:cNvPr id="0" name="Picture 16" descr="img"/>
                          <pic:cNvPicPr>
                            <a:picLocks noChangeAspect="true"/>
                          </pic:cNvPicPr>
                        </pic:nvPicPr>
                        <pic:blipFill>
                          <a:blip r:embed="rId13"/>
                          <a:stretch>
                            <a:fillRect/>
                          </a:stretch>
                        </pic:blipFill>
                        <pic:spPr>
                          <a:xfrm>
                            <a:off x="0" y="0"/>
                            <a:ext cx="1621155" cy="2331798"/>
                          </a:xfrm>
                          <a:prstGeom prst="rect">
                            <a:avLst/>
                          </a:prstGeom>
                        </pic:spPr>
                      </pic:pic>
                    </a:graphicData>
                  </a:graphic>
                </wp:inline>
              </w:drawing>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（1）配备不少于1名专职的管理人员。 （2）配备专业护理人员不少于4名， 人员要求：①年龄在18-55岁之间（提供有效身份证） ；②无精神病史和各类传染病（提供县级以上医疗机构出具的健康证明）；③初中以上文化程度及语言表达能力（提供学历证书） ；④经过系统的专业培训，具有与其岗位相适应的意识和能力 （提供相关证书）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（1）配备不少于1名专职的管理人员。 （2）配备专业护理人员不少于4名， 人员要求：①年龄在18-55岁之间（提供有效身份证） ；②无精神病史和各类传染病（提供县级以上医疗机构出具的健康证明）；③初中以上文化程度及语言表达能力（提供学历证书） ；④经过系统的专业培训，具有与其岗位相适应的意识和能力 （提供相关证书）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以上服务内容，服务对象可根据意愿调整，供应商应配合。在以上服务内容外，供应商应根据时令节庆和社会热点，开展主题文化娱乐活动，丰富服务对象精神生活，加强服务对象社会交往，使其感受到社会关爱。 2、采购人提出的临时指令性任务，成交供应商应在1小时内响应。成交供应商在开展服务过程中要注意安全，因意外、纠纷、安全事故产生的一切安全责任由成交供应商承担，与采购人无关。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以上服务内容，服务对象可根据意愿调整，供应商应配合。在以上服务内容外，供应商应根据时令节庆和社会热点，开展主题文化娱乐活动，丰富服务对象精神生活，加强服务对象社会交往，使其感受到社会关爱。 2、采购人提出的临时指令性任务，成交供应商应在1小时内响应。成交供应商在开展服务过程中要注意安全，因意外、纠纷、安全事故产生的一切安全责任由成交供应商承担，与采购人无关。</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2026年6月起至2026年12月31日结束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2026年6月起至2026年12月31日结束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立健全综合性评价机制，就服务对象对照料服务的满意度评价、服务成效、群众反馈等，加强对购买照料服务工作的绩效评价。县民政局根据承接服务方提供的服务表，按照不低于30%的比例随机入户抽查核实，作为拨付照料护理补贴的重要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建立健全综合性评价机制，就服务对象对照料服务的满意度评价、服务成效、群众反馈等，加强对购买照料服务工作的绩效评价。县民政局根据承接服务方提供的服务表，按照不低于30%的比例随机入户抽查核实，作为拨付照料护理补贴的重要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按季度核算实际服务情况，进行拨付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按季度核算实际服务情况，进行拨付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按季度核算实际服务情况，进行拨付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按季度核算实际服务情况，进行拨付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按季度核算实际服务情况，进行拨付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按季度核算实际服务情况，进行拨付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仲裁或诉讼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仲裁或诉讼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工划分为两个标段，供应商可参加一个或多个分包的投标，但同一供应商最多只能中标一个分包，即“兼投不兼中”原则。若同一投标人在多个标包综合评分排名第一，按照标包顺序，投标人在包1被推荐为第一中标候选人，剩余标包按照中标候选人排名相应顺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w:t>
            </w:r>
          </w:p>
        </w:tc>
        <w:tc>
          <w:tcPr>
            <w:tcW w:type="dxa" w:w="3322"/>
          </w:tcPr>
          <w:p>
            <w:pPr>
              <w:pStyle w:val="null3"/>
            </w:pPr>
            <w:r>
              <w:rPr>
                <w:rFonts w:ascii="仿宋_GB2312" w:hAnsi="仿宋_GB2312" w:cs="仿宋_GB2312" w:eastAsia="仿宋_GB2312"/>
              </w:rPr>
              <w:t>供应商具有独立承担民事责任的能力，提供营业执照、税务登记证、组织机构代码证或登载有统一社会信用代码的营业执照。</w:t>
            </w:r>
          </w:p>
        </w:tc>
        <w:tc>
          <w:tcPr>
            <w:tcW w:type="dxa" w:w="1661"/>
          </w:tcPr>
          <w:p>
            <w:pPr>
              <w:pStyle w:val="null3"/>
            </w:pPr>
            <w:r>
              <w:rPr>
                <w:rFonts w:ascii="仿宋_GB2312" w:hAnsi="仿宋_GB2312" w:cs="仿宋_GB2312" w:eastAsia="仿宋_GB2312"/>
              </w:rPr>
              <w:t>响应文件封面 非联合体声明.docx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法定代表人须提供身份证及法定代表人证明书</w:t>
            </w:r>
          </w:p>
        </w:tc>
        <w:tc>
          <w:tcPr>
            <w:tcW w:type="dxa" w:w="1661"/>
          </w:tcPr>
          <w:p>
            <w:pPr>
              <w:pStyle w:val="null3"/>
            </w:pPr>
            <w:r>
              <w:rPr>
                <w:rFonts w:ascii="仿宋_GB2312" w:hAnsi="仿宋_GB2312" w:cs="仿宋_GB2312" w:eastAsia="仿宋_GB2312"/>
              </w:rPr>
              <w:t>法人身份证明.docx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本项目专门面向中小企业，投标企业须提供《中小企业声明函》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w:t>
            </w:r>
          </w:p>
        </w:tc>
        <w:tc>
          <w:tcPr>
            <w:tcW w:type="dxa" w:w="3322"/>
          </w:tcPr>
          <w:p>
            <w:pPr>
              <w:pStyle w:val="null3"/>
            </w:pPr>
            <w:r>
              <w:rPr>
                <w:rFonts w:ascii="仿宋_GB2312" w:hAnsi="仿宋_GB2312" w:cs="仿宋_GB2312" w:eastAsia="仿宋_GB2312"/>
              </w:rPr>
              <w:t>供应商具有独立承担民事责任的能力，提供营业执照、税务登记证、组织机构代码证或登载有统一社会信用代码的营业执照。</w:t>
            </w:r>
          </w:p>
        </w:tc>
        <w:tc>
          <w:tcPr>
            <w:tcW w:type="dxa" w:w="1661"/>
          </w:tcPr>
          <w:p>
            <w:pPr>
              <w:pStyle w:val="null3"/>
            </w:pPr>
            <w:r>
              <w:rPr>
                <w:rFonts w:ascii="仿宋_GB2312" w:hAnsi="仿宋_GB2312" w:cs="仿宋_GB2312" w:eastAsia="仿宋_GB2312"/>
              </w:rPr>
              <w:t>响应文件封面 非联合体声明.docx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法定代表人须提供身份证及法定代表人证明书</w:t>
            </w:r>
          </w:p>
        </w:tc>
        <w:tc>
          <w:tcPr>
            <w:tcW w:type="dxa" w:w="1661"/>
          </w:tcPr>
          <w:p>
            <w:pPr>
              <w:pStyle w:val="null3"/>
            </w:pPr>
            <w:r>
              <w:rPr>
                <w:rFonts w:ascii="仿宋_GB2312" w:hAnsi="仿宋_GB2312" w:cs="仿宋_GB2312" w:eastAsia="仿宋_GB2312"/>
              </w:rPr>
              <w:t>法人身份证明.docx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本项目专门面向中小企业，投标企业须提供《中小企业声明函》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按照招标文件格式要求进行签署盖章。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服务内容及服务邀请应答表 商务应答表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服务内容及服务邀请应答表 商务应答表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332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1661"/>
          </w:tcPr>
          <w:p>
            <w:pPr>
              <w:pStyle w:val="null3"/>
            </w:pPr>
            <w:r>
              <w:rPr>
                <w:rFonts w:ascii="仿宋_GB2312" w:hAnsi="仿宋_GB2312" w:cs="仿宋_GB2312" w:eastAsia="仿宋_GB2312"/>
              </w:rPr>
              <w:t>响应文件封面 服务内容及服务邀请应答表 商务应答表 标的清单 报价表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按照招标文件格式要求进行签署盖章。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服务内容及服务邀请应答表 商务应答表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服务内容及服务邀请应答表 商务应答表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332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1661"/>
          </w:tcPr>
          <w:p>
            <w:pPr>
              <w:pStyle w:val="null3"/>
            </w:pPr>
            <w:r>
              <w:rPr>
                <w:rFonts w:ascii="仿宋_GB2312" w:hAnsi="仿宋_GB2312" w:cs="仿宋_GB2312" w:eastAsia="仿宋_GB2312"/>
              </w:rPr>
              <w:t>响应文件封面 服务内容及服务邀请应答表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供应商需提供2022年1月至今类似项目业绩（以合同签订日期为准，供应商所提供合同必须有签订日期），每提供一个计2分，满分6分。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供应商根据对项目的理解，有①对项目的背景和工作目的理解以及实施的意义、②生活照料及护理方案 ③服务工作流程；④护理服务工作计划。 要求方案必须全面，对评审内容中的各项要求有详细描述；切合本项目实际情况，提出步骤清晰、合理的方案。 方案能够紧扣项目实际情况，内容科学合理。 进行综合评审。 赋分标准：评审内容任意一项缺项扣5分，扣完为止；评审内容任意一项有缺陷扣3分。缺陷是指：内容粗略、逻辑混乱、描述过于简单。 若出现与项目特点不匹配、凭空编造、逻辑漏洞、出现常识性错误 、套用其他项目方案、存在不可能实现的夸大情形或存在不适用项目实际情况的情形，不得分。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供应商具有健全的管理制度和质量保证体系，为服务对象提供助浴、助洁、助医、照护等服务方案详细完整具有可行性， 赋分标准：①内容详细、完整、合理、可行，计 15-13分； ②内容明确且基本完整 , 合理、可行，计12--10分； ③内容明确但不完整，有一定合理性及可行性计 9--7分； ④内容明确但不完整，合理性及可行性不足，得 6--4 分； ⑤内容含糊且合理性及可行性不足，得3--1分； ⑥未提供有关相内容的不计分。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项目服务团队</w:t>
            </w:r>
          </w:p>
        </w:tc>
        <w:tc>
          <w:tcPr>
            <w:tcW w:type="dxa" w:w="2492"/>
          </w:tcPr>
          <w:p>
            <w:pPr>
              <w:pStyle w:val="null3"/>
            </w:pPr>
            <w:r>
              <w:rPr>
                <w:rFonts w:ascii="仿宋_GB2312" w:hAnsi="仿宋_GB2312" w:cs="仿宋_GB2312" w:eastAsia="仿宋_GB2312"/>
              </w:rPr>
              <w:t>提供针对本项目的人员配置方案，各岗位人员的数量、学历、专业、工作经验等，到采购人指定地点开展服务，直到项目完全结束为止。 赋分标准：①人员配置合理、职责划分明确，专业技能强、经验丰富，能有效保证各项工作的顺利进行，得10分； ②人员配置较合理、有明确的职责划分，专业技能较强，得8分； ③人员配置基本合理、职责划分不明确，得6分； ④有明显缺项，得4分； ⑤人数配置不足，得2分；⑥未提供有关相内容的不计分。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拟派服务人员一览表.docx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供应商针对本项目的实际情况制定具有可操作性的处理突发事件的应急预案，从预案的完整性、可操作性综合评审 赋分标准： ①内容详细、完整、合理、可行，计10 分； ②内容明确且基本完整，合理、可行，计 8分； ③内容明确但不完整，有一定合理性及可行性计6分 ; ④内容明确但不完整，合理性及可行性不足，得 4 分； ⑤内容含糊且合理性及可行性不足，得 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供应商有具体详细切实可行的服务承诺。内容包括但不限于1.优惠承诺；2.无条件修改调整方案承诺；3.服务保证承诺；4.工作效率承诺等。 赋分标准：①内容详细、完整、合理、可行， 计10 分； ②内容明确且基本完整，合理、可行，计 8分； ③ 内容明确但不完整，有一定合理性及可行性计6分； ④内容明确但不完整，合理性及可行性不足，得 4分； ⑤内容含糊且合理性及可行性不足，得 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监督与考核</w:t>
            </w:r>
          </w:p>
        </w:tc>
        <w:tc>
          <w:tcPr>
            <w:tcW w:type="dxa" w:w="2492"/>
          </w:tcPr>
          <w:p>
            <w:pPr>
              <w:pStyle w:val="null3"/>
            </w:pPr>
            <w:r>
              <w:rPr>
                <w:rFonts w:ascii="仿宋_GB2312" w:hAnsi="仿宋_GB2312" w:cs="仿宋_GB2312" w:eastAsia="仿宋_GB2312"/>
              </w:rPr>
              <w:t>供应商接受采购人对服务的监督、批评和建议、确保做好社会救助各项服务管理、考评，不发生纠纷、安全等意外情况的保障措施。赋分标准：①内容详细、完整、合理、可行，计6 分； ②内容明确且基本完整 , 合理、可行，计 5 分； ③内容明确但不完整，有一定合理性及可行性计 4分； ④内容明确但不完整，合理性及可行性不足，得 3 分；⑤内容含糊且合理性及可行性不足，得2分； ⑥未提供有关相内容的不计分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供应提出针对本项目的合理化建议，完整科学、合理、可行，针对性强，满足项目需求， 赋分标准： 赋分标准：①内容详细、完整、合理、可行， 计3 分； ②；内容明确但不完整，有一定合理性及可行性计2分 ③ 内容明确但不完整，合理性及可行性不足，得 1分；④未提供有关相内容的不计分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价格分采用低价优先法计算，即满足磋商文件要求且投标价格最低的投标报价（费率）为评标基准价，其价格分为满分。其他供应商的价格分统一按照下列公式计算： 报价得分= （投标报价/评标基准价）×价格权值×100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供应商需提供2022年1月至今类似项目业绩（以合同签订日期为准，供应商所提供合同必须有签订日期），每提供一个计2分，满分6分。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供应商根据对项目的理解，有①对项目的背景和工作目的理解以及实施的意义、②生活照料及护理方案 ③服务工作流程；④护理服务工作计划。 要求方案必须全面，对评审内容中的各项要求有详细描述；切合本项目实际情况，提出步骤清晰、合理的方案。 方案能够紧扣项目实际情况，内容科学合理。 进行综合评审。 赋分标准：评审内容任意一项缺项扣5分，扣完为止；评审内容任意一项有缺陷扣3分。缺陷是指：内容粗略、逻辑混乱、描述过于简单。 若出现与项目特点不匹配、凭空编造、逻辑漏洞、出现常识性错误 、套用其他项目方案、存在不可能实现的夸大情形或存在不适用项目实际情况的情形，不得分。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供应商具有健全的管理制度和质量保证体系，为服务对象提供助浴、助洁、助医、照护等服务方案详细完整具有可行性， 赋分标准：①内容详细、完整、合理、可行，计 15-13分； ②内容明确且基本完整 , 合理、可行，计12--10分； ③内容明确但不完整，有一定合理性及可行性计 9--7分； ④内容明确但不完整，合理性及可行性不足，得 6--4 分； ⑤内容含糊且合理性及可行性不足，得3--1分； ⑥未提供有关相内容的不计分。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项目服务团队</w:t>
            </w:r>
          </w:p>
        </w:tc>
        <w:tc>
          <w:tcPr>
            <w:tcW w:type="dxa" w:w="2492"/>
          </w:tcPr>
          <w:p>
            <w:pPr>
              <w:pStyle w:val="null3"/>
            </w:pPr>
            <w:r>
              <w:rPr>
                <w:rFonts w:ascii="仿宋_GB2312" w:hAnsi="仿宋_GB2312" w:cs="仿宋_GB2312" w:eastAsia="仿宋_GB2312"/>
              </w:rPr>
              <w:t>提供针对本项目的人员配置方案，各岗位人员的数量、学历、专业、工作经验等，到采购人指定地点开展服务，直到项目完全结束为止。 赋分标准：①人员配置合理、职责划分明确，专业技能强、经验丰富，能有效保证各项工作的顺利进行，得10分； ②人员配置较合理、有明确的职责划分，专业技能较强，得8分； ③人员配置基本合理、职责划分不明确，得6分； ④有明显缺项，得4分； ⑤人数配置不足，得2分；⑥未提供有关相内容的不计分。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拟派服务人员一览表.docx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供应商针对本项目的实际情况制定具有可操作性的处理突发事件的应急预案，从预案的完整性、可操作性综合评审 赋分标准： ①内容详细、完整、合理、可行，计10 分； ②内容明确且基本完整，合理、可行，计 8分； ③内容明确但不完整，有一定合理性及可行性计6分 ; ④内容明确但不完整，合理性及可行性不足，得 4 分； ⑤内容含糊且合理性及可行性不足，得 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供应商有具体详细切实可行的服务承诺。内容包括但不限于1.优惠承诺；2.无条件修改调整方案承诺；3.服务保证承诺；4.工作效率承诺等。 赋分标准：①内容详细、完整、合理、可行， 计10 分； ②内容明确且基本完整，合理、可行，计 8分； ③ 内容明确但不完整，有一定合理性及可行性计6分； ④内容明确但不完整，合理性及可行性不足，得 4分； ⑤内容含糊且合理性及可行性不足，得 2 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监督与考核</w:t>
            </w:r>
          </w:p>
        </w:tc>
        <w:tc>
          <w:tcPr>
            <w:tcW w:type="dxa" w:w="2492"/>
          </w:tcPr>
          <w:p>
            <w:pPr>
              <w:pStyle w:val="null3"/>
            </w:pPr>
            <w:r>
              <w:rPr>
                <w:rFonts w:ascii="仿宋_GB2312" w:hAnsi="仿宋_GB2312" w:cs="仿宋_GB2312" w:eastAsia="仿宋_GB2312"/>
              </w:rPr>
              <w:t>供应商接受采购人对服务的监督、批评和建议、确保做好社会救助各项服务管理、考评，不发生纠纷、安全等意外情况的保障措施。赋分标准：①内容详细、完整、合理、可行，计6 分； ②内容明确且基本完整 , 合理、可行，计 5 分； ③内容明确但不完整，有一定合理性及可行性计 4分； ④内容明确但不完整，合理性及可行性不足，得 3 分；⑤内容含糊且合理性及可行性不足，得2分； ⑥未提供有关相内容的不计分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供应提出针对本项目的合理化建议，完整科学、合理、可行，针对性强，满足项目需求， 赋分标准： 赋分标准：①内容详细、完整、合理、可行， 计3 分； ②；内容明确但不完整，有一定合理性及可行性计2分 ③ 内容明确但不完整，合理性及可行性不足，得 1分；④未提供有关相内容的不计分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价格分采用低价优先法计算，即满足磋商文件要求且投标价格最低的投标报价（费率）为评标基准价，其价格分为满分。其他供应商的价格分统一按照下列公式计算： 报价得分= （投标报价/评标基准价）×价格权值×100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详见附件：拟派服务人员一览表.docx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详见附件：拟派服务人员一览表.docx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