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版本号：SXWXZBDL2026-ZC-TP100420260728001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西电实验小学计算机教室更新项目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SXWXZBDL2026-ZC-TP1004</w:t>
      </w:r>
      <w:r>
        <w:br/>
      </w:r>
      <w:r>
        <w:br/>
      </w:r>
      <w:r>
        <w:br/>
      </w:r>
    </w:p>
    <w:p>
      <w:pPr>
        <w:pStyle w:val="null3"/>
        <w:jc w:val="center"/>
        <w:outlineLvl w:val="2"/>
      </w:pPr>
      <w:r>
        <w:rPr>
          <w:rFonts w:ascii="仿宋_GB2312" w:hAnsi="仿宋_GB2312" w:cs="仿宋_GB2312" w:eastAsia="仿宋_GB2312"/>
          <w:sz w:val="28"/>
          <w:b/>
        </w:rPr>
        <w:t>西安市莲湖区西电实验小学</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西安市莲湖区西电实验小学</w:t>
      </w:r>
      <w:r>
        <w:rPr>
          <w:rFonts w:ascii="仿宋_GB2312" w:hAnsi="仿宋_GB2312" w:cs="仿宋_GB2312" w:eastAsia="仿宋_GB2312"/>
        </w:rPr>
        <w:t>委托，拟对</w:t>
      </w:r>
      <w:r>
        <w:rPr>
          <w:rFonts w:ascii="仿宋_GB2312" w:hAnsi="仿宋_GB2312" w:cs="仿宋_GB2312" w:eastAsia="仿宋_GB2312"/>
        </w:rPr>
        <w:t>西电实验小学计算机教室更新项目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SXWXZBDL2026-ZC-TP1004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西电实验小学计算机教室更新项目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管理服务器、教师计算机、学生计算机、桌凳、稳压器、交换机、地板等配套设备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采购包1（西电实验小学计算机教室更新项目）：属于专门面向中小企业采购。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提供健全的财务会计制度的证明材料：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3、纳税证明：提供谈判截止日前六个月内任意一个月的纳税证明或完税证明（增值税、印花税、城市维护建设费、企业所得税等一种或多种税种），依法免税的单位提供相关证明材料。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4、社保缴纳证明：提供谈判截止日前六个月内任意一个月的社保资金交纳证明，依法不需要缴纳社保资金的单位提供相关证明材料。</w:t>
      </w:r>
    </w:p>
    <w:p>
      <w:pPr>
        <w:pStyle w:val="null3"/>
      </w:pPr>
      <w:r>
        <w:rPr>
          <w:rFonts w:ascii="仿宋_GB2312" w:hAnsi="仿宋_GB2312" w:cs="仿宋_GB2312" w:eastAsia="仿宋_GB2312"/>
        </w:rPr>
        <w:t>5、三年内无重大违法记录：参加本次政府采购活动前三年内在经营活动中没有重大违法记录的书面声明；</w:t>
      </w:r>
    </w:p>
    <w:p>
      <w:pPr>
        <w:pStyle w:val="null3"/>
      </w:pPr>
      <w:r>
        <w:rPr>
          <w:rFonts w:ascii="仿宋_GB2312" w:hAnsi="仿宋_GB2312" w:cs="仿宋_GB2312" w:eastAsia="仿宋_GB2312"/>
        </w:rPr>
        <w:t>6、专业技术能力承诺：提供具有履行合同所必需的设备和专业技术能力的承诺；</w:t>
      </w:r>
    </w:p>
    <w:p>
      <w:pPr>
        <w:pStyle w:val="null3"/>
      </w:pPr>
      <w:r>
        <w:rPr>
          <w:rFonts w:ascii="仿宋_GB2312" w:hAnsi="仿宋_GB2312" w:cs="仿宋_GB2312" w:eastAsia="仿宋_GB2312"/>
        </w:rPr>
        <w:t>7、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8、法定代表人授权书：法定代表人授权书（附法定代表人、被授权人身份证复印件，被授权人需提供在本单位近三个月任意一个月的社保缴纳证明），法定代表人直接参加谈判，须提供法定代表人身份证明及身份证复印件。</w:t>
      </w:r>
    </w:p>
    <w:p>
      <w:pPr>
        <w:pStyle w:val="null3"/>
      </w:pPr>
      <w:r>
        <w:rPr>
          <w:rFonts w:ascii="仿宋_GB2312" w:hAnsi="仿宋_GB2312" w:cs="仿宋_GB2312" w:eastAsia="仿宋_GB2312"/>
        </w:rPr>
        <w:t>9、企业关系关联承诺书：提供企业关系关联承诺书；</w:t>
      </w:r>
    </w:p>
    <w:p>
      <w:pPr>
        <w:pStyle w:val="null3"/>
      </w:pPr>
      <w:r>
        <w:rPr>
          <w:rFonts w:ascii="仿宋_GB2312" w:hAnsi="仿宋_GB2312" w:cs="仿宋_GB2312" w:eastAsia="仿宋_GB2312"/>
        </w:rPr>
        <w:t>10、联合体：本项目不接受联合体谈判。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西安市莲湖区西电实验小学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西安市莲湖区劳动西路8号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西安市莲湖区西电实验小学经办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18091191802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计取。不足8000元的，按8000元收取。2.成交单位在领取成交通知书前，须向采购代理机构一次性支付招标代理服务费。3.招标代理服务费交纳信息： 户名：陕西万兴招标代理有限公司 开户行：北京银行股份有限公司西安大明宫支行 账号：2000 0034 4675 0001 6437 653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西安市莲湖区西电实验小学</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西安市莲湖区西电实验小学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西安市莲湖区西电实验小学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陕西万兴招标代理有限公司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行业现行标准、规定、规程及规范，符合行业和地方通用标准和惯例要求。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联系人：董雪</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地址：陕西省西安市莲湖区北关正街35号方兴大厦4-018室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管理服务器、教师计算机、学生计算机、桌凳、稳压器、交换机、地板等配套设备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西电实验小学计算机教室更新项目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标的名称：西电实验小学计算机教室更新项目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169"/>
              <w:gridCol w:w="279"/>
              <w:gridCol w:w="1686"/>
              <w:gridCol w:w="169"/>
              <w:gridCol w:w="213"/>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1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技术参数要求</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管理服务器</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1、CPU：</w:t>
                  </w:r>
                  <w:r>
                    <w:rPr>
                      <w:rFonts w:ascii="仿宋_GB2312" w:hAnsi="仿宋_GB2312" w:cs="仿宋_GB2312" w:eastAsia="仿宋_GB2312"/>
                      <w:sz w:val="24"/>
                    </w:rPr>
                    <w:t>国产</w:t>
                  </w:r>
                  <w:r>
                    <w:rPr>
                      <w:rFonts w:ascii="仿宋_GB2312" w:hAnsi="仿宋_GB2312" w:cs="仿宋_GB2312" w:eastAsia="仿宋_GB2312"/>
                      <w:sz w:val="24"/>
                    </w:rPr>
                    <w:t>(核心数：≥八核，主频：3.0GHz);</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2、内存：≥DDR4 2933 16G；</w:t>
                  </w:r>
                </w:p>
                <w:p>
                  <w:pPr>
                    <w:pStyle w:val="null3"/>
                    <w:jc w:val="left"/>
                  </w:pPr>
                  <w:r>
                    <w:rPr>
                      <w:rFonts w:ascii="仿宋_GB2312" w:hAnsi="仿宋_GB2312" w:cs="仿宋_GB2312" w:eastAsia="仿宋_GB2312"/>
                      <w:sz w:val="24"/>
                    </w:rPr>
                    <w:t>3、硬盘：≥1*480G SSD + 1*2T SATA</w:t>
                  </w:r>
                </w:p>
                <w:p>
                  <w:pPr>
                    <w:pStyle w:val="null3"/>
                    <w:jc w:val="left"/>
                  </w:pPr>
                  <w:r>
                    <w:rPr>
                      <w:rFonts w:ascii="仿宋_GB2312" w:hAnsi="仿宋_GB2312" w:cs="仿宋_GB2312" w:eastAsia="仿宋_GB2312"/>
                      <w:sz w:val="24"/>
                    </w:rPr>
                    <w:t>4、网卡：≥2个千兆口</w:t>
                  </w:r>
                </w:p>
                <w:p>
                  <w:pPr>
                    <w:pStyle w:val="null3"/>
                    <w:jc w:val="left"/>
                  </w:pPr>
                  <w:r>
                    <w:rPr>
                      <w:rFonts w:ascii="仿宋_GB2312" w:hAnsi="仿宋_GB2312" w:cs="仿宋_GB2312" w:eastAsia="仿宋_GB2312"/>
                      <w:sz w:val="24"/>
                    </w:rPr>
                    <w:t xml:space="preserve">5、电源：≥200W单电源                                         </w:t>
                  </w:r>
                </w:p>
                <w:p>
                  <w:pPr>
                    <w:pStyle w:val="null3"/>
                    <w:jc w:val="left"/>
                  </w:pPr>
                  <w:r>
                    <w:rPr>
                      <w:rFonts w:ascii="仿宋_GB2312" w:hAnsi="仿宋_GB2312" w:cs="仿宋_GB2312" w:eastAsia="仿宋_GB2312"/>
                      <w:sz w:val="24"/>
                    </w:rPr>
                    <w:t>6、系统：</w:t>
                  </w:r>
                  <w:r>
                    <w:rPr>
                      <w:rFonts w:ascii="仿宋_GB2312" w:hAnsi="仿宋_GB2312" w:cs="仿宋_GB2312" w:eastAsia="仿宋_GB2312"/>
                      <w:sz w:val="24"/>
                      <w:b/>
                    </w:rPr>
                    <w:t>国产操作系统</w:t>
                  </w:r>
                </w:p>
                <w:p>
                  <w:pPr>
                    <w:pStyle w:val="null3"/>
                    <w:jc w:val="left"/>
                  </w:pPr>
                  <w:r>
                    <w:rPr>
                      <w:rFonts w:ascii="仿宋_GB2312" w:hAnsi="仿宋_GB2312" w:cs="仿宋_GB2312" w:eastAsia="仿宋_GB2312"/>
                      <w:sz w:val="24"/>
                    </w:rPr>
                    <w:t xml:space="preserve">内置虚拟化系统软件                        </w:t>
                  </w:r>
                </w:p>
                <w:p>
                  <w:pPr>
                    <w:pStyle w:val="null3"/>
                  </w:pPr>
                  <w:r>
                    <w:rPr>
                      <w:rFonts w:ascii="仿宋_GB2312" w:hAnsi="仿宋_GB2312" w:cs="仿宋_GB2312" w:eastAsia="仿宋_GB2312"/>
                      <w:sz w:val="24"/>
                    </w:rPr>
                    <w:t xml:space="preserve">1、 同时支持教学模式和办公模式，支持集群、支持负载均衡、可直接从某个单独的硬盘恢复用户数据；     </w:t>
                  </w:r>
                </w:p>
                <w:p>
                  <w:pPr>
                    <w:pStyle w:val="null3"/>
                  </w:pPr>
                  <w:r>
                    <w:rPr>
                      <w:rFonts w:ascii="仿宋_GB2312" w:hAnsi="仿宋_GB2312" w:cs="仿宋_GB2312" w:eastAsia="仿宋_GB2312"/>
                      <w:sz w:val="24"/>
                    </w:rPr>
                    <w:t>2、负载均衡，服务端自动修复客户windows、UOS、KYLIN系统关于磁盘和引导相关的错误；</w:t>
                  </w:r>
                </w:p>
                <w:p>
                  <w:pPr>
                    <w:pStyle w:val="null3"/>
                    <w:jc w:val="left"/>
                  </w:pPr>
                  <w:r>
                    <w:rPr>
                      <w:rFonts w:ascii="仿宋_GB2312" w:hAnsi="仿宋_GB2312" w:cs="仿宋_GB2312" w:eastAsia="仿宋_GB2312"/>
                      <w:sz w:val="24"/>
                    </w:rPr>
                    <w:t>★3、支持集群化部署，采用超融合架构，分布式存储，平台默认副本数为2；当存储为集群时，单个节点故障不影响存储的使用；（需提供证明材料，包括但不限于功能截图、检测报告、软件著作权登记证书等）</w:t>
                  </w:r>
                </w:p>
                <w:p>
                  <w:pPr>
                    <w:pStyle w:val="null3"/>
                    <w:jc w:val="left"/>
                  </w:pPr>
                  <w:r>
                    <w:rPr>
                      <w:rFonts w:ascii="仿宋_GB2312" w:hAnsi="仿宋_GB2312" w:cs="仿宋_GB2312" w:eastAsia="仿宋_GB2312"/>
                      <w:sz w:val="24"/>
                    </w:rPr>
                    <w:t>4、管理主机可以看到集群内任意一台主机的CPU、内存、硬盘容量、硬盘IO、所有网卡等的折现视图。</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管理系统</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1、客户端可以在线或离线运行存储的windows、kylin和国产化系统；</w:t>
                  </w:r>
                </w:p>
                <w:p>
                  <w:pPr>
                    <w:pStyle w:val="null3"/>
                    <w:jc w:val="left"/>
                  </w:pPr>
                  <w:r>
                    <w:rPr>
                      <w:rFonts w:ascii="仿宋_GB2312" w:hAnsi="仿宋_GB2312" w:cs="仿宋_GB2312" w:eastAsia="仿宋_GB2312"/>
                      <w:sz w:val="24"/>
                    </w:rPr>
                    <w:t>2、客户端完全利用本机的性能和外设，在线跨网段运行存储在服务器或者服务器集群上的专属或通用系统（包括但不限于windows、UOS、KYLIN）等；</w:t>
                  </w:r>
                </w:p>
                <w:p>
                  <w:pPr>
                    <w:pStyle w:val="null3"/>
                    <w:jc w:val="left"/>
                  </w:pPr>
                  <w:r>
                    <w:rPr>
                      <w:rFonts w:ascii="仿宋_GB2312" w:hAnsi="仿宋_GB2312" w:cs="仿宋_GB2312" w:eastAsia="仿宋_GB2312"/>
                      <w:sz w:val="24"/>
                    </w:rPr>
                    <w:t>3、客户端同时可以利用本机硬件性能将服务端专属或通用系统（包括但不限于windows、UOS、KYLIN）差量化离线到本机硬盘上运行。</w:t>
                  </w:r>
                </w:p>
                <w:p>
                  <w:pPr>
                    <w:pStyle w:val="null3"/>
                    <w:jc w:val="left"/>
                  </w:pPr>
                  <w:r>
                    <w:rPr>
                      <w:rFonts w:ascii="仿宋_GB2312" w:hAnsi="仿宋_GB2312" w:cs="仿宋_GB2312" w:eastAsia="仿宋_GB2312"/>
                      <w:sz w:val="24"/>
                    </w:rPr>
                    <w:t>4、管理员可以批量下发文件给指定用户指定系统（若该系统关机，启动后会自动接收）；</w:t>
                  </w:r>
                </w:p>
                <w:p>
                  <w:pPr>
                    <w:pStyle w:val="null3"/>
                    <w:jc w:val="left"/>
                  </w:pPr>
                  <w:r>
                    <w:rPr>
                      <w:rFonts w:ascii="仿宋_GB2312" w:hAnsi="仿宋_GB2312" w:cs="仿宋_GB2312" w:eastAsia="仿宋_GB2312"/>
                      <w:sz w:val="24"/>
                    </w:rPr>
                    <w:t xml:space="preserve">5、用户可以在任意终端登录属于自己的系统，具备用户管理、终端管理、模版管理、下载管理、模版反向应用等功能模块；       </w:t>
                  </w:r>
                </w:p>
                <w:p>
                  <w:pPr>
                    <w:pStyle w:val="null3"/>
                    <w:jc w:val="left"/>
                  </w:pPr>
                  <w:r>
                    <w:rPr>
                      <w:rFonts w:ascii="仿宋_GB2312" w:hAnsi="仿宋_GB2312" w:cs="仿宋_GB2312" w:eastAsia="仿宋_GB2312"/>
                      <w:sz w:val="24"/>
                    </w:rPr>
                    <w:t>★6、管理系统支持根据不同区域的网络环境，创建不同的虚拟网络类型，包括创建 access 网络和 trunk网络，以满足桌面网络建设和教学需求；（需提供证明材料，包括但不限于功能截图、检测报告、软件著作权登记证书等）</w:t>
                  </w:r>
                </w:p>
                <w:p>
                  <w:pPr>
                    <w:pStyle w:val="null3"/>
                    <w:jc w:val="left"/>
                  </w:pPr>
                  <w:r>
                    <w:rPr>
                      <w:rFonts w:ascii="仿宋_GB2312" w:hAnsi="仿宋_GB2312" w:cs="仿宋_GB2312" w:eastAsia="仿宋_GB2312"/>
                      <w:sz w:val="24"/>
                    </w:rPr>
                    <w:t>★7、支持考试模式，考试模式下，服务器/桌面重启后，学生桌面数据保留；支持D盘；（需提供证明材料，包括但不限于功能截图、检测报告、软件著作权登记证书等）</w:t>
                  </w:r>
                </w:p>
                <w:p>
                  <w:pPr>
                    <w:pStyle w:val="null3"/>
                    <w:jc w:val="left"/>
                  </w:pPr>
                  <w:r>
                    <w:rPr>
                      <w:rFonts w:ascii="仿宋_GB2312" w:hAnsi="仿宋_GB2312" w:cs="仿宋_GB2312" w:eastAsia="仿宋_GB2312"/>
                      <w:sz w:val="24"/>
                    </w:rPr>
                    <w:t>★8、支持虚拟机故障恢复功能，故障虚拟机可以通过备份恢复，也可以恢复到新的虚拟机。当故障虚拟机恢复到新的虚拟机时，故障虚拟机的C盘和云盘自动挂载到新的虚拟机中，管理员可设置故障桌面C盘的卸载时间；（需提供证明材料，包括但不限于检测报告、官网或功能截图）</w:t>
                  </w:r>
                </w:p>
                <w:p>
                  <w:pPr>
                    <w:pStyle w:val="null3"/>
                    <w:jc w:val="left"/>
                  </w:pPr>
                  <w:r>
                    <w:rPr>
                      <w:rFonts w:ascii="仿宋_GB2312" w:hAnsi="仿宋_GB2312" w:cs="仿宋_GB2312" w:eastAsia="仿宋_GB2312"/>
                      <w:sz w:val="24"/>
                    </w:rPr>
                    <w:t>9、客户端离线使用的任意一个系统，支持执行从该胖客户端同步数据到服务器，或者从服务器同步到本地，或者不同步，且无需设置一次生效后自动同步；</w:t>
                  </w:r>
                </w:p>
                <w:p>
                  <w:pPr>
                    <w:pStyle w:val="null3"/>
                    <w:jc w:val="left"/>
                  </w:pPr>
                  <w:r>
                    <w:rPr>
                      <w:rFonts w:ascii="仿宋_GB2312" w:hAnsi="仿宋_GB2312" w:cs="仿宋_GB2312" w:eastAsia="仿宋_GB2312"/>
                      <w:sz w:val="24"/>
                    </w:rPr>
                    <w:t xml:space="preserve">10、客户端支持自动登录，支持设定某个在线或者离线模板作为默认系统；                          </w:t>
                  </w:r>
                </w:p>
                <w:p>
                  <w:pPr>
                    <w:pStyle w:val="null3"/>
                    <w:jc w:val="left"/>
                  </w:pPr>
                  <w:r>
                    <w:rPr>
                      <w:rFonts w:ascii="仿宋_GB2312" w:hAnsi="仿宋_GB2312" w:cs="仿宋_GB2312" w:eastAsia="仿宋_GB2312"/>
                      <w:sz w:val="24"/>
                    </w:rPr>
                    <w:t>11、管理员在用户允许的前提下，可以通过web端远程连接到客户正在使用的操作系统桌面。</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软件授权</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1.教学模式：多教室、负载均衡、关机下发离线系统、断点续传、多系统切换等，内含在线考试系统；</w:t>
                  </w:r>
                </w:p>
                <w:p>
                  <w:pPr>
                    <w:pStyle w:val="null3"/>
                    <w:jc w:val="left"/>
                  </w:pPr>
                  <w:r>
                    <w:rPr>
                      <w:rFonts w:ascii="仿宋_GB2312" w:hAnsi="仿宋_GB2312" w:cs="仿宋_GB2312" w:eastAsia="仿宋_GB2312"/>
                      <w:sz w:val="24"/>
                    </w:rPr>
                    <w:t>（1）支持多个教室，每个教室只有专属于该教室的系统模板；</w:t>
                  </w:r>
                </w:p>
                <w:p>
                  <w:pPr>
                    <w:pStyle w:val="null3"/>
                    <w:jc w:val="left"/>
                  </w:pPr>
                  <w:r>
                    <w:rPr>
                      <w:rFonts w:ascii="仿宋_GB2312" w:hAnsi="仿宋_GB2312" w:cs="仿宋_GB2312" w:eastAsia="仿宋_GB2312"/>
                      <w:sz w:val="24"/>
                    </w:rPr>
                    <w:t>（2）支持指定为在线默认系统、在线自由模式、在线考试模式、离线默认系统、离线自由模式、离线考试模式；</w:t>
                  </w:r>
                </w:p>
                <w:p>
                  <w:pPr>
                    <w:pStyle w:val="null3"/>
                    <w:jc w:val="left"/>
                  </w:pPr>
                  <w:r>
                    <w:rPr>
                      <w:rFonts w:ascii="仿宋_GB2312" w:hAnsi="仿宋_GB2312" w:cs="仿宋_GB2312" w:eastAsia="仿宋_GB2312"/>
                      <w:sz w:val="24"/>
                    </w:rPr>
                    <w:t>（3）下发离线系统时，支持断点续传、差量下发、关机下发等，服务端能看到所有下发任务的总进度和每一个终端的进度，客户端可以看到自己的进度；</w:t>
                  </w:r>
                </w:p>
                <w:p>
                  <w:pPr>
                    <w:pStyle w:val="null3"/>
                    <w:jc w:val="left"/>
                  </w:pPr>
                  <w:r>
                    <w:rPr>
                      <w:rFonts w:ascii="仿宋_GB2312" w:hAnsi="仿宋_GB2312" w:cs="仿宋_GB2312" w:eastAsia="仿宋_GB2312"/>
                      <w:sz w:val="24"/>
                    </w:rPr>
                    <w:t>（4）客户端支持一键恢复出厂设置，且可以无需重新刷机实现学生端和办公端的转换；</w:t>
                  </w:r>
                </w:p>
                <w:p>
                  <w:pPr>
                    <w:pStyle w:val="null3"/>
                    <w:jc w:val="left"/>
                  </w:pPr>
                  <w:r>
                    <w:rPr>
                      <w:rFonts w:ascii="仿宋_GB2312" w:hAnsi="仿宋_GB2312" w:cs="仿宋_GB2312" w:eastAsia="仿宋_GB2312"/>
                      <w:sz w:val="24"/>
                    </w:rPr>
                    <w:t>（5）客户端可以通过pxe统一安装；</w:t>
                  </w:r>
                </w:p>
                <w:p>
                  <w:pPr>
                    <w:pStyle w:val="null3"/>
                    <w:jc w:val="left"/>
                  </w:pPr>
                  <w:r>
                    <w:rPr>
                      <w:rFonts w:ascii="仿宋_GB2312" w:hAnsi="仿宋_GB2312" w:cs="仿宋_GB2312" w:eastAsia="仿宋_GB2312"/>
                      <w:sz w:val="24"/>
                    </w:rPr>
                    <w:t>（6）教室端可以是办公模式的办公端，方便教师在不同教室登录自己专属的系统，且支持多系统启动（包括但不限于windows、UOS、KYLIN）等;</w:t>
                  </w:r>
                </w:p>
                <w:p>
                  <w:pPr>
                    <w:pStyle w:val="null3"/>
                    <w:jc w:val="left"/>
                  </w:pPr>
                  <w:r>
                    <w:rPr>
                      <w:rFonts w:ascii="仿宋_GB2312" w:hAnsi="仿宋_GB2312" w:cs="仿宋_GB2312" w:eastAsia="仿宋_GB2312"/>
                      <w:sz w:val="24"/>
                    </w:rPr>
                    <w:t>2.教学管理软件：具有实现屏幕广播、禁止U盘、禁止上网、电子白板、举手、消息、收发文件或作业、远程开关机、模板管理等功能；</w:t>
                  </w:r>
                </w:p>
                <w:p>
                  <w:pPr>
                    <w:pStyle w:val="null3"/>
                    <w:jc w:val="left"/>
                  </w:pPr>
                  <w:r>
                    <w:rPr>
                      <w:rFonts w:ascii="仿宋_GB2312" w:hAnsi="仿宋_GB2312" w:cs="仿宋_GB2312" w:eastAsia="仿宋_GB2312"/>
                      <w:sz w:val="24"/>
                    </w:rPr>
                    <w:t>（1）支持跨系统，即教师端和学生端可以是UOS/KYLIN/WINDOWS任意一种系统；</w:t>
                  </w:r>
                </w:p>
                <w:p>
                  <w:pPr>
                    <w:pStyle w:val="null3"/>
                    <w:jc w:val="left"/>
                  </w:pPr>
                  <w:r>
                    <w:rPr>
                      <w:rFonts w:ascii="仿宋_GB2312" w:hAnsi="仿宋_GB2312" w:cs="仿宋_GB2312" w:eastAsia="仿宋_GB2312"/>
                      <w:sz w:val="24"/>
                    </w:rPr>
                    <w:t>（2）学生端在任意系统下无需任何配置；</w:t>
                  </w:r>
                </w:p>
                <w:p>
                  <w:pPr>
                    <w:pStyle w:val="null3"/>
                    <w:jc w:val="left"/>
                  </w:pPr>
                  <w:r>
                    <w:rPr>
                      <w:rFonts w:ascii="仿宋_GB2312" w:hAnsi="仿宋_GB2312" w:cs="仿宋_GB2312" w:eastAsia="仿宋_GB2312"/>
                      <w:sz w:val="24"/>
                    </w:rPr>
                    <w:t>（3）教师端只需要配置服务器ip和教室号即可完成部署；</w:t>
                  </w:r>
                </w:p>
                <w:p>
                  <w:pPr>
                    <w:pStyle w:val="null3"/>
                    <w:jc w:val="left"/>
                  </w:pPr>
                  <w:r>
                    <w:rPr>
                      <w:rFonts w:ascii="仿宋_GB2312" w:hAnsi="仿宋_GB2312" w:cs="仿宋_GB2312" w:eastAsia="仿宋_GB2312"/>
                      <w:sz w:val="24"/>
                    </w:rPr>
                    <w:t>（4）教室端和云桌面后台高度融合，在教学管理软件内（无需打开web端）即可完成教学模式下除创建教室外的所有功能；</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学生计算机</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1.处理器：</w:t>
                  </w:r>
                  <w:r>
                    <w:rPr>
                      <w:rFonts w:ascii="仿宋_GB2312" w:hAnsi="仿宋_GB2312" w:cs="仿宋_GB2312" w:eastAsia="仿宋_GB2312"/>
                      <w:sz w:val="24"/>
                    </w:rPr>
                    <w:t>国产</w:t>
                  </w:r>
                  <w:r>
                    <w:rPr>
                      <w:rFonts w:ascii="仿宋_GB2312" w:hAnsi="仿宋_GB2312" w:cs="仿宋_GB2312" w:eastAsia="仿宋_GB2312"/>
                      <w:sz w:val="24"/>
                    </w:rPr>
                    <w:t xml:space="preserve"> （核心数：≥八核，主频：2.7GHz）;</w:t>
                  </w:r>
                </w:p>
                <w:p>
                  <w:pPr>
                    <w:pStyle w:val="null3"/>
                    <w:jc w:val="left"/>
                  </w:pPr>
                  <w:r>
                    <w:rPr>
                      <w:rFonts w:ascii="仿宋_GB2312" w:hAnsi="仿宋_GB2312" w:cs="仿宋_GB2312" w:eastAsia="仿宋_GB2312"/>
                      <w:sz w:val="24"/>
                    </w:rPr>
                    <w:t>2.内存:</w:t>
                  </w:r>
                  <w:r>
                    <w:rPr>
                      <w:rFonts w:ascii="仿宋_GB2312" w:hAnsi="仿宋_GB2312" w:cs="仿宋_GB2312" w:eastAsia="仿宋_GB2312"/>
                      <w:sz w:val="24"/>
                    </w:rPr>
                    <w:t>≥</w:t>
                  </w:r>
                  <w:r>
                    <w:rPr>
                      <w:rFonts w:ascii="仿宋_GB2312" w:hAnsi="仿宋_GB2312" w:cs="仿宋_GB2312" w:eastAsia="仿宋_GB2312"/>
                      <w:sz w:val="24"/>
                    </w:rPr>
                    <w:t>16GB;</w:t>
                  </w:r>
                </w:p>
                <w:p>
                  <w:pPr>
                    <w:pStyle w:val="null3"/>
                    <w:jc w:val="left"/>
                  </w:pPr>
                  <w:r>
                    <w:rPr>
                      <w:rFonts w:ascii="仿宋_GB2312" w:hAnsi="仿宋_GB2312" w:cs="仿宋_GB2312" w:eastAsia="仿宋_GB2312"/>
                      <w:sz w:val="24"/>
                    </w:rPr>
                    <w:t>3.硬盘:</w:t>
                  </w:r>
                  <w:r>
                    <w:rPr>
                      <w:rFonts w:ascii="仿宋_GB2312" w:hAnsi="仿宋_GB2312" w:cs="仿宋_GB2312" w:eastAsia="仿宋_GB2312"/>
                      <w:sz w:val="24"/>
                    </w:rPr>
                    <w:t>≥</w:t>
                  </w:r>
                  <w:r>
                    <w:rPr>
                      <w:rFonts w:ascii="仿宋_GB2312" w:hAnsi="仿宋_GB2312" w:cs="仿宋_GB2312" w:eastAsia="仿宋_GB2312"/>
                      <w:sz w:val="24"/>
                    </w:rPr>
                    <w:t>256GB SSD;</w:t>
                  </w:r>
                </w:p>
                <w:p>
                  <w:pPr>
                    <w:pStyle w:val="null3"/>
                    <w:jc w:val="left"/>
                  </w:pPr>
                  <w:r>
                    <w:rPr>
                      <w:rFonts w:ascii="仿宋_GB2312" w:hAnsi="仿宋_GB2312" w:cs="仿宋_GB2312" w:eastAsia="仿宋_GB2312"/>
                      <w:sz w:val="24"/>
                    </w:rPr>
                    <w:t>4.接口：</w:t>
                  </w:r>
                  <w:r>
                    <w:rPr>
                      <w:rFonts w:ascii="仿宋_GB2312" w:hAnsi="仿宋_GB2312" w:cs="仿宋_GB2312" w:eastAsia="仿宋_GB2312"/>
                      <w:sz w:val="24"/>
                    </w:rPr>
                    <w:t>≥</w:t>
                  </w:r>
                  <w:r>
                    <w:rPr>
                      <w:rFonts w:ascii="仿宋_GB2312" w:hAnsi="仿宋_GB2312" w:cs="仿宋_GB2312" w:eastAsia="仿宋_GB2312"/>
                      <w:sz w:val="24"/>
                    </w:rPr>
                    <w:t>6个USB接口（2个USB3.0）、1个千兆网口、1个VGA接口和1个HDMI接口、1对音频输入输出接口；</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 xml:space="preserve">23寸液晶屏（分辨率：≥1920×1080，频率≥60Hz）              </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系统软件：国产操作系统</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教师计算机</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1.处理器：</w:t>
                  </w:r>
                  <w:r>
                    <w:rPr>
                      <w:rFonts w:ascii="仿宋_GB2312" w:hAnsi="仿宋_GB2312" w:cs="仿宋_GB2312" w:eastAsia="仿宋_GB2312"/>
                      <w:sz w:val="24"/>
                    </w:rPr>
                    <w:t>国产</w:t>
                  </w:r>
                  <w:r>
                    <w:rPr>
                      <w:rFonts w:ascii="仿宋_GB2312" w:hAnsi="仿宋_GB2312" w:cs="仿宋_GB2312" w:eastAsia="仿宋_GB2312"/>
                      <w:sz w:val="24"/>
                    </w:rPr>
                    <w:t xml:space="preserve"> （核心数：≥八核，主频：≥2.7GHz）;</w:t>
                  </w:r>
                </w:p>
                <w:p>
                  <w:pPr>
                    <w:pStyle w:val="null3"/>
                    <w:jc w:val="left"/>
                  </w:pPr>
                  <w:r>
                    <w:rPr>
                      <w:rFonts w:ascii="仿宋_GB2312" w:hAnsi="仿宋_GB2312" w:cs="仿宋_GB2312" w:eastAsia="仿宋_GB2312"/>
                      <w:sz w:val="24"/>
                    </w:rPr>
                    <w:t>2.内存:</w:t>
                  </w:r>
                  <w:r>
                    <w:rPr>
                      <w:rFonts w:ascii="仿宋_GB2312" w:hAnsi="仿宋_GB2312" w:cs="仿宋_GB2312" w:eastAsia="仿宋_GB2312"/>
                      <w:sz w:val="24"/>
                    </w:rPr>
                    <w:t>≥</w:t>
                  </w:r>
                  <w:r>
                    <w:rPr>
                      <w:rFonts w:ascii="仿宋_GB2312" w:hAnsi="仿宋_GB2312" w:cs="仿宋_GB2312" w:eastAsia="仿宋_GB2312"/>
                      <w:sz w:val="24"/>
                    </w:rPr>
                    <w:t xml:space="preserve">16GB; </w:t>
                  </w:r>
                </w:p>
                <w:p>
                  <w:pPr>
                    <w:pStyle w:val="null3"/>
                    <w:jc w:val="left"/>
                  </w:pPr>
                  <w:r>
                    <w:rPr>
                      <w:rFonts w:ascii="仿宋_GB2312" w:hAnsi="仿宋_GB2312" w:cs="仿宋_GB2312" w:eastAsia="仿宋_GB2312"/>
                      <w:sz w:val="24"/>
                    </w:rPr>
                    <w:t xml:space="preserve"> 3.硬盘:</w:t>
                  </w:r>
                  <w:r>
                    <w:rPr>
                      <w:rFonts w:ascii="仿宋_GB2312" w:hAnsi="仿宋_GB2312" w:cs="仿宋_GB2312" w:eastAsia="仿宋_GB2312"/>
                      <w:sz w:val="24"/>
                    </w:rPr>
                    <w:t>≥</w:t>
                  </w:r>
                  <w:r>
                    <w:rPr>
                      <w:rFonts w:ascii="仿宋_GB2312" w:hAnsi="仿宋_GB2312" w:cs="仿宋_GB2312" w:eastAsia="仿宋_GB2312"/>
                      <w:sz w:val="24"/>
                    </w:rPr>
                    <w:t xml:space="preserve">256G SSD+1THDD </w:t>
                  </w:r>
                </w:p>
                <w:p>
                  <w:pPr>
                    <w:pStyle w:val="null3"/>
                    <w:jc w:val="left"/>
                  </w:pPr>
                  <w:r>
                    <w:rPr>
                      <w:rFonts w:ascii="仿宋_GB2312" w:hAnsi="仿宋_GB2312" w:cs="仿宋_GB2312" w:eastAsia="仿宋_GB2312"/>
                      <w:sz w:val="24"/>
                    </w:rPr>
                    <w:t xml:space="preserve"> 4.接口：</w:t>
                  </w:r>
                  <w:r>
                    <w:rPr>
                      <w:rFonts w:ascii="仿宋_GB2312" w:hAnsi="仿宋_GB2312" w:cs="仿宋_GB2312" w:eastAsia="仿宋_GB2312"/>
                      <w:sz w:val="24"/>
                    </w:rPr>
                    <w:t>≥</w:t>
                  </w:r>
                  <w:r>
                    <w:rPr>
                      <w:rFonts w:ascii="仿宋_GB2312" w:hAnsi="仿宋_GB2312" w:cs="仿宋_GB2312" w:eastAsia="仿宋_GB2312"/>
                      <w:sz w:val="24"/>
                    </w:rPr>
                    <w:t>6个USB接口（2个USB3.0）、1个千兆网口、1个VGA接口和1个HDMI接口、1对音频输入输出接口；</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 xml:space="preserve">23寸液晶屏（分辨率：≥1920×1080，频率≥60Hz） </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.系统软件：国产操作系统</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学生桌</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 课桌尺寸：长、宽、高，约1200mm*600mm*750mm（根据现场订制）。</w:t>
                  </w:r>
                  <w:r>
                    <w:br/>
                  </w:r>
                  <w:r>
                    <w:rPr>
                      <w:rFonts w:ascii="仿宋_GB2312" w:hAnsi="仿宋_GB2312" w:cs="仿宋_GB2312" w:eastAsia="仿宋_GB2312"/>
                      <w:sz w:val="24"/>
                    </w:rPr>
                    <w:t xml:space="preserve"> 2、 材料：桌面板材采用环保实木颗粒板，厚度≥25mm；主要支撑部件采用优质冷轧钢管，钢管厚度≥1.0mm，桌子档板为0.6mm优质冷轧钢板。</w:t>
                  </w:r>
                  <w:r>
                    <w:br/>
                  </w:r>
                  <w:r>
                    <w:rPr>
                      <w:rFonts w:ascii="仿宋_GB2312" w:hAnsi="仿宋_GB2312" w:cs="仿宋_GB2312" w:eastAsia="仿宋_GB2312"/>
                      <w:sz w:val="24"/>
                    </w:rPr>
                    <w:t xml:space="preserve"> 设计要求：</w:t>
                  </w:r>
                  <w:r>
                    <w:br/>
                  </w:r>
                  <w:r>
                    <w:rPr>
                      <w:rFonts w:ascii="仿宋_GB2312" w:hAnsi="仿宋_GB2312" w:cs="仿宋_GB2312" w:eastAsia="仿宋_GB2312"/>
                      <w:sz w:val="24"/>
                    </w:rPr>
                    <w:t xml:space="preserve"> 1、 桌面板采用环保材料制作，具有耐磨，耐热、耐酸碱，耐烟灼，耐撞击等性能。</w:t>
                  </w:r>
                  <w:r>
                    <w:br/>
                  </w:r>
                  <w:r>
                    <w:rPr>
                      <w:rFonts w:ascii="仿宋_GB2312" w:hAnsi="仿宋_GB2312" w:cs="仿宋_GB2312" w:eastAsia="仿宋_GB2312"/>
                      <w:sz w:val="24"/>
                    </w:rPr>
                    <w:t xml:space="preserve"> 2、 钢管表面静电喷塑。</w:t>
                  </w:r>
                  <w:r>
                    <w:br/>
                  </w:r>
                  <w:r>
                    <w:rPr>
                      <w:rFonts w:ascii="仿宋_GB2312" w:hAnsi="仿宋_GB2312" w:cs="仿宋_GB2312" w:eastAsia="仿宋_GB2312"/>
                      <w:sz w:val="24"/>
                    </w:rPr>
                    <w:t xml:space="preserve"> 3、 脚垫采用塑料静音防滑胶垫。</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位</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学生凳子</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1、凳子规格约：340mm*240mm*420mm，</w:t>
                  </w:r>
                  <w:r>
                    <w:br/>
                  </w:r>
                  <w:r>
                    <w:rPr>
                      <w:rFonts w:ascii="仿宋_GB2312" w:hAnsi="仿宋_GB2312" w:cs="仿宋_GB2312" w:eastAsia="仿宋_GB2312"/>
                      <w:sz w:val="24"/>
                    </w:rPr>
                    <w:t xml:space="preserve"> 2、材料：板材采用≥25mm三聚氰胺板桌面，厚度≥25mm；主要支撑部件采用优质冷轧钢板冲压成型，钢板厚度≥1.0mm，钢体结构小方凳，表面经环保漆喷凃处 理，采用全钢架构焊接，凳子面固定在钢架中间。</w:t>
                  </w:r>
                  <w:r>
                    <w:br/>
                  </w:r>
                  <w:r>
                    <w:rPr>
                      <w:rFonts w:ascii="仿宋_GB2312" w:hAnsi="仿宋_GB2312" w:cs="仿宋_GB2312" w:eastAsia="仿宋_GB2312"/>
                      <w:sz w:val="24"/>
                    </w:rPr>
                    <w:t xml:space="preserve"> 3、脚垫采用塑料静音防滑胶垫。</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路由器</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≥5口全千兆路由器，带终端数100-150台，带宽</w:t>
                  </w:r>
                  <w:r>
                    <w:rPr>
                      <w:rFonts w:ascii="仿宋_GB2312" w:hAnsi="仿宋_GB2312" w:cs="仿宋_GB2312" w:eastAsia="仿宋_GB2312"/>
                      <w:sz w:val="24"/>
                    </w:rPr>
                    <w:t>≥</w:t>
                  </w:r>
                  <w:r>
                    <w:rPr>
                      <w:rFonts w:ascii="仿宋_GB2312" w:hAnsi="仿宋_GB2312" w:cs="仿宋_GB2312" w:eastAsia="仿宋_GB2312"/>
                      <w:sz w:val="24"/>
                    </w:rPr>
                    <w:t>1Gbps，内置AC功能，支持管理AP数32；支持IPSec VPN、L2TP VPN，支持固定IP地址、DHCP自动获取地址、PPPoE拨号等多种方式、支持短信、微信公众号、账号等多种接入认证方式，支持应用流控、应用阻断。</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交换机</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交换容量:</w:t>
                  </w:r>
                  <w:r>
                    <w:rPr>
                      <w:rFonts w:ascii="仿宋_GB2312" w:hAnsi="仿宋_GB2312" w:cs="仿宋_GB2312" w:eastAsia="仿宋_GB2312"/>
                      <w:sz w:val="24"/>
                    </w:rPr>
                    <w:t>≥</w:t>
                  </w:r>
                  <w:r>
                    <w:rPr>
                      <w:rFonts w:ascii="仿宋_GB2312" w:hAnsi="仿宋_GB2312" w:cs="仿宋_GB2312" w:eastAsia="仿宋_GB2312"/>
                      <w:sz w:val="24"/>
                    </w:rPr>
                    <w:t>32Gbps，转发能力:</w:t>
                  </w:r>
                  <w:r>
                    <w:rPr>
                      <w:rFonts w:ascii="仿宋_GB2312" w:hAnsi="仿宋_GB2312" w:cs="仿宋_GB2312" w:eastAsia="仿宋_GB2312"/>
                      <w:sz w:val="24"/>
                    </w:rPr>
                    <w:t>≥</w:t>
                  </w:r>
                  <w:r>
                    <w:rPr>
                      <w:rFonts w:ascii="仿宋_GB2312" w:hAnsi="仿宋_GB2312" w:cs="仿宋_GB2312" w:eastAsia="仿宋_GB2312"/>
                      <w:sz w:val="24"/>
                    </w:rPr>
                    <w:t>23.8Mpps</w:t>
                  </w:r>
                </w:p>
                <w:p>
                  <w:pPr>
                    <w:pStyle w:val="null3"/>
                    <w:jc w:val="left"/>
                  </w:pPr>
                  <w:r>
                    <w:rPr>
                      <w:rFonts w:ascii="仿宋_GB2312" w:hAnsi="仿宋_GB2312" w:cs="仿宋_GB2312" w:eastAsia="仿宋_GB2312"/>
                      <w:sz w:val="24"/>
                    </w:rPr>
                    <w:t>≥16个10/100/1000Base-T电口</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交换机</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交换容量:</w:t>
                  </w:r>
                  <w:r>
                    <w:rPr>
                      <w:rFonts w:ascii="仿宋_GB2312" w:hAnsi="仿宋_GB2312" w:cs="仿宋_GB2312" w:eastAsia="仿宋_GB2312"/>
                      <w:sz w:val="24"/>
                    </w:rPr>
                    <w:t>≥</w:t>
                  </w:r>
                  <w:r>
                    <w:rPr>
                      <w:rFonts w:ascii="仿宋_GB2312" w:hAnsi="仿宋_GB2312" w:cs="仿宋_GB2312" w:eastAsia="仿宋_GB2312"/>
                      <w:sz w:val="24"/>
                    </w:rPr>
                    <w:t>672Gbps/6.72Tbps，包转发:</w:t>
                  </w:r>
                  <w:r>
                    <w:rPr>
                      <w:rFonts w:ascii="仿宋_GB2312" w:hAnsi="仿宋_GB2312" w:cs="仿宋_GB2312" w:eastAsia="仿宋_GB2312"/>
                      <w:sz w:val="24"/>
                    </w:rPr>
                    <w:t>≥</w:t>
                  </w:r>
                  <w:r>
                    <w:rPr>
                      <w:rFonts w:ascii="仿宋_GB2312" w:hAnsi="仿宋_GB2312" w:cs="仿宋_GB2312" w:eastAsia="仿宋_GB2312"/>
                      <w:sz w:val="24"/>
                    </w:rPr>
                    <w:t>144/166Mpps</w:t>
                  </w:r>
                </w:p>
                <w:p>
                  <w:pPr>
                    <w:pStyle w:val="null3"/>
                    <w:jc w:val="left"/>
                  </w:pPr>
                  <w:r>
                    <w:rPr>
                      <w:rFonts w:ascii="仿宋_GB2312" w:hAnsi="仿宋_GB2312" w:cs="仿宋_GB2312" w:eastAsia="仿宋_GB2312"/>
                      <w:sz w:val="24"/>
                    </w:rPr>
                    <w:t>≥48个10/100/1000BASE-T电口,支持4个1000BASE-X SFP端口</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服务器机柜</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标准22U服务器机柜，1个PDU插排，尺寸约：1200*600*900</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教师桌椅</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课桌尺寸约：1400mm*600mm*750mm。</w:t>
                  </w:r>
                  <w:r>
                    <w:br/>
                  </w:r>
                  <w:r>
                    <w:rPr>
                      <w:rFonts w:ascii="仿宋_GB2312" w:hAnsi="仿宋_GB2312" w:cs="仿宋_GB2312" w:eastAsia="仿宋_GB2312"/>
                      <w:sz w:val="24"/>
                    </w:rPr>
                    <w:t xml:space="preserve"> 2、 材料：桌面板材采用环保实木颗粒板，厚度≥25mm；主要支撑部件采用优质冷轧钢管，钢管厚度≥1.0mm，桌子档板为0.6mm优质冷轧钢板。</w:t>
                  </w:r>
                  <w:r>
                    <w:br/>
                  </w:r>
                  <w:r>
                    <w:rPr>
                      <w:rFonts w:ascii="仿宋_GB2312" w:hAnsi="仿宋_GB2312" w:cs="仿宋_GB2312" w:eastAsia="仿宋_GB2312"/>
                      <w:sz w:val="24"/>
                    </w:rPr>
                    <w:t xml:space="preserve"> 设计要求：</w:t>
                  </w:r>
                  <w:r>
                    <w:br/>
                  </w:r>
                  <w:r>
                    <w:rPr>
                      <w:rFonts w:ascii="仿宋_GB2312" w:hAnsi="仿宋_GB2312" w:cs="仿宋_GB2312" w:eastAsia="仿宋_GB2312"/>
                      <w:sz w:val="24"/>
                    </w:rPr>
                    <w:t xml:space="preserve"> 1、 桌面板采用环保材料制作，具有耐磨，耐热、耐酸碱，耐烟灼，耐撞击等性能。</w:t>
                  </w:r>
                  <w:r>
                    <w:br/>
                  </w:r>
                  <w:r>
                    <w:rPr>
                      <w:rFonts w:ascii="仿宋_GB2312" w:hAnsi="仿宋_GB2312" w:cs="仿宋_GB2312" w:eastAsia="仿宋_GB2312"/>
                      <w:sz w:val="24"/>
                    </w:rPr>
                    <w:t xml:space="preserve"> 2、 钢管表面静电喷塑。</w:t>
                  </w:r>
                  <w:r>
                    <w:br/>
                  </w:r>
                  <w:r>
                    <w:rPr>
                      <w:rFonts w:ascii="仿宋_GB2312" w:hAnsi="仿宋_GB2312" w:cs="仿宋_GB2312" w:eastAsia="仿宋_GB2312"/>
                      <w:sz w:val="24"/>
                    </w:rPr>
                    <w:t xml:space="preserve"> 3、 脚垫采用塑料静音防滑胶垫。</w:t>
                  </w:r>
                  <w:r>
                    <w:br/>
                  </w:r>
                  <w:r>
                    <w:rPr>
                      <w:rFonts w:ascii="仿宋_GB2312" w:hAnsi="仿宋_GB2312" w:cs="仿宋_GB2312" w:eastAsia="仿宋_GB2312"/>
                      <w:sz w:val="24"/>
                    </w:rPr>
                    <w:t xml:space="preserve"> 教师椅参数</w:t>
                  </w:r>
                  <w:r>
                    <w:br/>
                  </w:r>
                  <w:r>
                    <w:rPr>
                      <w:rFonts w:ascii="仿宋_GB2312" w:hAnsi="仿宋_GB2312" w:cs="仿宋_GB2312" w:eastAsia="仿宋_GB2312"/>
                      <w:sz w:val="24"/>
                    </w:rPr>
                    <w:t xml:space="preserve"> 背框：工程料PP+纤维;面料：优质透气网布;（可升降、旋转、逍遥）。</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稳压器</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1.输入电压：277-430V（三相四线）</w:t>
                  </w:r>
                  <w:r>
                    <w:br/>
                  </w:r>
                  <w:r>
                    <w:rPr>
                      <w:rFonts w:ascii="仿宋_GB2312" w:hAnsi="仿宋_GB2312" w:cs="仿宋_GB2312" w:eastAsia="仿宋_GB2312"/>
                      <w:sz w:val="24"/>
                    </w:rPr>
                    <w:t xml:space="preserve"> 2.输出电压：380V±3%  相电压220V±3%</w:t>
                  </w:r>
                  <w:r>
                    <w:br/>
                  </w:r>
                  <w:r>
                    <w:rPr>
                      <w:rFonts w:ascii="仿宋_GB2312" w:hAnsi="仿宋_GB2312" w:cs="仿宋_GB2312" w:eastAsia="仿宋_GB2312"/>
                      <w:sz w:val="24"/>
                    </w:rPr>
                    <w:t xml:space="preserve"> 3.相数：三相</w:t>
                  </w:r>
                  <w:r>
                    <w:br/>
                  </w:r>
                  <w:r>
                    <w:rPr>
                      <w:rFonts w:ascii="仿宋_GB2312" w:hAnsi="仿宋_GB2312" w:cs="仿宋_GB2312" w:eastAsia="仿宋_GB2312"/>
                      <w:sz w:val="24"/>
                    </w:rPr>
                    <w:t xml:space="preserve"> 4.频率：50～60Hz</w:t>
                  </w:r>
                  <w:r>
                    <w:br/>
                  </w:r>
                  <w:r>
                    <w:rPr>
                      <w:rFonts w:ascii="仿宋_GB2312" w:hAnsi="仿宋_GB2312" w:cs="仿宋_GB2312" w:eastAsia="仿宋_GB2312"/>
                      <w:sz w:val="24"/>
                    </w:rPr>
                    <w:t xml:space="preserve"> 5.调整时间:&lt;1秒（输入电压变化10%时）</w:t>
                  </w:r>
                  <w:r>
                    <w:br/>
                  </w:r>
                  <w:r>
                    <w:rPr>
                      <w:rFonts w:ascii="仿宋_GB2312" w:hAnsi="仿宋_GB2312" w:cs="仿宋_GB2312" w:eastAsia="仿宋_GB2312"/>
                      <w:sz w:val="24"/>
                    </w:rPr>
                    <w:t xml:space="preserve"> 6.额定输出电流：50A</w:t>
                  </w:r>
                  <w:r>
                    <w:br/>
                  </w:r>
                  <w:r>
                    <w:rPr>
                      <w:rFonts w:ascii="仿宋_GB2312" w:hAnsi="仿宋_GB2312" w:cs="仿宋_GB2312" w:eastAsia="仿宋_GB2312"/>
                      <w:sz w:val="24"/>
                    </w:rPr>
                    <w:t xml:space="preserve"> 7.环境温度：-10℃～40℃</w:t>
                  </w:r>
                  <w:r>
                    <w:br/>
                  </w:r>
                  <w:r>
                    <w:rPr>
                      <w:rFonts w:ascii="仿宋_GB2312" w:hAnsi="仿宋_GB2312" w:cs="仿宋_GB2312" w:eastAsia="仿宋_GB2312"/>
                      <w:sz w:val="24"/>
                    </w:rPr>
                    <w:t xml:space="preserve"> 8.温升：&lt;60℃</w:t>
                  </w:r>
                  <w:r>
                    <w:br/>
                  </w:r>
                  <w:r>
                    <w:rPr>
                      <w:rFonts w:ascii="仿宋_GB2312" w:hAnsi="仿宋_GB2312" w:cs="仿宋_GB2312" w:eastAsia="仿宋_GB2312"/>
                      <w:sz w:val="24"/>
                    </w:rPr>
                    <w:t xml:space="preserve"> 9.抗电强度：1500V/1min</w:t>
                  </w:r>
                  <w:r>
                    <w:br/>
                  </w:r>
                  <w:r>
                    <w:rPr>
                      <w:rFonts w:ascii="仿宋_GB2312" w:hAnsi="仿宋_GB2312" w:cs="仿宋_GB2312" w:eastAsia="仿宋_GB2312"/>
                      <w:sz w:val="24"/>
                    </w:rPr>
                    <w:t xml:space="preserve"> 10.波形失真：无附加失真</w:t>
                  </w:r>
                  <w:r>
                    <w:br/>
                  </w:r>
                  <w:r>
                    <w:rPr>
                      <w:rFonts w:ascii="仿宋_GB2312" w:hAnsi="仿宋_GB2312" w:cs="仿宋_GB2312" w:eastAsia="仿宋_GB2312"/>
                      <w:sz w:val="24"/>
                    </w:rPr>
                    <w:t xml:space="preserve"> 11.效率：&gt;90%</w:t>
                  </w:r>
                  <w:r>
                    <w:br/>
                  </w:r>
                  <w:r>
                    <w:rPr>
                      <w:rFonts w:ascii="仿宋_GB2312" w:hAnsi="仿宋_GB2312" w:cs="仿宋_GB2312" w:eastAsia="仿宋_GB2312"/>
                      <w:sz w:val="24"/>
                    </w:rPr>
                    <w:t xml:space="preserve"> 12.绝缘电阻：&gt;2MΩ</w:t>
                  </w:r>
                  <w:r>
                    <w:br/>
                  </w:r>
                  <w:r>
                    <w:rPr>
                      <w:rFonts w:ascii="仿宋_GB2312" w:hAnsi="仿宋_GB2312" w:cs="仿宋_GB2312" w:eastAsia="仿宋_GB2312"/>
                      <w:sz w:val="24"/>
                    </w:rPr>
                    <w:t xml:space="preserve"> 13.负载功率因素：≥0.8</w:t>
                  </w:r>
                  <w:r>
                    <w:br/>
                  </w:r>
                  <w:r>
                    <w:rPr>
                      <w:rFonts w:ascii="仿宋_GB2312" w:hAnsi="仿宋_GB2312" w:cs="仿宋_GB2312" w:eastAsia="仿宋_GB2312"/>
                      <w:sz w:val="24"/>
                    </w:rPr>
                    <w:t xml:space="preserve"> 14.过压保护：246±4V</w:t>
                  </w:r>
                  <w:r>
                    <w:br/>
                  </w:r>
                  <w:r>
                    <w:rPr>
                      <w:rFonts w:ascii="仿宋_GB2312" w:hAnsi="仿宋_GB2312" w:cs="仿宋_GB2312" w:eastAsia="仿宋_GB2312"/>
                      <w:sz w:val="24"/>
                    </w:rPr>
                    <w:t xml:space="preserve"> 15：尺寸：640*550*1060</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防静电地板</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尺寸：600×600×35（mm）,全钢基材，钢板壳结构，内腔填充发泡水泥，表面为HPL（三聚氰胺）面层，四周黑色导电PVC封边，燃烧性能：不燃</w:t>
                  </w:r>
                  <w:r>
                    <w:rPr>
                      <w:rFonts w:ascii="仿宋_GB2312" w:hAnsi="仿宋_GB2312" w:cs="仿宋_GB2312" w:eastAsia="仿宋_GB2312"/>
                      <w:sz w:val="24"/>
                    </w:rPr>
                    <w:t>≥</w:t>
                  </w:r>
                  <w:r>
                    <w:rPr>
                      <w:rFonts w:ascii="仿宋_GB2312" w:hAnsi="仿宋_GB2312" w:cs="仿宋_GB2312" w:eastAsia="仿宋_GB2312"/>
                      <w:sz w:val="24"/>
                    </w:rPr>
                    <w:t>A1n级，机械性能：中心载荷</w:t>
                  </w:r>
                  <w:r>
                    <w:rPr>
                      <w:rFonts w:ascii="仿宋_GB2312" w:hAnsi="仿宋_GB2312" w:cs="仿宋_GB2312" w:eastAsia="仿宋_GB2312"/>
                      <w:sz w:val="24"/>
                    </w:rPr>
                    <w:t>≥</w:t>
                  </w:r>
                  <w:r>
                    <w:rPr>
                      <w:rFonts w:ascii="仿宋_GB2312" w:hAnsi="仿宋_GB2312" w:cs="仿宋_GB2312" w:eastAsia="仿宋_GB2312"/>
                      <w:sz w:val="24"/>
                    </w:rPr>
                    <w:t>1960N，（挠度≤2mm，永久变形≤0.25mm）极限载荷≥5880N，均布载荷=9720N/m2（挠度≤2mm），配件：支架：全钢材质，镀锌防锈，上托板68×68×3mm，下托板82×82×2mm，管径28mm，高度100-300mm可调节。横梁：596×21×32mm,壁厚1.0mm。</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网线</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六类8芯双绞线</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电源线</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4平方多芯国标电源线（红、蓝、绿各100米/卷）</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耳机</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喇叭阻抗：32欧+-15%</w:t>
                  </w:r>
                </w:p>
                <w:p>
                  <w:pPr>
                    <w:pStyle w:val="null3"/>
                    <w:jc w:val="left"/>
                  </w:pPr>
                  <w:r>
                    <w:rPr>
                      <w:rFonts w:ascii="仿宋_GB2312" w:hAnsi="仿宋_GB2312" w:cs="仿宋_GB2312" w:eastAsia="仿宋_GB2312"/>
                      <w:sz w:val="24"/>
                    </w:rPr>
                    <w:t>喇叭直径：40MM(钕铁硼)频率范围：20Hz-20KHz额定功率：15-50MW</w:t>
                  </w:r>
                </w:p>
                <w:p>
                  <w:pPr>
                    <w:pStyle w:val="null3"/>
                    <w:jc w:val="left"/>
                  </w:pPr>
                  <w:r>
                    <w:rPr>
                      <w:rFonts w:ascii="仿宋_GB2312" w:hAnsi="仿宋_GB2312" w:cs="仿宋_GB2312" w:eastAsia="仿宋_GB2312"/>
                      <w:sz w:val="24"/>
                    </w:rPr>
                    <w:t>灵敏度：105dB+-5dB S.P.Lat 1KHz麦克风规格：直径6.0x5.0MM麦克风灵敏度：-54dB+-2dB麦克风频率范围：50-10KHZ麦克风阻抗：2.2K/1KHZ输入插头：USB</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吊顶</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选用600mm*600mm铝扣板或矿棉板吊顶、墙壁粉刷</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平方</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LED灯</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约600*600LED面板灯</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安装调试</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电源插板55个、线槽辅材、原机房设备拆除搬运到指定地点、新设备安装调试培训。</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r>
          </w:tbl>
          <w:p>
            <w:pPr>
              <w:pStyle w:val="null3"/>
              <w:jc w:val="both"/>
            </w:pPr>
            <w:r>
              <w:rPr>
                <w:rFonts w:ascii="仿宋_GB2312" w:hAnsi="仿宋_GB2312" w:cs="仿宋_GB2312" w:eastAsia="仿宋_GB2312"/>
                <w:sz w:val="24"/>
                <w:b/>
              </w:rPr>
              <w:t>备注：1、以上条款均为实质性参数要求，供应商需完全响应并满足技术参数要求，不允许出现不满足、部分满足或负偏离等情形，如若出现按无效谈判处理。</w:t>
            </w:r>
          </w:p>
          <w:p>
            <w:pPr>
              <w:pStyle w:val="null3"/>
            </w:pPr>
            <w:r>
              <w:rPr>
                <w:rFonts w:ascii="仿宋_GB2312" w:hAnsi="仿宋_GB2312" w:cs="仿宋_GB2312" w:eastAsia="仿宋_GB2312"/>
                <w:sz w:val="24"/>
                <w:b/>
              </w:rPr>
              <w:t>本项目核心产品为：学生计算机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自合同签订之日起15个日历日内完成全部项目内容，并交付采购人验收合格。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进度款，全部产品安装调试完毕并验收合格后，达到付款条件起20个工作日内，支付合同总金额的100.0%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行业现行标准、规定、规程及规范，符合行业和地方通用标准和惯例要求。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自采购人签发最终验收合格证书之日起 12 个月，若该质量保证期小于国家标准，则以国家标准为准。产品终身维修，由乙方承担。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1.本项目合同包1为专门面向中小企业采购。 2.本项目属性为货物。 3.本项目合同包1采购标的所属行业为：工业； 4.本项目是否属于信用担保试点范围：否。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（2）税收缴纳证明：提供谈判截止日前六个月内任意一个月的纳税证明或完税证明（增值税、印花税、城市维护建设费、企业所得税等一种或多种税种），依法免税的单位提供相关证明材料。 （3）社会保障资金缴纳证明：提供谈判截止日前六个月内任意一个月的社保资金交纳证明，依法不需要缴纳社保资金的单位提供相关证明材料。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（6）法定代表人授权书（附法定代表人、被授权人身份证复印件，被授权人需提供在本单位近三个月任意一个月的社保缴纳证明），法定代表人直接参加谈判，须提供法定代表人身份证明及身份证复印件。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（8）本项目不接受联合体谈判。</w:t>
            </w:r>
          </w:p>
        </w:tc>
        <w:tc>
          <w:tcPr>
            <w:tcW w:type="dxa" w:w="1661"/>
          </w:tcPr>
          <w:p>
            <w:pPr>
              <w:pStyle w:val="null3"/>
            </w:pPr>
            <w:r>
              <w:rPr>
                <w:rFonts w:ascii="仿宋_GB2312" w:hAnsi="仿宋_GB2312" w:cs="仿宋_GB2312" w:eastAsia="仿宋_GB2312"/>
              </w:rPr>
              <w:t>节能产品.docx 中小企业声明函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节能产品.docx 中小企业声明函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提供谈判截止日前六个月内任意一个月的纳税证明或完税证明（增值税、印花税、城市维护建设费、企业所得税等一种或多种税种），依法免税的单位提供相关证明材料。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提供谈判截止日前六个月内任意一个月的社保资金交纳证明，依法不需要缴纳社保资金的单位提供相关证明材料。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三年内无重大违法记录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法定代表人授权书（附法定代表人、被授权人身份证复印件，被授权人需提供在本单位近三个月任意一个月的社保缴纳证明），法定代表人直接参加谈判，须提供法定代表人身份证明及身份证复印件。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提供企业关系关联承诺书；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谈判响应文件上法定代表人或被授权人的签字盖章齐全并加盖公章</w:t>
            </w:r>
          </w:p>
        </w:tc>
        <w:tc>
          <w:tcPr>
            <w:tcW w:type="dxa" w:w="1661"/>
          </w:tcPr>
          <w:p>
            <w:pPr>
              <w:pStyle w:val="null3"/>
            </w:pPr>
            <w:r>
              <w:rPr>
                <w:rFonts w:ascii="仿宋_GB2312" w:hAnsi="仿宋_GB2312" w:cs="仿宋_GB2312" w:eastAsia="仿宋_GB2312"/>
              </w:rPr>
              <w:t>节能产品.docx 中小企业声明函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节能产品.docx 中小企业声明函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只能有一个有效报价，不得提交选择性报价，按要求提交二次或多次报价，且每轮报价不超过采购预算金额或最高限价或谈判小组成员认为低于成本的报价。</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谈判响应文件内容符合谈判文件要求</w:t>
            </w:r>
          </w:p>
        </w:tc>
        <w:tc>
          <w:tcPr>
            <w:tcW w:type="dxa" w:w="1661"/>
          </w:tcPr>
          <w:p>
            <w:pPr>
              <w:pStyle w:val="null3"/>
            </w:pPr>
            <w:r>
              <w:rPr>
                <w:rFonts w:ascii="仿宋_GB2312" w:hAnsi="仿宋_GB2312" w:cs="仿宋_GB2312" w:eastAsia="仿宋_GB2312"/>
              </w:rPr>
              <w:t>节能产品.docx 中小企业声明函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谈判响应文件内容符合谈判文件要求</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节能产品.docx 中小企业声明函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详见附件：本国产品声明.docx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详见附件：关键零部件.docx</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详见附件：节能产品.docx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