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1BA5C5">
      <w:pPr>
        <w:pStyle w:val="4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采购需求</w:t>
      </w:r>
    </w:p>
    <w:p w14:paraId="5492FE0A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037F15F8">
      <w:pPr>
        <w:pStyle w:val="4"/>
      </w:pPr>
      <w:r>
        <w:rPr>
          <w:rFonts w:ascii="仿宋_GB2312" w:hAnsi="仿宋_GB2312" w:eastAsia="仿宋_GB2312" w:cs="仿宋_GB2312"/>
        </w:rPr>
        <w:t>标的名称：车用柴油产品质量监督抽检项目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1150"/>
        <w:gridCol w:w="6528"/>
      </w:tblGrid>
      <w:tr w14:paraId="3A9BB5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7" w:type="dxa"/>
          </w:tcPr>
          <w:p w14:paraId="0D71CEB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150" w:type="dxa"/>
          </w:tcPr>
          <w:p w14:paraId="6FD0E8B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528" w:type="dxa"/>
          </w:tcPr>
          <w:p w14:paraId="1FC9EF7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0E9CB2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7" w:type="dxa"/>
          </w:tcPr>
          <w:p w14:paraId="2A31201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150" w:type="dxa"/>
          </w:tcPr>
          <w:p w14:paraId="58FE15CF"/>
        </w:tc>
        <w:tc>
          <w:tcPr>
            <w:tcW w:w="6528" w:type="dxa"/>
          </w:tcPr>
          <w:p w14:paraId="64FF6E7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一、基本要求</w:t>
            </w:r>
          </w:p>
          <w:p w14:paraId="7A801A7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1、功能要求：招标确定一家国家批准认证的第三方承检机构完成我局车用柴油、电动自行车及主要配件、危险化学品、燃气灶及配件消防产品、保温材料等产品质量监督抽检任务。</w:t>
            </w:r>
          </w:p>
          <w:p w14:paraId="279E4E0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2、服务期限：合同签订之日起至2026年11月30日（具体以合同签订时间为准）</w:t>
            </w:r>
          </w:p>
          <w:p w14:paraId="4CFD9CF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3、服务地点：渭南市区域范围内。</w:t>
            </w:r>
          </w:p>
          <w:p w14:paraId="093C114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二、需执行的国家相关标准、行业标准、地方标准或者其他标准、规范标准</w:t>
            </w:r>
          </w:p>
          <w:p w14:paraId="5DBC38F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严格按照 《车用柴油》GB 19147相关要求，开展抽样检验工作。</w:t>
            </w:r>
          </w:p>
          <w:p w14:paraId="3C47698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三、服务指标的具体要求</w:t>
            </w:r>
          </w:p>
          <w:p w14:paraId="434A2F5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1、能提供高效抽检服务，能接受抽样工作委托，有专门团队负责采样。</w:t>
            </w:r>
          </w:p>
          <w:p w14:paraId="65FFCA0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2、有能满足采样、运输、设备、检验工作车辆等硬件设施及条件。</w:t>
            </w:r>
          </w:p>
          <w:p w14:paraId="06EE6B0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3、有专业水准的检验技术服务团队，检测结果公正、客观、真实、及时、准确，报告复检维持率高。</w:t>
            </w:r>
          </w:p>
          <w:p w14:paraId="77B642C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4、供应商须提供相关的业务咨询、报告分析等服务，抽检报告分析工作应该由供应商专业分析人员进行分析、撰写、汇总，并及时报送采购人，不得延迟。</w:t>
            </w:r>
          </w:p>
          <w:p w14:paraId="2751181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5、本项目抽检区域为临渭区、高新区、富平县、蒲城县、白水县、华州区、华阴市、潼关县、大荔县、澄城县、合阳县。</w:t>
            </w:r>
          </w:p>
          <w:p w14:paraId="2824C9B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6、承检机构若出具虚假、错误检验数据和结论，一经发现，立即取消合作资格，并承担一切法律责任，以后年度不得参与本市检验任务。内容及需求</w:t>
            </w:r>
          </w:p>
          <w:tbl>
            <w:tblPr>
              <w:tblStyle w:val="2"/>
              <w:tblW w:w="0" w:type="auto"/>
              <w:tblInd w:w="0" w:type="dxa"/>
              <w:tblBorders>
                <w:top w:val="single" w:color="auto" w:sz="0" w:space="0"/>
                <w:left w:val="single" w:color="auto" w:sz="0" w:space="0"/>
                <w:bottom w:val="single" w:color="auto" w:sz="0" w:space="0"/>
                <w:right w:val="single" w:color="auto" w:sz="0" w:space="0"/>
                <w:insideH w:val="single" w:color="auto" w:sz="0" w:space="0"/>
                <w:insideV w:val="singl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77"/>
              <w:gridCol w:w="977"/>
              <w:gridCol w:w="977"/>
              <w:gridCol w:w="977"/>
              <w:gridCol w:w="1413"/>
              <w:gridCol w:w="977"/>
            </w:tblGrid>
            <w:tr w14:paraId="5DC0291D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8" w:hRule="atLeast"/>
              </w:trPr>
              <w:tc>
                <w:tcPr>
                  <w:tcW w:w="977" w:type="dxa"/>
                  <w:vMerge w:val="restart"/>
                </w:tcPr>
                <w:p w14:paraId="3F430F5D">
                  <w:pPr>
                    <w:pStyle w:val="4"/>
                  </w:pPr>
                  <w:bookmarkStart w:id="0" w:name="_GoBack"/>
                  <w:r>
                    <w:rPr>
                      <w:rFonts w:ascii="仿宋_GB2312" w:hAnsi="仿宋_GB2312" w:eastAsia="仿宋_GB2312" w:cs="仿宋_GB2312"/>
                    </w:rPr>
                    <w:t>序号</w:t>
                  </w:r>
                </w:p>
              </w:tc>
              <w:tc>
                <w:tcPr>
                  <w:tcW w:w="977" w:type="dxa"/>
                  <w:vMerge w:val="restart"/>
                </w:tcPr>
                <w:p w14:paraId="23437F1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标项名称</w:t>
                  </w:r>
                </w:p>
              </w:tc>
              <w:tc>
                <w:tcPr>
                  <w:tcW w:w="977" w:type="dxa"/>
                  <w:vMerge w:val="restart"/>
                </w:tcPr>
                <w:p w14:paraId="390675A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采购数量</w:t>
                  </w:r>
                </w:p>
              </w:tc>
              <w:tc>
                <w:tcPr>
                  <w:tcW w:w="2390" w:type="dxa"/>
                  <w:gridSpan w:val="2"/>
                </w:tcPr>
                <w:p w14:paraId="780A42B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简要技术要求、用途</w:t>
                  </w:r>
                </w:p>
              </w:tc>
              <w:tc>
                <w:tcPr>
                  <w:tcW w:w="977" w:type="dxa"/>
                  <w:vMerge w:val="restart"/>
                </w:tcPr>
                <w:p w14:paraId="59156CC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备注</w:t>
                  </w:r>
                </w:p>
              </w:tc>
            </w:tr>
            <w:tr w14:paraId="613F1556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</w:trPr>
              <w:tc>
                <w:tcPr>
                  <w:tcW w:w="977" w:type="dxa"/>
                  <w:vMerge w:val="continue"/>
                </w:tcPr>
                <w:p w14:paraId="54F43128"/>
              </w:tc>
              <w:tc>
                <w:tcPr>
                  <w:tcW w:w="977" w:type="dxa"/>
                  <w:vMerge w:val="continue"/>
                </w:tcPr>
                <w:p w14:paraId="12AB5A93"/>
              </w:tc>
              <w:tc>
                <w:tcPr>
                  <w:tcW w:w="977" w:type="dxa"/>
                  <w:vMerge w:val="continue"/>
                </w:tcPr>
                <w:p w14:paraId="4F01B6F1"/>
              </w:tc>
              <w:tc>
                <w:tcPr>
                  <w:tcW w:w="977" w:type="dxa"/>
                </w:tcPr>
                <w:p w14:paraId="2A19941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名称</w:t>
                  </w:r>
                </w:p>
              </w:tc>
              <w:tc>
                <w:tcPr>
                  <w:tcW w:w="1413" w:type="dxa"/>
                </w:tcPr>
                <w:p w14:paraId="353A372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数量</w:t>
                  </w:r>
                </w:p>
              </w:tc>
              <w:tc>
                <w:tcPr>
                  <w:tcW w:w="977" w:type="dxa"/>
                  <w:vMerge w:val="continue"/>
                </w:tcPr>
                <w:p w14:paraId="71EC136B"/>
              </w:tc>
            </w:tr>
            <w:tr w14:paraId="57B74334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6" w:hRule="atLeast"/>
              </w:trPr>
              <w:tc>
                <w:tcPr>
                  <w:tcW w:w="977" w:type="dxa"/>
                </w:tcPr>
                <w:p w14:paraId="354B4A5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977" w:type="dxa"/>
                </w:tcPr>
                <w:p w14:paraId="721A1A4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车用柴油产品质量监督抽检项目</w:t>
                  </w:r>
                </w:p>
              </w:tc>
              <w:tc>
                <w:tcPr>
                  <w:tcW w:w="977" w:type="dxa"/>
                </w:tcPr>
                <w:p w14:paraId="029319B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1家</w:t>
                  </w:r>
                </w:p>
              </w:tc>
              <w:tc>
                <w:tcPr>
                  <w:tcW w:w="977" w:type="dxa"/>
                </w:tcPr>
                <w:p w14:paraId="4E9AE41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柴油</w:t>
                  </w:r>
                </w:p>
              </w:tc>
              <w:tc>
                <w:tcPr>
                  <w:tcW w:w="1413" w:type="dxa"/>
                </w:tcPr>
                <w:p w14:paraId="38D19A3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在加油站抽取100个样品；大型货车和非道路移动机械油箱内柴油抽取40个样品</w:t>
                  </w:r>
                </w:p>
              </w:tc>
              <w:tc>
                <w:tcPr>
                  <w:tcW w:w="977" w:type="dxa"/>
                </w:tcPr>
                <w:p w14:paraId="4533C41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 xml:space="preserve"> </w:t>
                  </w:r>
                </w:p>
              </w:tc>
            </w:tr>
            <w:bookmarkEnd w:id="0"/>
          </w:tbl>
          <w:p w14:paraId="53A3DED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四、预算、最高限价及结算说明</w:t>
            </w:r>
          </w:p>
          <w:p w14:paraId="6B8AA8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本采购包预算200000元，包括但不限于本次项目所需采样费、检测费、设备费、劳务费、机械费、材料费、管理费、利润、税金、政策性文件规定的各项应有费用。</w:t>
            </w:r>
          </w:p>
          <w:p w14:paraId="0FA6B46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单价最高限价：车用柴油产品质量检测：1760元/批次；各供应商磋商报价不得超过总价及各分项的单价最高限价，否则视为无效报价。</w:t>
            </w:r>
          </w:p>
          <w:p w14:paraId="1C1BA6C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车用柴油产品质量监督抽检项目最终结算金额=车用柴油产品质量检测，各分项检测费用=实际抽检样品批次×成交固定综合单价。</w:t>
            </w:r>
          </w:p>
          <w:p w14:paraId="7BE947A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五、服务质量、标准、期限、效率等要求</w:t>
            </w:r>
          </w:p>
          <w:p w14:paraId="2C5CEB8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、检验要求：能够严格按照国家检验标准进行检验，及时出具检验报告，对不合格检验报告即时送达采购人，并对检验结果的真实性负责。由于虚假、错误检验数据和结论而给采购人、被检验人造成损失，或者给社会带来不良影响的，成交供应商应当消除影响，负责赔偿，并承担相应法律责任。</w:t>
            </w:r>
          </w:p>
          <w:p w14:paraId="7F4583A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、检验机构抽样时须严格按照操作规程进行操作，不得因抽样不规范引起被抽样单位的异议，且出具的检测结果公平、公正、准确，问题发现率符合要求；检测报告出具和送达及时；服务态度良好，能积极配合采购人按时完成抽检任务；能及时协助采购人完成监督抽检的应急事件。</w:t>
            </w:r>
          </w:p>
          <w:p w14:paraId="3F7A2D3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3、检验机构收到检品后10个工作日内出具检验报告。对于特殊、涉案样品的检验，2天内出结果，4天内出报告，且无额外加收费用。涉案样品需要配合执法机关调查、取证的应当积极配合。</w:t>
            </w:r>
          </w:p>
          <w:p w14:paraId="01890F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4、检验机构应有满足抽样工作需要的车辆、器具、仪器、设备等，每次检测至少须委派2名以上经培训考核合格，持证上岗的检测人员。</w:t>
            </w:r>
          </w:p>
          <w:p w14:paraId="445F109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5、能够承担并完成抽检结果数据信息的录入、上传工作，确保录入数据准确，并及时将抽样检验相关资料输入监督抽检系统。</w:t>
            </w:r>
          </w:p>
          <w:p w14:paraId="712CAA0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6、具体抽样时间和地点由采购人提供，需由检验机构在采购人指定的时间到指定的地点进行取样，若因检验机构不按照标准要求取样引起的行政诉讼等，由检验机构承担相应的法律责任。</w:t>
            </w:r>
          </w:p>
          <w:p w14:paraId="1FAE7B5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7、检测机构对检验结论、结果的包括但不限于真实性、有效性、客观性负责。由于检测机构的包括但不限于工作失误、错误、弄虚作假等，致使检验结论。结果无法真实客观有效地反映事实的，由检测机构承担法律责任。</w:t>
            </w:r>
          </w:p>
          <w:p w14:paraId="3C61B34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8、采购人将对供应商响应文件中的资质以及检测流程进行检查，如发现弄虚作假或不符合规定程序行为，采购人有权按照有关规定继续进行处理。</w:t>
            </w:r>
          </w:p>
          <w:p w14:paraId="36C8392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9、检测机构应按照抽检任务的品种，下达日期先后次序有序整理抽检任务档案材料，并妥善保存备查。保存时间不得少于 2 年。</w:t>
            </w:r>
          </w:p>
          <w:p w14:paraId="4832FE5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10、近3年未发生过数据泄露事故：自觉接受采购人组织的质控考核，现场检查和比对实验等工作安排。</w:t>
            </w:r>
          </w:p>
          <w:p w14:paraId="58264DD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11、建立与采购人定期交流制度，每次抽样检测检查后及时与采购人沟通，及时上报检测结果；与采购人代表，工作人员随时交流，虚心接受采购人的监督及意见，及时改进工作方法和服务方式，提高服务水平；</w:t>
            </w:r>
          </w:p>
          <w:p w14:paraId="39F8B71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12、复检要求：能够配合采购人开展复检，做好相关工作。</w:t>
            </w:r>
          </w:p>
          <w:p w14:paraId="154CD35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13、保密义务：保守抽检工作秘密，对涉及抽检商品名称、种类、型号、经营者和生产者名称、商标、检验流程、检验结果等全部数据必须保密，未经委托抽检的市场监管部门授权，不得向任何单位与个人透露。</w:t>
            </w:r>
          </w:p>
          <w:p w14:paraId="576799F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14、任何检测机构不得存在以下情形：</w:t>
            </w:r>
          </w:p>
          <w:p w14:paraId="79DE119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1)以蒙骗、欺诈等手段承担无CMA资质认证的检测任务；</w:t>
            </w:r>
          </w:p>
          <w:p w14:paraId="2D08B54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2)抽检过程中使用实习大学生等非职业抽检人员；</w:t>
            </w:r>
          </w:p>
          <w:p w14:paraId="17CF6F5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3)未经许可对承担的任务进行转包、分包；</w:t>
            </w:r>
          </w:p>
          <w:p w14:paraId="31F20DC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4)未经许可使用、公布采购人抽检任务信息；</w:t>
            </w:r>
          </w:p>
          <w:p w14:paraId="7715390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5)出具虚假检测报告。一经发现，一切损失由检测机构承担，采购人将立即终止抽检计划，并追究相应的法律责任。</w:t>
            </w:r>
          </w:p>
          <w:p w14:paraId="05D2CF0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六、付款方式：</w:t>
            </w:r>
          </w:p>
          <w:p w14:paraId="228122C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合同签订后，合同签订后5个工作日内，采购人向成交人支付采购合同金额的40%作为预付款，待成交人完成全部检测工作支付合同金额的60%。</w:t>
            </w:r>
          </w:p>
          <w:p w14:paraId="0847C53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车用柴油产品质量监督抽检项目最终结算金额=车用柴油产品质量检测费用，各分项检测费用=实际抽检样品批次×成交固定综合单价。</w:t>
            </w:r>
          </w:p>
          <w:p w14:paraId="2CBFA0E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七、验收标准:甲方应在乙方完成相关服务工作后及时对服务质量、技术指标、服务成果进行验收。</w:t>
            </w:r>
          </w:p>
        </w:tc>
      </w:tr>
    </w:tbl>
    <w:p w14:paraId="381970E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DF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2026-05-30T10:09:26Z</dcterms:created>
  <dc:creator>Administrator</dc:creator>
  <cp:lastModifiedBy>明眸°　Sunshine ☜</cp:lastModifiedBy>
  <dcterms:modified xsi:type="dcterms:W3CDTF">2026-05-30T10:10:35Z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eyJoZGlkIjoiZTVlNDM5ZjkwZGUzNGU4MDAwMTQyYjk0YWI5MzVmNjAiLCJ1c2VySWQiOiIyNDM5NDEyMjcifQ==</vt:lpwstr>
  </property>
  <property fmtid="{D5CDD505-2E9C-101B-9397-08002B2CF9AE}" pid="4" name="ICV">
    <vt:lpwstr>550B096E64C446169D5EE3E08FEF2327_12</vt:lpwstr>
  </property>
</Properties>
</file>