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版本号：YC26531001（CGQ）20260415001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铜川市档案馆数字档案馆建设项目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YC26531001（CGQ）</w:t>
      </w:r>
      <w:r>
        <w:br/>
      </w:r>
      <w:r>
        <w:br/>
      </w:r>
      <w:r>
        <w:br/>
      </w:r>
    </w:p>
    <w:p>
      <w:pPr>
        <w:pStyle w:val="null3"/>
        <w:jc w:val="center"/>
        <w:outlineLvl w:val="2"/>
      </w:pPr>
      <w:r>
        <w:rPr>
          <w:rFonts w:ascii="仿宋_GB2312" w:hAnsi="仿宋_GB2312" w:cs="仿宋_GB2312" w:eastAsia="仿宋_GB2312"/>
          <w:sz w:val="28"/>
          <w:b/>
        </w:rPr>
        <w:t>铜川市档案局</w:t>
      </w:r>
    </w:p>
    <w:p>
      <w:pPr>
        <w:pStyle w:val="null3"/>
        <w:jc w:val="center"/>
        <w:outlineLvl w:val="2"/>
      </w:pPr>
      <w:r>
        <w:rPr>
          <w:rFonts w:ascii="仿宋_GB2312" w:hAnsi="仿宋_GB2312" w:cs="仿宋_GB2312" w:eastAsia="仿宋_GB2312"/>
          <w:sz w:val="28"/>
          <w:b/>
        </w:rPr>
        <w:t>亿诚建设项目管理有限公司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亿诚建设项目管理有限公司</w:t>
      </w:r>
      <w:r>
        <w:rPr>
          <w:rFonts w:ascii="仿宋_GB2312" w:hAnsi="仿宋_GB2312" w:cs="仿宋_GB2312" w:eastAsia="仿宋_GB2312"/>
        </w:rPr>
        <w:t>（以下简称“代理机构”）受</w:t>
      </w:r>
      <w:r>
        <w:rPr>
          <w:rFonts w:ascii="仿宋_GB2312" w:hAnsi="仿宋_GB2312" w:cs="仿宋_GB2312" w:eastAsia="仿宋_GB2312"/>
        </w:rPr>
        <w:t>铜川市档案局</w:t>
      </w:r>
      <w:r>
        <w:rPr>
          <w:rFonts w:ascii="仿宋_GB2312" w:hAnsi="仿宋_GB2312" w:cs="仿宋_GB2312" w:eastAsia="仿宋_GB2312"/>
        </w:rPr>
        <w:t>委托，拟对</w:t>
      </w:r>
      <w:r>
        <w:rPr>
          <w:rFonts w:ascii="仿宋_GB2312" w:hAnsi="仿宋_GB2312" w:cs="仿宋_GB2312" w:eastAsia="仿宋_GB2312"/>
        </w:rPr>
        <w:t>铜川市档案馆数字档案馆建设项目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YC26531001（CGQ）</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铜川市档案馆数字档案馆建设项目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铜川市档案馆数字档案馆建设项目通过构建一个全面、安全、高效的档案信息化体系，实现对全市档案资源的统一管 理与深度开发利用。本项目主要建设内容涵盖数据安全备份设备、内部档案管理系统、政务网业务系统及互联网业务系 统、局域网改造五大核心板块，各板块协同作用，共同支撑起未来数字档案馆的整体运行。 在数据安全备份方面，采购 光磁备份一体机。采用双介质存储管理，为海量档案数字资源的持久保存与快速恢复提供坚实保障。 内部档案管理系统 专注于核心档案资源的全生命周期管理。系统需具备档案收集、整理、保存、查询、统计等基础业务功能，并严格遵循国 家关于档案信息系统安全保护的相关要求，强化访问控制、操作审计等安全机制，确保核心档案在存储、流转与利用过程 中的安全性、完整性与可用性。 政务网业务系统整体部署于铜川市新型智慧城市运营管理中心，承担全市立档单位档案 资源的统一管理与协同流转任务。系统集群包括电子文件归档处理系统、集中式档案室管理系统、电子档案移交接收系统 及政务网档案利用服务系统，满足全市各立档单位对电子文件在线归档、电子档案移交等电子档案管理工作的统一使用需 求。同时，系统统筹覆盖铜川市各区县档案馆及各区县立档单位，实现档案业务集中化、标准化管理，有效提升全市档案 工作整体效能。政务网业务系统需对接市级政务办公系统、政务服务系统，实现相关系统电子文件在线归档等功能，同步 对接商用密码应用设备，确保系统满足密评建设要求。项目同步采购基础软件OCR系统及OFD版式系统，以满足档案资 源全文检索需求，以及OFD格式版式文件的阅读、转换与规范使用。 互联网业务系统亦部署于铜川市新型智慧城市运营 管理中心，主要面向社会公众提供档案查询利用服务。系统包含互联网档案利用服务系统与新媒体网页信息采集系统，旨 在构建面向公众的档案利用渠道，拓宽档案服务覆盖面。新媒体网页信息采集系统加强网站信息自主全面化采集能力，能 够自动采集相关网页档案并进行归档，推动互联网信息资源的长期保存与有效利用。 局域网改造针对目前数字档案馆建 设标准进行系统升级优化，满足数据交互信息包传输等要求。 铜川市档案馆数字档案馆项目要严格按照《陕西省数字档 案馆系统测试办法》要求进行建设，以数据安全为基石，依托政务云平台实现全市档案资源的集约化管理和协同共享，通 过互联网渠道拓展档案公共服务能力，切实有效提升全市档案信息化发展水平。</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1、营业执照：(1)根据供应商类别进行提供： ①如供应商是企业（包括合伙企业），应提供在工商部门注册的有效“企业法人营业执照”或“营业执照”；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 供应商需在项目电子化交易系统中按要求上传相应证明文件并进行电子签章；</w:t>
      </w:r>
    </w:p>
    <w:p>
      <w:pPr>
        <w:pStyle w:val="null3"/>
      </w:pPr>
      <w:r>
        <w:rPr>
          <w:rFonts w:ascii="仿宋_GB2312" w:hAnsi="仿宋_GB2312" w:cs="仿宋_GB2312" w:eastAsia="仿宋_GB2312"/>
        </w:rPr>
        <w:t>2、法定代表人授权委托书：法定代表人授权委托书（附法定代表人、被授权人身份证复印件并加盖公章）和被授权人身份证原件。（法定代表人参加投标只须提供法定代表人身份证明书及身份证原件）。供应商需在项目电子化交易系统中按要求上传相应证明文件并进行电子签章；</w:t>
      </w:r>
    </w:p>
    <w:p>
      <w:pPr>
        <w:pStyle w:val="null3"/>
      </w:pPr>
      <w:r>
        <w:rPr>
          <w:rFonts w:ascii="仿宋_GB2312" w:hAnsi="仿宋_GB2312" w:cs="仿宋_GB2312" w:eastAsia="仿宋_GB2312"/>
        </w:rPr>
        <w:t>3、财务报告：提供2024或2025年度经审计的财务报告（成立时间至提交投标响应文件截止时间不足一年的可提供成立后任意时段的资产负债表），或投标截止日期前6个月内银行出具的资信证明。供应商需在项目电子化交易系统中按要求上传相应证明文件并进行电子签章；</w:t>
      </w:r>
    </w:p>
    <w:p>
      <w:pPr>
        <w:pStyle w:val="null3"/>
      </w:pPr>
      <w:r>
        <w:rPr>
          <w:rFonts w:ascii="仿宋_GB2312" w:hAnsi="仿宋_GB2312" w:cs="仿宋_GB2312" w:eastAsia="仿宋_GB2312"/>
        </w:rPr>
        <w:t>4、完税证明：提供投标截止时间前6个月内的纳税证明或完税证明，依法免税的单位应提供相关证明材料。供应商需在项目电子化交易系统中按要求上传相应证明文件并进行电子签章；</w:t>
      </w:r>
    </w:p>
    <w:p>
      <w:pPr>
        <w:pStyle w:val="null3"/>
      </w:pPr>
      <w:r>
        <w:rPr>
          <w:rFonts w:ascii="仿宋_GB2312" w:hAnsi="仿宋_GB2312" w:cs="仿宋_GB2312" w:eastAsia="仿宋_GB2312"/>
        </w:rPr>
        <w:t>5、社保缴纳凭证：提供投标截止时间前6个月内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pPr>
        <w:pStyle w:val="null3"/>
      </w:pPr>
      <w:r>
        <w:rPr>
          <w:rFonts w:ascii="仿宋_GB2312" w:hAnsi="仿宋_GB2312" w:cs="仿宋_GB2312" w:eastAsia="仿宋_GB2312"/>
        </w:rPr>
        <w:t>6、无重大违法记录的书面声明：参加政府采购活动前3年内，在经营活动中没有重大违法记录的书面声明。供应商需在项目电子化交易系统中按要求上传相应证明文件并进行电子签章；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7、企业信誉截图：供应商不得为“信用中国”网站（www.creditchina.gov.cn）中列入失信被执行人或税收违法黑名单的供应商，不得为中国政府采购网（www.ccgp.gov.cn）政府采购严重违法失信行为记录名单中被财政部门禁止参加政府采购活动的供应商。供应商需在项目电子化交易系统中按要求上传相应证明文件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1、营业执照：(1)根据供应商类别进行提供： ①如供应商是企业（包括合伙企业），应提供在工商部门注册的有效“企业法人营业执照”或“营业执照”；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 供应商需在项目电子化交易系统中按要求上传相应证明文件并进行电子签章；</w:t>
      </w:r>
    </w:p>
    <w:p>
      <w:pPr>
        <w:pStyle w:val="null3"/>
      </w:pPr>
      <w:r>
        <w:rPr>
          <w:rFonts w:ascii="仿宋_GB2312" w:hAnsi="仿宋_GB2312" w:cs="仿宋_GB2312" w:eastAsia="仿宋_GB2312"/>
        </w:rPr>
        <w:t>2、企业资质：供应商须具有市场监督管理局颁发的CMA检验检测机构资质认定证书并同时具备公安部颁发且有效的《网络安全等级测评与检测评估机构服务认证证书》；供应商需在项目电子化交易系统中按要求上传相应证明文件并进行电子签章；</w:t>
      </w:r>
    </w:p>
    <w:p>
      <w:pPr>
        <w:pStyle w:val="null3"/>
      </w:pPr>
      <w:r>
        <w:rPr>
          <w:rFonts w:ascii="仿宋_GB2312" w:hAnsi="仿宋_GB2312" w:cs="仿宋_GB2312" w:eastAsia="仿宋_GB2312"/>
        </w:rPr>
        <w:t>3、项目负责人：拟派项目经理具备信息(或网络)安全等级测评师（高级）证书；供应商需在项目电子化交易系统中按要求上传相应证明文件并进行电子签章；</w:t>
      </w:r>
    </w:p>
    <w:p>
      <w:pPr>
        <w:pStyle w:val="null3"/>
      </w:pPr>
      <w:r>
        <w:rPr>
          <w:rFonts w:ascii="仿宋_GB2312" w:hAnsi="仿宋_GB2312" w:cs="仿宋_GB2312" w:eastAsia="仿宋_GB2312"/>
        </w:rPr>
        <w:t>4、法定代表人授权委托书：法定代表人授权委托书（附法定代表人、被授权人身份证复印件并加盖公章）和被授权人身份证原件。（法定代表人参加投标只须提供法定代表人身份证明书及身份证原件）。供应商需在项目电子化交易系统中按要求上传相应证明文件并进行电子签章；</w:t>
      </w:r>
    </w:p>
    <w:p>
      <w:pPr>
        <w:pStyle w:val="null3"/>
      </w:pPr>
      <w:r>
        <w:rPr>
          <w:rFonts w:ascii="仿宋_GB2312" w:hAnsi="仿宋_GB2312" w:cs="仿宋_GB2312" w:eastAsia="仿宋_GB2312"/>
        </w:rPr>
        <w:t>5、财务报告：提供2024或2025年度经审计的财务报告（成立时间至提交投标响应文件截止时间不足一年的可提供成立后任意时段的资产负债表），或投标截止日期前6个月内银行出具的资信证明。供应商需在项目电子化交易系统中按要求上传相应证明文件并进行电子签章；</w:t>
      </w:r>
    </w:p>
    <w:p>
      <w:pPr>
        <w:pStyle w:val="null3"/>
      </w:pPr>
      <w:r>
        <w:rPr>
          <w:rFonts w:ascii="仿宋_GB2312" w:hAnsi="仿宋_GB2312" w:cs="仿宋_GB2312" w:eastAsia="仿宋_GB2312"/>
        </w:rPr>
        <w:t>6、完税证明：提供投标截止时间前6个月内的纳税证明或完税证明，依法免税的单位应提供相关证明材料。供应商需在项目电子化交易系统中按要求上传相应证明文件并进行电子签章；</w:t>
      </w:r>
    </w:p>
    <w:p>
      <w:pPr>
        <w:pStyle w:val="null3"/>
      </w:pPr>
      <w:r>
        <w:rPr>
          <w:rFonts w:ascii="仿宋_GB2312" w:hAnsi="仿宋_GB2312" w:cs="仿宋_GB2312" w:eastAsia="仿宋_GB2312"/>
        </w:rPr>
        <w:t>7、社保缴纳凭证：提供投标截止时间前6个月内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pPr>
        <w:pStyle w:val="null3"/>
      </w:pPr>
      <w:r>
        <w:rPr>
          <w:rFonts w:ascii="仿宋_GB2312" w:hAnsi="仿宋_GB2312" w:cs="仿宋_GB2312" w:eastAsia="仿宋_GB2312"/>
        </w:rPr>
        <w:t>8、无重大违法记录的书面声明：参加政府采购活动前3年内，在经营活动中没有重大违法记录的书面声明。供应商需在项目电子化交易系统中按要求上传相应证明文件并进行电子签章；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9、企业信誉截图：供应商不得为“信用中国”网站（www.creditchina.gov.cn）中列入失信被执行人或税收违法黑名单的供应商，不得为中国政府采购网（www.ccgp.gov.cn）政府采购严重违法失信行为记录名单中被财政部门禁止参加政府采购活动的供应商。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铜川市档案局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铜川市新区斯明街中段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0919-2838327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亿诚建设项目管理有限公司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陕西省西安市雁塔区陕西省西安市高新区丈八五路高科尚都ONE尚城A座10F</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赵醒文、张耀峰，赵利科，李楠，董海龙，屈小军、蒋斌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17392215526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采购包1：2,154,200.00元</w:t>
            </w:r>
          </w:p>
          <w:p>
            <w:pPr>
              <w:pStyle w:val="null3"/>
            </w:pPr>
            <w:r>
              <w:rPr>
                <w:rFonts w:ascii="仿宋_GB2312" w:hAnsi="仿宋_GB2312" w:cs="仿宋_GB2312" w:eastAsia="仿宋_GB2312"/>
              </w:rPr>
              <w:t>采购包2：230,000.00元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代理服务费收费标准：1包：人民币16000元 2包：人民币2000元</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铜川市档案局</w:t>
      </w:r>
      <w:r>
        <w:rPr>
          <w:rFonts w:ascii="仿宋_GB2312" w:hAnsi="仿宋_GB2312" w:cs="仿宋_GB2312" w:eastAsia="仿宋_GB2312"/>
        </w:rPr>
        <w:t>和</w:t>
      </w:r>
      <w:r>
        <w:rPr>
          <w:rFonts w:ascii="仿宋_GB2312" w:hAnsi="仿宋_GB2312" w:cs="仿宋_GB2312" w:eastAsia="仿宋_GB2312"/>
        </w:rPr>
        <w:t>亿诚建设项目管理有限公司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铜川市档案局</w:t>
      </w:r>
      <w:r>
        <w:rPr>
          <w:rFonts w:ascii="仿宋_GB2312" w:hAnsi="仿宋_GB2312" w:cs="仿宋_GB2312" w:eastAsia="仿宋_GB2312"/>
        </w:rPr>
        <w:t>负责解释。除上述招标文件内容，其他内容由</w:t>
      </w:r>
      <w:r>
        <w:rPr>
          <w:rFonts w:ascii="仿宋_GB2312" w:hAnsi="仿宋_GB2312" w:cs="仿宋_GB2312" w:eastAsia="仿宋_GB2312"/>
        </w:rPr>
        <w:t>亿诚建设项目管理有限公司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铜川市档案局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亿诚建设项目管理有限公司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严格按照招标文件及采购人要求参数进行验收，同时满足国家、行业相关标推及规范、规定要求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严格按照招标文件及采购人要求参数进行验收，同时满足国家、行业相关标推及规范、规定要求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联系人：蒋斌</w:t>
      </w:r>
    </w:p>
    <w:p>
      <w:pPr>
        <w:pStyle w:val="null3"/>
      </w:pPr>
      <w:r>
        <w:rPr>
          <w:rFonts w:ascii="仿宋_GB2312" w:hAnsi="仿宋_GB2312" w:cs="仿宋_GB2312" w:eastAsia="仿宋_GB2312"/>
        </w:rPr>
        <w:t>联系电话：17392215526</w:t>
      </w:r>
    </w:p>
    <w:p>
      <w:pPr>
        <w:pStyle w:val="null3"/>
      </w:pPr>
      <w:r>
        <w:rPr>
          <w:rFonts w:ascii="仿宋_GB2312" w:hAnsi="仿宋_GB2312" w:cs="仿宋_GB2312" w:eastAsia="仿宋_GB2312"/>
        </w:rPr>
        <w:t>地址：陕西省西安市雁塔区陕西省西安市高新区丈八五路高科尚都ONE尚城A座10F</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铜川市档案馆数字档案馆建设项目通过构建一个全面、安全、高效的档案信息化体系，实现对全市档案资源的统一管理与深度开发利用。本项目主要建设内容涵盖数据安全备份设备、内部档案管理系统、政务网业务系统及互联网业务系统、局域网改造五大核心板块，各板块协同作用，共同支撑起未来数字档案馆的整体运行。 在数据安全备份方面，采购光磁备份一体机。采用双介质存储管理，为海量档案数字资源的持久保存与快速恢复提供坚实保障。 内部档案管理系统专注于核心档案资源的全生命周期管理。系统需具备档案收集、整理、保存、查询、统计等基础业务功能，并严格遵循国家关于档案信息系统安全保护的相关要求，强化访问控制、操作审计等安全机制，确保核心档案在存储、流转与利用过程中的安全性、完整性与可用性。 政务网业务系统整体部署于铜川市新型智慧城市运营管理中心，承担全市立档单位档案资源的统一管理与协同流转任务。系统集群包括电子文件归档处理系统、集中式档案室管理系统、电子档案移交接收系统及政务网档案利用服务系统，满足全市各立档单位对电子文件在线归档、电子档案移交等电子档案管理工作的统一使用需求。同时，系统统筹覆盖铜川市各区县档案馆及各区县立档单位，实现档案业务集中化、标准化管理，有效提升全市档案工作整体效能。政务网业务系统需对接市级政务办公系统、政务服务系统，实现相关系统电子文件在线归档等功能，同步对接商用密码应用设备，确保系统满足密评建设要求。项目同步采购基础软件OCR系统及OFD版式系统，以满足档案资源全文检索需求，以及OFD格式版式文件的阅读、转换与规范使用。 互联网业务系统亦部署于铜川市新型智慧城市运营管理中心，主要面向社会公众提供档案查询利用服务。系统包含互联网档案利用服务系统与新媒体网页信息采集系统，旨在构建面向公众的档案利用渠道，拓宽档案服务覆盖面。新媒体网页信息采集系统加强网站信息自主全面化采集能力，能够自动采集相关网页档案并进行归档，推动互联网信息资源的长期保存与有效利用。 局域网改造针对目前数字档案馆建设标准进行系统升级优化，满足数据交互信息包传输等要求。 铜川市档案馆数字档案馆项目要严格按照《陕西省数字档案馆系统测试办法》要求进行建设，以数据安全为基石，依托政务云平台实现全市档案资源的集约化管理和协同共享，通过互联网渠道拓展档案公共服务能力，切实有效提升全市档案信息化发展水平。</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2,154,200.00</w:t>
      </w:r>
    </w:p>
    <w:p>
      <w:pPr>
        <w:pStyle w:val="null3"/>
      </w:pPr>
      <w:r>
        <w:rPr>
          <w:rFonts w:ascii="仿宋_GB2312" w:hAnsi="仿宋_GB2312" w:cs="仿宋_GB2312" w:eastAsia="仿宋_GB2312"/>
        </w:rPr>
        <w:t>采购包最高限价（元）: 2,154,200.00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铜川市档案馆 数字档案馆建设项目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2,154,200.00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230,000.00</w:t>
      </w:r>
    </w:p>
    <w:p>
      <w:pPr>
        <w:pStyle w:val="null3"/>
      </w:pPr>
      <w:r>
        <w:rPr>
          <w:rFonts w:ascii="仿宋_GB2312" w:hAnsi="仿宋_GB2312" w:cs="仿宋_GB2312" w:eastAsia="仿宋_GB2312"/>
        </w:rPr>
        <w:t>采购包最高限价（元）: 230,000.00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网络安全等级保护测评</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第 三方软件测评</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标的名称：铜川市档案馆 数字档案馆建设项目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b/>
                <w:color w:val="000000"/>
              </w:rPr>
              <w:t>一、基础硬件设备</w:t>
            </w:r>
          </w:p>
          <w:p>
            <w:pPr>
              <w:pStyle w:val="null3"/>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交换机  1台</w:t>
            </w:r>
          </w:p>
          <w:p>
            <w:pPr>
              <w:pStyle w:val="null3"/>
            </w:pPr>
            <w:r>
              <w:rPr>
                <w:rFonts w:ascii="仿宋_GB2312" w:hAnsi="仿宋_GB2312" w:cs="仿宋_GB2312" w:eastAsia="仿宋_GB2312"/>
                <w:sz w:val="24"/>
              </w:rPr>
              <w:t>1）交换容量≥396Gbps，包转发率≥126Mpps</w:t>
            </w:r>
          </w:p>
          <w:p>
            <w:pPr>
              <w:pStyle w:val="null3"/>
            </w:pPr>
            <w:r>
              <w:rPr>
                <w:rFonts w:ascii="仿宋_GB2312" w:hAnsi="仿宋_GB2312" w:cs="仿宋_GB2312" w:eastAsia="仿宋_GB2312"/>
                <w:sz w:val="24"/>
              </w:rPr>
              <w:t>2）端口类型≥24个10/100/1000Base-T电口，≥4个1000Base-X SFP光口，≥1个Console口</w:t>
            </w:r>
          </w:p>
          <w:p>
            <w:pPr>
              <w:pStyle w:val="null3"/>
            </w:pPr>
            <w:r>
              <w:rPr>
                <w:rFonts w:ascii="仿宋_GB2312" w:hAnsi="仿宋_GB2312" w:cs="仿宋_GB2312" w:eastAsia="仿宋_GB2312"/>
                <w:sz w:val="24"/>
              </w:rPr>
              <w:t>3）配备≥2个千兆多模光模块</w:t>
            </w:r>
          </w:p>
          <w:p>
            <w:pPr>
              <w:pStyle w:val="null3"/>
            </w:pPr>
            <w:r>
              <w:rPr>
                <w:rFonts w:ascii="仿宋_GB2312" w:hAnsi="仿宋_GB2312" w:cs="仿宋_GB2312" w:eastAsia="仿宋_GB2312"/>
                <w:sz w:val="24"/>
              </w:rPr>
              <w:t>4）支持IEEE 802.3ad（动态链路聚合LACP）</w:t>
            </w:r>
          </w:p>
          <w:p>
            <w:pPr>
              <w:pStyle w:val="null3"/>
            </w:pPr>
            <w:r>
              <w:rPr>
                <w:rFonts w:ascii="仿宋_GB2312" w:hAnsi="仿宋_GB2312" w:cs="仿宋_GB2312" w:eastAsia="仿宋_GB2312"/>
                <w:sz w:val="24"/>
              </w:rPr>
              <w:t>5）支持LLDP，支STP/RSTP/MSTP多种生成树协议</w:t>
            </w:r>
          </w:p>
          <w:p>
            <w:pPr>
              <w:pStyle w:val="null3"/>
            </w:pPr>
            <w:r>
              <w:rPr>
                <w:rFonts w:ascii="仿宋_GB2312" w:hAnsi="仿宋_GB2312" w:cs="仿宋_GB2312" w:eastAsia="仿宋_GB2312"/>
                <w:sz w:val="24"/>
              </w:rPr>
              <w:t>6）支持802.1Q，支持基于MAC的VLAN、GUEST VLAN，支持MVRP</w:t>
            </w:r>
          </w:p>
          <w:p>
            <w:pPr>
              <w:pStyle w:val="null3"/>
            </w:pPr>
            <w:r>
              <w:rPr>
                <w:rFonts w:ascii="仿宋_GB2312" w:hAnsi="仿宋_GB2312" w:cs="仿宋_GB2312" w:eastAsia="仿宋_GB2312"/>
                <w:sz w:val="24"/>
              </w:rPr>
              <w:t>7）支持端口限速，支持SP/WRR/SP+WRR队列调度，支持802.1p</w:t>
            </w:r>
          </w:p>
          <w:p>
            <w:pPr>
              <w:pStyle w:val="null3"/>
            </w:pPr>
            <w:r>
              <w:rPr>
                <w:rFonts w:ascii="仿宋_GB2312" w:hAnsi="仿宋_GB2312" w:cs="仿宋_GB2312" w:eastAsia="仿宋_GB2312"/>
                <w:sz w:val="24"/>
              </w:rPr>
              <w:t>8）支持以太网OAM，支持DLDP</w:t>
            </w:r>
          </w:p>
          <w:p>
            <w:pPr>
              <w:pStyle w:val="null3"/>
            </w:pPr>
            <w:r>
              <w:rPr>
                <w:rFonts w:ascii="仿宋_GB2312" w:hAnsi="仿宋_GB2312" w:cs="仿宋_GB2312" w:eastAsia="仿宋_GB2312"/>
                <w:sz w:val="24"/>
                <w:b/>
                <w:color w:val="000000"/>
              </w:rPr>
              <w:t>2.光磁备份一体机  1套</w:t>
            </w:r>
          </w:p>
          <w:p>
            <w:pPr>
              <w:pStyle w:val="null3"/>
            </w:pPr>
            <w:r>
              <w:rPr>
                <w:rFonts w:ascii="仿宋_GB2312" w:hAnsi="仿宋_GB2312" w:cs="仿宋_GB2312" w:eastAsia="仿宋_GB2312"/>
                <w:sz w:val="24"/>
              </w:rPr>
              <w:t>1）要求为桌面级库体，单个库体存储单元总数不少于3个，实配容量不少于100GB的档案级蓝光光盘，单库体可容纳光盘数量不低于150张，库体总存储容量不小于15TB。</w:t>
            </w:r>
          </w:p>
          <w:p>
            <w:pPr>
              <w:pStyle w:val="null3"/>
            </w:pPr>
            <w:r>
              <w:rPr>
                <w:rFonts w:ascii="仿宋_GB2312" w:hAnsi="仿宋_GB2312" w:cs="仿宋_GB2312" w:eastAsia="仿宋_GB2312"/>
                <w:sz w:val="24"/>
              </w:rPr>
              <w:t>2）光盘库以密闭光盘匣为存储单元，单个光盘匣可容纳光盘数≥50张，每张光盘需具支持独立托盘，单个盘匣支持混装三种以上类型的光盘，单个光盘匣具备条码及RFID标签，光盘匣支持热插拔，与离线库产品通用。</w:t>
            </w:r>
          </w:p>
          <w:p>
            <w:pPr>
              <w:pStyle w:val="null3"/>
            </w:pPr>
            <w:r>
              <w:rPr>
                <w:rFonts w:ascii="仿宋_GB2312" w:hAnsi="仿宋_GB2312" w:cs="仿宋_GB2312" w:eastAsia="仿宋_GB2312"/>
                <w:sz w:val="24"/>
              </w:rPr>
              <w:t>3）机械手采用中孔一次性抓盘方式将光盘从光盘匣中移动至光驱中或从光驱中移回至光盘匣，机械手可随机抓取设备内任意盘匣的任意一张光盘在光驱中进行读写。</w:t>
            </w:r>
          </w:p>
          <w:p>
            <w:pPr>
              <w:pStyle w:val="null3"/>
            </w:pPr>
            <w:r>
              <w:rPr>
                <w:rFonts w:ascii="仿宋_GB2312" w:hAnsi="仿宋_GB2312" w:cs="仿宋_GB2312" w:eastAsia="仿宋_GB2312"/>
                <w:sz w:val="24"/>
              </w:rPr>
              <w:t>4）同时兼容支持不同品牌的标准CD、DVD、BD（25GB、50GB、100GB）光盘，无品牌要求。光盘驱动器同样无品牌要求，支持标准台式机蓝光驱动器。</w:t>
            </w:r>
          </w:p>
          <w:p>
            <w:pPr>
              <w:pStyle w:val="null3"/>
            </w:pPr>
            <w:r>
              <w:rPr>
                <w:rFonts w:ascii="仿宋_GB2312" w:hAnsi="仿宋_GB2312" w:cs="仿宋_GB2312" w:eastAsia="仿宋_GB2312"/>
                <w:sz w:val="24"/>
              </w:rPr>
              <w:t>5）采用标准光盘匣，取出方式为正面取出。</w:t>
            </w:r>
          </w:p>
          <w:p>
            <w:pPr>
              <w:pStyle w:val="null3"/>
            </w:pPr>
            <w:r>
              <w:rPr>
                <w:rFonts w:ascii="仿宋_GB2312" w:hAnsi="仿宋_GB2312" w:cs="仿宋_GB2312" w:eastAsia="仿宋_GB2312"/>
                <w:sz w:val="24"/>
              </w:rPr>
              <w:t>6）文件可仅刻录于一张光盘中，同时单张光盘内数据文件，应可在设备外部利用任意品牌的标准蓝光光驱读取。</w:t>
            </w:r>
          </w:p>
          <w:p>
            <w:pPr>
              <w:pStyle w:val="null3"/>
            </w:pPr>
            <w:r>
              <w:rPr>
                <w:rFonts w:ascii="仿宋_GB2312" w:hAnsi="仿宋_GB2312" w:cs="仿宋_GB2312" w:eastAsia="仿宋_GB2312"/>
                <w:sz w:val="24"/>
              </w:rPr>
              <w:t>7）全库内任意盘匣内的光盘可在全库内任意光驱中读写，光盘库并发读写不同光盘匣中的光盘，并发数量不小于3个。单次读写最小运行光驱数量为1个。单次读写同时最大运行光驱数量不小于6个，自动按需分配。</w:t>
            </w:r>
          </w:p>
          <w:p>
            <w:pPr>
              <w:pStyle w:val="null3"/>
            </w:pPr>
            <w:r>
              <w:rPr>
                <w:rFonts w:ascii="仿宋_GB2312" w:hAnsi="仿宋_GB2312" w:cs="仿宋_GB2312" w:eastAsia="仿宋_GB2312"/>
                <w:sz w:val="24"/>
              </w:rPr>
              <w:t>8）系统支持多机部署，设备具备光驱冗余能力，光驱故障可自动禁用，设备仅存在1个可用驱动器时，设备仍可进行数据刻录或读取。</w:t>
            </w:r>
          </w:p>
          <w:p>
            <w:pPr>
              <w:pStyle w:val="null3"/>
            </w:pPr>
            <w:r>
              <w:rPr>
                <w:rFonts w:ascii="仿宋_GB2312" w:hAnsi="仿宋_GB2312" w:cs="仿宋_GB2312" w:eastAsia="仿宋_GB2312"/>
                <w:sz w:val="24"/>
              </w:rPr>
              <w:t>9）为了保证数据安全，必须能够支持光盘之间数据Raid，要求支持5+1及11+1Raid（11张数据光盘对应一张冗余光盘构成一组Raid光盘，任意一张光盘损坏可恢复，数据盘可单独读取数据，任意张数据光盘损坏不影响其他光盘数据读取）。</w:t>
            </w:r>
          </w:p>
          <w:p>
            <w:pPr>
              <w:pStyle w:val="null3"/>
            </w:pPr>
            <w:r>
              <w:rPr>
                <w:rFonts w:ascii="仿宋_GB2312" w:hAnsi="仿宋_GB2312" w:cs="仿宋_GB2312" w:eastAsia="仿宋_GB2312"/>
                <w:sz w:val="24"/>
              </w:rPr>
              <w:t>10）每台光盘库需配置≥1个输出单元模块，支持单张光盘的输入/输出，可指定光盘库中任意光盘输出到光盘库外，或将光盘输入到光盘库中指定位置。</w:t>
            </w:r>
          </w:p>
          <w:p>
            <w:pPr>
              <w:pStyle w:val="null3"/>
            </w:pPr>
            <w:r>
              <w:rPr>
                <w:rFonts w:ascii="仿宋_GB2312" w:hAnsi="仿宋_GB2312" w:cs="仿宋_GB2312" w:eastAsia="仿宋_GB2312"/>
                <w:sz w:val="24"/>
              </w:rPr>
              <w:t>11）光盘库需具支持不少于2个千兆接口，可通过管理软件实现光盘库与离线库的互联，实现数据在线、近线、离线统一管理。</w:t>
            </w:r>
          </w:p>
          <w:p>
            <w:pPr>
              <w:pStyle w:val="null3"/>
            </w:pPr>
            <w:r>
              <w:rPr>
                <w:rFonts w:ascii="仿宋_GB2312" w:hAnsi="仿宋_GB2312" w:cs="仿宋_GB2312" w:eastAsia="仿宋_GB2312"/>
                <w:sz w:val="24"/>
              </w:rPr>
              <w:t>12）盘库内置国产服务器，需支持3*4TB，3.5英寸硬盘。CPU，主频2.2GHz及以上，8核及以上，内存32GB及以上。</w:t>
            </w:r>
          </w:p>
          <w:p>
            <w:pPr>
              <w:pStyle w:val="null3"/>
            </w:pPr>
            <w:r>
              <w:rPr>
                <w:rFonts w:ascii="仿宋_GB2312" w:hAnsi="仿宋_GB2312" w:cs="仿宋_GB2312" w:eastAsia="仿宋_GB2312"/>
                <w:sz w:val="24"/>
              </w:rPr>
              <w:t>13）软件采用B/S架构，要求支持ubuntu，centOS，银河麒麟，UOS等国产操作系统，支持虚拟服务器环境部署，支持NAS和S3协议。</w:t>
            </w:r>
          </w:p>
          <w:p>
            <w:pPr>
              <w:pStyle w:val="null3"/>
            </w:pPr>
            <w:r>
              <w:rPr>
                <w:rFonts w:ascii="仿宋_GB2312" w:hAnsi="仿宋_GB2312" w:cs="仿宋_GB2312" w:eastAsia="仿宋_GB2312"/>
                <w:sz w:val="24"/>
              </w:rPr>
              <w:t>14）应具备综合性自动化的存储策略支持，提供存储模式、存储分区、时间窗口等配置，满足采集、存储管理要求。</w:t>
            </w:r>
          </w:p>
          <w:p>
            <w:pPr>
              <w:pStyle w:val="null3"/>
            </w:pPr>
            <w:r>
              <w:rPr>
                <w:rFonts w:ascii="仿宋_GB2312" w:hAnsi="仿宋_GB2312" w:cs="仿宋_GB2312" w:eastAsia="仿宋_GB2312"/>
                <w:sz w:val="24"/>
              </w:rPr>
              <w:t>15）支持分类数据存储，每类可按容量、定期、时间窗口自行设定写入策略，提供根据访问时间确定的磁盘缓存时长策略，支持刻录失败自动重刻，同时刻录多副本等。</w:t>
            </w:r>
          </w:p>
          <w:p>
            <w:pPr>
              <w:pStyle w:val="null3"/>
            </w:pPr>
            <w:r>
              <w:rPr>
                <w:rFonts w:ascii="仿宋_GB2312" w:hAnsi="仿宋_GB2312" w:cs="仿宋_GB2312" w:eastAsia="仿宋_GB2312"/>
                <w:sz w:val="24"/>
              </w:rPr>
              <w:t>16）支持按照查询、备份、封存等不同用途自动生成不同副本；副本跟用途可采用多种存储模式，一类业务数据的不同副本可以独占盘匣或与其他业务共享盘匣。查询副本读取异常自动切换备份或封存副本等功能。</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7"/>
                <w:b/>
              </w:rPr>
              <w:t>二、配套软件技术参数要求</w:t>
            </w:r>
          </w:p>
          <w:p>
            <w:pPr>
              <w:pStyle w:val="null3"/>
            </w:pPr>
            <w:r>
              <w:rPr>
                <w:rFonts w:ascii="仿宋_GB2312" w:hAnsi="仿宋_GB2312" w:cs="仿宋_GB2312" w:eastAsia="仿宋_GB2312"/>
                <w:sz w:val="24"/>
              </w:rPr>
              <w:t>1、电子文件归档处理系统</w:t>
            </w:r>
          </w:p>
          <w:p>
            <w:pPr>
              <w:pStyle w:val="null3"/>
            </w:pPr>
            <w:r>
              <w:rPr>
                <w:rFonts w:ascii="仿宋_GB2312" w:hAnsi="仿宋_GB2312" w:cs="仿宋_GB2312" w:eastAsia="仿宋_GB2312"/>
                <w:sz w:val="24"/>
              </w:rPr>
              <w:t>电子文件归档处理系统部署于政务外网，供市级及区县各单位使用，需与铜川市政务办公系统、政务服务系统等进行数据接口对接，将已办结审批的电子文件，以预归档信息包的方式移交到本系统，进行数据交换、数据检测等处理，并可对采集的电子文件进行初步整理与补充，并重新生成预归档信息包，实现电子文件的前置接收。系统参照《电子文件归档与电子档案管理规范》（GB/T 18894-2016）、《党政机关电子公文归档规范》（GB/T 39362-2020）、《文书类电子档案检测一般要求》（DA/T 70-2018）、《政务服务事项电子文件归档规范》（DA/T 85-2019）等最新标准规范，确保电子文件的真实、完整、安全、可用以及归档规范性。系统需具备电子</w:t>
            </w:r>
            <w:r>
              <w:rPr>
                <w:rFonts w:ascii="仿宋_GB2312" w:hAnsi="仿宋_GB2312" w:cs="仿宋_GB2312" w:eastAsia="仿宋_GB2312"/>
                <w:sz w:val="24"/>
              </w:rPr>
              <w:t>文件收集、电子文件整理、电子文件归档、电子文件移交与接收及资料库管理、数据统计等功能。</w:t>
            </w:r>
          </w:p>
          <w:p>
            <w:pPr>
              <w:pStyle w:val="null3"/>
            </w:pPr>
            <w:r>
              <w:rPr>
                <w:rFonts w:ascii="仿宋_GB2312" w:hAnsi="仿宋_GB2312" w:cs="仿宋_GB2312" w:eastAsia="仿宋_GB2312"/>
                <w:sz w:val="24"/>
              </w:rPr>
              <w:t>2、 集中式档案室管理系统</w:t>
            </w:r>
          </w:p>
          <w:p>
            <w:pPr>
              <w:pStyle w:val="null3"/>
            </w:pPr>
            <w:r>
              <w:rPr>
                <w:rFonts w:ascii="仿宋_GB2312" w:hAnsi="仿宋_GB2312" w:cs="仿宋_GB2312" w:eastAsia="仿宋_GB2312"/>
                <w:sz w:val="24"/>
              </w:rPr>
              <w:t>集中式档案室管理系统部署于政务外网，供市级及区县各单位使用，</w:t>
            </w:r>
            <w:r>
              <w:rPr>
                <w:rFonts w:ascii="仿宋_GB2312" w:hAnsi="仿宋_GB2312" w:cs="仿宋_GB2312" w:eastAsia="仿宋_GB2312"/>
                <w:sz w:val="24"/>
              </w:rPr>
              <w:t>实现电子档案等档案数字资源的收集、管理、保存和利用。系统需具备档案收集、档案管理、档案利用、在线年检、档案检索、档案统计、流程管理、档案设置、应用管理、系统管理等功能。</w:t>
            </w:r>
          </w:p>
          <w:p>
            <w:pPr>
              <w:pStyle w:val="null3"/>
            </w:pPr>
            <w:r>
              <w:rPr>
                <w:rFonts w:ascii="仿宋_GB2312" w:hAnsi="仿宋_GB2312" w:cs="仿宋_GB2312" w:eastAsia="仿宋_GB2312"/>
                <w:sz w:val="24"/>
              </w:rPr>
              <w:t>3、 电子档案移交接收系统</w:t>
            </w:r>
          </w:p>
          <w:p>
            <w:pPr>
              <w:pStyle w:val="null3"/>
            </w:pPr>
            <w:r>
              <w:rPr>
                <w:rFonts w:ascii="仿宋_GB2312" w:hAnsi="仿宋_GB2312" w:cs="仿宋_GB2312" w:eastAsia="仿宋_GB2312"/>
                <w:sz w:val="24"/>
              </w:rPr>
              <w:t>电子档案移交接收系统部署于政务外网，供市级及区县各单位使用，实现电子档案从档案室向档案馆的规范化移交，确保电子档案的真实、完整、可用和安全。针对立档单位，提供与其他政务系统的接口，实现数据采集，完成移交前的准备工作，包括采集、检测、封装等操作，并办理移交手续；针对档案馆，接收立档单位移交的电子档案并办理接收手续。</w:t>
            </w:r>
            <w:r>
              <w:rPr>
                <w:rFonts w:ascii="仿宋_GB2312" w:hAnsi="仿宋_GB2312" w:cs="仿宋_GB2312" w:eastAsia="仿宋_GB2312"/>
                <w:sz w:val="24"/>
              </w:rPr>
              <w:t>系统需具备数据准备、数据整理、电子档案移交与接收、档案数字化成果移交与接收、流程审批</w:t>
            </w:r>
            <w:r>
              <w:rPr>
                <w:rFonts w:ascii="仿宋_GB2312" w:hAnsi="仿宋_GB2312" w:cs="仿宋_GB2312" w:eastAsia="仿宋_GB2312"/>
                <w:sz w:val="24"/>
              </w:rPr>
              <w:t>等功能。</w:t>
            </w:r>
          </w:p>
          <w:p>
            <w:pPr>
              <w:pStyle w:val="null3"/>
            </w:pPr>
            <w:r>
              <w:rPr>
                <w:rFonts w:ascii="仿宋_GB2312" w:hAnsi="仿宋_GB2312" w:cs="仿宋_GB2312" w:eastAsia="仿宋_GB2312"/>
                <w:sz w:val="24"/>
              </w:rPr>
              <w:t>4、政务网档案利用服务系统功能需求分析</w:t>
            </w:r>
          </w:p>
          <w:p>
            <w:pPr>
              <w:pStyle w:val="null3"/>
            </w:pPr>
            <w:r>
              <w:rPr>
                <w:rFonts w:ascii="仿宋_GB2312" w:hAnsi="仿宋_GB2312" w:cs="仿宋_GB2312" w:eastAsia="仿宋_GB2312"/>
                <w:sz w:val="24"/>
              </w:rPr>
              <w:t>政务外网档案利用服务</w:t>
            </w:r>
            <w:r>
              <w:rPr>
                <w:rFonts w:ascii="仿宋_GB2312" w:hAnsi="仿宋_GB2312" w:cs="仿宋_GB2312" w:eastAsia="仿宋_GB2312"/>
                <w:sz w:val="24"/>
              </w:rPr>
              <w:t>系统</w:t>
            </w:r>
            <w:r>
              <w:rPr>
                <w:rFonts w:ascii="仿宋_GB2312" w:hAnsi="仿宋_GB2312" w:cs="仿宋_GB2312" w:eastAsia="仿宋_GB2312"/>
                <w:sz w:val="24"/>
              </w:rPr>
              <w:t>部署在政务外网，供市级及区县各单位使用。利用者登录以后，可根据各自权限进行相应操作，系统提供对政务外网开放档案、资料、现行文件、专题等检索能力。</w:t>
            </w:r>
            <w:r>
              <w:rPr>
                <w:rFonts w:ascii="仿宋_GB2312" w:hAnsi="仿宋_GB2312" w:cs="仿宋_GB2312" w:eastAsia="仿宋_GB2312"/>
                <w:sz w:val="24"/>
              </w:rPr>
              <w:t>系统需具备前端、服务端等管理功能。</w:t>
            </w:r>
          </w:p>
          <w:p>
            <w:pPr>
              <w:pStyle w:val="null3"/>
            </w:pPr>
            <w:r>
              <w:rPr>
                <w:rFonts w:ascii="仿宋_GB2312" w:hAnsi="仿宋_GB2312" w:cs="仿宋_GB2312" w:eastAsia="仿宋_GB2312"/>
                <w:sz w:val="24"/>
              </w:rPr>
              <w:t>5、 区县政务一体化管理系统</w:t>
            </w:r>
          </w:p>
          <w:p>
            <w:pPr>
              <w:pStyle w:val="null3"/>
            </w:pPr>
            <w:r>
              <w:rPr>
                <w:rFonts w:ascii="仿宋_GB2312" w:hAnsi="仿宋_GB2312" w:cs="仿宋_GB2312" w:eastAsia="仿宋_GB2312"/>
                <w:sz w:val="24"/>
              </w:rPr>
              <w:t>依托铜川市档案馆统建的电子文件归档处理系统、集中式档案室管理系统、电子档案移交系统等，可实现铜川市下辖三区一县</w:t>
            </w:r>
            <w:r>
              <w:rPr>
                <w:rFonts w:ascii="仿宋_GB2312" w:hAnsi="仿宋_GB2312" w:cs="仿宋_GB2312" w:eastAsia="仿宋_GB2312"/>
                <w:sz w:val="24"/>
              </w:rPr>
              <w:t>各单位电子文件在线归档、电子档案及档案数字化成果管理及各区县档案馆对立档单位的电子档案、档案数字化成果的移交接收等管理功能。</w:t>
            </w:r>
          </w:p>
          <w:p>
            <w:pPr>
              <w:pStyle w:val="null3"/>
            </w:pPr>
            <w:r>
              <w:rPr>
                <w:rFonts w:ascii="仿宋_GB2312" w:hAnsi="仿宋_GB2312" w:cs="仿宋_GB2312" w:eastAsia="仿宋_GB2312"/>
                <w:sz w:val="24"/>
              </w:rPr>
              <w:t>6、互联网档案利用服务系统</w:t>
            </w:r>
          </w:p>
          <w:p>
            <w:pPr>
              <w:pStyle w:val="null3"/>
            </w:pPr>
            <w:r>
              <w:rPr>
                <w:rFonts w:ascii="仿宋_GB2312" w:hAnsi="仿宋_GB2312" w:cs="仿宋_GB2312" w:eastAsia="仿宋_GB2312"/>
                <w:sz w:val="24"/>
              </w:rPr>
              <w:t>部署于互联网，接入铜川市档案馆门户网站，供社会公众进行开放档案、现行文件等信息查阅。 各级各类人员登录以后，可根据各自权限进行相应操作。在该平台中，提供对互联网开放档案、资料、现行文件、特色专题库、网上展厅等检索功能，即针对利用库的多种方式的检索利用。</w:t>
            </w:r>
            <w:r>
              <w:rPr>
                <w:rFonts w:ascii="仿宋_GB2312" w:hAnsi="仿宋_GB2312" w:cs="仿宋_GB2312" w:eastAsia="仿宋_GB2312"/>
                <w:sz w:val="24"/>
              </w:rPr>
              <w:t>系统需具</w:t>
            </w:r>
            <w:r>
              <w:rPr>
                <w:rFonts w:ascii="仿宋_GB2312" w:hAnsi="仿宋_GB2312" w:cs="仿宋_GB2312" w:eastAsia="仿宋_GB2312"/>
                <w:sz w:val="24"/>
              </w:rPr>
              <w:t>备前端、服务端等管理</w:t>
            </w:r>
            <w:r>
              <w:rPr>
                <w:rFonts w:ascii="仿宋_GB2312" w:hAnsi="仿宋_GB2312" w:cs="仿宋_GB2312" w:eastAsia="仿宋_GB2312"/>
                <w:sz w:val="24"/>
              </w:rPr>
              <w:t>功能。</w:t>
            </w:r>
          </w:p>
          <w:p>
            <w:pPr>
              <w:pStyle w:val="null3"/>
            </w:pPr>
            <w:r>
              <w:rPr>
                <w:rFonts w:ascii="仿宋_GB2312" w:hAnsi="仿宋_GB2312" w:cs="仿宋_GB2312" w:eastAsia="仿宋_GB2312"/>
                <w:sz w:val="24"/>
              </w:rPr>
              <w:t>7、 新媒体网页信息采集系统</w:t>
            </w:r>
          </w:p>
          <w:p>
            <w:pPr>
              <w:pStyle w:val="null3"/>
            </w:pPr>
            <w:r>
              <w:rPr>
                <w:rFonts w:ascii="仿宋_GB2312" w:hAnsi="仿宋_GB2312" w:cs="仿宋_GB2312" w:eastAsia="仿宋_GB2312"/>
                <w:sz w:val="24"/>
              </w:rPr>
              <w:t>系统依托于互联网，遵循新媒体档案采集的相关规范，对铜川市档案馆网站网页信息等资源进行采集，网站将网页信息根据《</w:t>
            </w:r>
            <w:r>
              <w:rPr>
                <w:rFonts w:ascii="仿宋_GB2312" w:hAnsi="仿宋_GB2312" w:cs="仿宋_GB2312" w:eastAsia="仿宋_GB2312"/>
                <w:sz w:val="24"/>
              </w:rPr>
              <w:t>政府网站网页归档指南</w:t>
            </w:r>
            <w:r>
              <w:rPr>
                <w:rFonts w:ascii="仿宋_GB2312" w:hAnsi="仿宋_GB2312" w:cs="仿宋_GB2312" w:eastAsia="仿宋_GB2312"/>
                <w:sz w:val="24"/>
              </w:rPr>
              <w:t>》（</w:t>
            </w:r>
            <w:r>
              <w:rPr>
                <w:rFonts w:ascii="仿宋_GB2312" w:hAnsi="仿宋_GB2312" w:cs="仿宋_GB2312" w:eastAsia="仿宋_GB2312"/>
                <w:sz w:val="24"/>
              </w:rPr>
              <w:t>DA/T 80-2019</w:t>
            </w:r>
            <w:r>
              <w:rPr>
                <w:rFonts w:ascii="仿宋_GB2312" w:hAnsi="仿宋_GB2312" w:cs="仿宋_GB2312" w:eastAsia="仿宋_GB2312"/>
                <w:sz w:val="24"/>
              </w:rPr>
              <w:t>）标准规范进行归档。</w:t>
            </w:r>
            <w:r>
              <w:rPr>
                <w:rFonts w:ascii="仿宋_GB2312" w:hAnsi="仿宋_GB2312" w:cs="仿宋_GB2312" w:eastAsia="仿宋_GB2312"/>
                <w:sz w:val="24"/>
              </w:rPr>
              <w:t>需具</w:t>
            </w:r>
            <w:r>
              <w:rPr>
                <w:rFonts w:ascii="仿宋_GB2312" w:hAnsi="仿宋_GB2312" w:cs="仿宋_GB2312" w:eastAsia="仿宋_GB2312"/>
                <w:sz w:val="24"/>
              </w:rPr>
              <w:t>备系统管理、系统配置、数据采集、数据整理、数据归档、数据导出等功能。</w:t>
            </w:r>
          </w:p>
          <w:p>
            <w:pPr>
              <w:pStyle w:val="null3"/>
            </w:pPr>
            <w:r>
              <w:rPr>
                <w:rFonts w:ascii="仿宋_GB2312" w:hAnsi="仿宋_GB2312" w:cs="仿宋_GB2312" w:eastAsia="仿宋_GB2312"/>
                <w:sz w:val="24"/>
              </w:rPr>
              <w:t>8、内部档案管理系统</w:t>
            </w:r>
          </w:p>
          <w:p>
            <w:pPr>
              <w:pStyle w:val="null3"/>
            </w:pPr>
            <w:r>
              <w:rPr>
                <w:rFonts w:ascii="仿宋_GB2312" w:hAnsi="仿宋_GB2312" w:cs="仿宋_GB2312" w:eastAsia="仿宋_GB2312"/>
                <w:sz w:val="24"/>
              </w:rPr>
              <w:t>内部档案管理系统部署在铜川市档案馆内部环境，</w:t>
            </w:r>
            <w:r>
              <w:rPr>
                <w:rFonts w:ascii="仿宋_GB2312" w:hAnsi="仿宋_GB2312" w:cs="仿宋_GB2312" w:eastAsia="仿宋_GB2312"/>
                <w:sz w:val="24"/>
              </w:rPr>
              <w:t>实现重要档案数字资源等业务数据的接收、管理、保存和利用，</w:t>
            </w:r>
            <w:r>
              <w:rPr>
                <w:rFonts w:ascii="仿宋_GB2312" w:hAnsi="仿宋_GB2312" w:cs="仿宋_GB2312" w:eastAsia="仿宋_GB2312"/>
                <w:sz w:val="24"/>
              </w:rPr>
              <w:t>系统需提供档案接收、档案管理、档案保存、档案利用、档案检索、档案统计、功能配置、系统管理等功</w:t>
            </w:r>
            <w:r>
              <w:rPr>
                <w:rFonts w:ascii="仿宋_GB2312" w:hAnsi="仿宋_GB2312" w:cs="仿宋_GB2312" w:eastAsia="仿宋_GB2312"/>
                <w:sz w:val="24"/>
              </w:rPr>
              <w:t>能。</w:t>
            </w:r>
          </w:p>
          <w:p>
            <w:pPr>
              <w:pStyle w:val="null3"/>
            </w:pPr>
            <w:r>
              <w:rPr>
                <w:rFonts w:ascii="仿宋_GB2312" w:hAnsi="仿宋_GB2312" w:cs="仿宋_GB2312" w:eastAsia="仿宋_GB2312"/>
                <w:sz w:val="24"/>
              </w:rPr>
              <w:t>10、 OFD版式系统</w:t>
            </w:r>
          </w:p>
          <w:p>
            <w:pPr>
              <w:pStyle w:val="null3"/>
            </w:pPr>
            <w:r>
              <w:rPr>
                <w:rFonts w:ascii="仿宋_GB2312" w:hAnsi="仿宋_GB2312" w:cs="仿宋_GB2312" w:eastAsia="仿宋_GB2312"/>
                <w:sz w:val="24"/>
              </w:rPr>
              <w:t>1）国产版式转换套件；</w:t>
            </w:r>
          </w:p>
          <w:p>
            <w:pPr>
              <w:pStyle w:val="null3"/>
            </w:pPr>
            <w:r>
              <w:rPr>
                <w:rFonts w:ascii="仿宋_GB2312" w:hAnsi="仿宋_GB2312" w:cs="仿宋_GB2312" w:eastAsia="仿宋_GB2312"/>
                <w:sz w:val="24"/>
              </w:rPr>
              <w:t>2）支持网页文件转换为OFD格式存储，支持URL转换模式；</w:t>
            </w:r>
          </w:p>
          <w:p>
            <w:pPr>
              <w:pStyle w:val="null3"/>
            </w:pPr>
            <w:r>
              <w:rPr>
                <w:rFonts w:ascii="仿宋_GB2312" w:hAnsi="仿宋_GB2312" w:cs="仿宋_GB2312" w:eastAsia="仿宋_GB2312"/>
                <w:sz w:val="24"/>
              </w:rPr>
              <w:t>3）支持常见文档格式，比如OFFICE、WPS、图片、RTF、HTML、TXT等格式转换为PDF格式或图片，支持压缩包格式(RAR、Zip)的预览；</w:t>
            </w:r>
          </w:p>
          <w:p>
            <w:pPr>
              <w:pStyle w:val="null3"/>
            </w:pPr>
            <w:r>
              <w:rPr>
                <w:rFonts w:ascii="仿宋_GB2312" w:hAnsi="仿宋_GB2312" w:cs="仿宋_GB2312" w:eastAsia="仿宋_GB2312"/>
                <w:sz w:val="24"/>
              </w:rPr>
              <w:t>4）支持PDF、TXT等文件同OFD互转；</w:t>
            </w:r>
          </w:p>
          <w:p>
            <w:pPr>
              <w:pStyle w:val="null3"/>
            </w:pPr>
            <w:r>
              <w:rPr>
                <w:rFonts w:ascii="仿宋_GB2312" w:hAnsi="仿宋_GB2312" w:cs="仿宋_GB2312" w:eastAsia="仿宋_GB2312"/>
                <w:sz w:val="24"/>
              </w:rPr>
              <w:t>5）提供深度水印功能，如：静态水印、二维码水印、条形码水印；</w:t>
            </w:r>
          </w:p>
          <w:p>
            <w:pPr>
              <w:pStyle w:val="null3"/>
            </w:pPr>
            <w:r>
              <w:rPr>
                <w:rFonts w:ascii="仿宋_GB2312" w:hAnsi="仿宋_GB2312" w:cs="仿宋_GB2312" w:eastAsia="仿宋_GB2312"/>
                <w:sz w:val="24"/>
              </w:rPr>
              <w:t>6）支持使用单张或多张图片作为底图/底纹生成OFD模板文件，并可对图片dpi、宽高设置；也支持以DOC/PDF文档作为底图生成OFD模板文件；</w:t>
            </w:r>
          </w:p>
          <w:p>
            <w:pPr>
              <w:pStyle w:val="null3"/>
            </w:pPr>
            <w:r>
              <w:rPr>
                <w:rFonts w:ascii="仿宋_GB2312" w:hAnsi="仿宋_GB2312" w:cs="仿宋_GB2312" w:eastAsia="仿宋_GB2312"/>
                <w:sz w:val="24"/>
              </w:rPr>
              <w:t>7）支持页码组件，实现OFD文件自动扩展分页；支持表格组件，通过设置表格最大填充行数以及行间距，在生成OFD文件时实现自动分页；</w:t>
            </w:r>
          </w:p>
          <w:p>
            <w:pPr>
              <w:pStyle w:val="null3"/>
            </w:pPr>
            <w:r>
              <w:rPr>
                <w:rFonts w:ascii="仿宋_GB2312" w:hAnsi="仿宋_GB2312" w:cs="仿宋_GB2312" w:eastAsia="仿宋_GB2312"/>
                <w:sz w:val="24"/>
              </w:rPr>
              <w:t>8）支持对OFD文件中字体文件的裁剪，减少生成的OFD文件体积；</w:t>
            </w:r>
          </w:p>
          <w:p>
            <w:pPr>
              <w:pStyle w:val="null3"/>
            </w:pPr>
            <w:r>
              <w:rPr>
                <w:rFonts w:ascii="仿宋_GB2312" w:hAnsi="仿宋_GB2312" w:cs="仿宋_GB2312" w:eastAsia="仿宋_GB2312"/>
                <w:sz w:val="24"/>
              </w:rPr>
              <w:t>9）支持通过可视化的页面与拖拉拽组件的方式设计OFD模板文件。</w:t>
            </w:r>
          </w:p>
          <w:p>
            <w:pPr>
              <w:pStyle w:val="null3"/>
            </w:pPr>
            <w:r>
              <w:rPr>
                <w:rFonts w:ascii="仿宋_GB2312" w:hAnsi="仿宋_GB2312" w:cs="仿宋_GB2312" w:eastAsia="仿宋_GB2312"/>
                <w:sz w:val="24"/>
              </w:rPr>
              <w:t>11、 OCR识别系统</w:t>
            </w:r>
          </w:p>
          <w:p>
            <w:pPr>
              <w:pStyle w:val="null3"/>
            </w:pPr>
            <w:r>
              <w:rPr>
                <w:rFonts w:ascii="仿宋_GB2312" w:hAnsi="仿宋_GB2312" w:cs="仿宋_GB2312" w:eastAsia="仿宋_GB2312"/>
                <w:sz w:val="24"/>
              </w:rPr>
              <w:t>1）国产OCR文字识别系统；</w:t>
            </w:r>
          </w:p>
          <w:p>
            <w:pPr>
              <w:pStyle w:val="null3"/>
            </w:pPr>
            <w:r>
              <w:rPr>
                <w:rFonts w:ascii="仿宋_GB2312" w:hAnsi="仿宋_GB2312" w:cs="仿宋_GB2312" w:eastAsia="仿宋_GB2312"/>
                <w:sz w:val="24"/>
              </w:rPr>
              <w:t>2）输入图像格式：支持jpg、png、tiff、bmp等常见图像格式；</w:t>
            </w:r>
          </w:p>
          <w:p>
            <w:pPr>
              <w:pStyle w:val="null3"/>
            </w:pPr>
            <w:r>
              <w:rPr>
                <w:rFonts w:ascii="仿宋_GB2312" w:hAnsi="仿宋_GB2312" w:cs="仿宋_GB2312" w:eastAsia="仿宋_GB2312"/>
                <w:sz w:val="24"/>
              </w:rPr>
              <w:t>3）图像分辨率：待识别的单个字符高度大于20像素，分辨率范围：150~300dpi，字号支持小六号到初号；</w:t>
            </w:r>
          </w:p>
          <w:p>
            <w:pPr>
              <w:pStyle w:val="null3"/>
            </w:pPr>
            <w:r>
              <w:rPr>
                <w:rFonts w:ascii="仿宋_GB2312" w:hAnsi="仿宋_GB2312" w:cs="仿宋_GB2312" w:eastAsia="仿宋_GB2312"/>
                <w:sz w:val="24"/>
              </w:rPr>
              <w:t>4）图像倾斜矫正：倾斜角度正负5度内自适应,无需矫正；</w:t>
            </w:r>
          </w:p>
          <w:p>
            <w:pPr>
              <w:pStyle w:val="null3"/>
            </w:pPr>
            <w:r>
              <w:rPr>
                <w:rFonts w:ascii="仿宋_GB2312" w:hAnsi="仿宋_GB2312" w:cs="仿宋_GB2312" w:eastAsia="仿宋_GB2312"/>
                <w:sz w:val="24"/>
              </w:rPr>
              <w:t>5）文字类型：支持中文、英语、字符等识别；</w:t>
            </w:r>
          </w:p>
          <w:p>
            <w:pPr>
              <w:pStyle w:val="null3"/>
            </w:pPr>
            <w:r>
              <w:rPr>
                <w:rFonts w:ascii="仿宋_GB2312" w:hAnsi="仿宋_GB2312" w:cs="仿宋_GB2312" w:eastAsia="仿宋_GB2312"/>
                <w:sz w:val="24"/>
              </w:rPr>
              <w:t>6）印刷体识别精度：字符准确率90%以上；</w:t>
            </w:r>
          </w:p>
          <w:p>
            <w:pPr>
              <w:pStyle w:val="null3"/>
            </w:pPr>
            <w:r>
              <w:rPr>
                <w:rFonts w:ascii="仿宋_GB2312" w:hAnsi="仿宋_GB2312" w:cs="仿宋_GB2312" w:eastAsia="仿宋_GB2312"/>
                <w:sz w:val="24"/>
              </w:rPr>
              <w:t>7）支持国产化环境部署。</w:t>
            </w:r>
          </w:p>
          <w:p>
            <w:pPr>
              <w:pStyle w:val="null3"/>
            </w:pPr>
            <w:r>
              <w:rPr>
                <w:rFonts w:ascii="仿宋_GB2312" w:hAnsi="仿宋_GB2312" w:cs="仿宋_GB2312" w:eastAsia="仿宋_GB2312"/>
                <w:sz w:val="24"/>
              </w:rPr>
              <w:t>12、软件对接要求</w:t>
            </w:r>
          </w:p>
          <w:p>
            <w:pPr>
              <w:pStyle w:val="null3"/>
            </w:pPr>
            <w:r>
              <w:rPr>
                <w:rFonts w:ascii="仿宋_GB2312" w:hAnsi="仿宋_GB2312" w:cs="仿宋_GB2312" w:eastAsia="仿宋_GB2312"/>
                <w:sz w:val="24"/>
              </w:rPr>
              <w:t>1） 政务办公系统对接要求：</w:t>
            </w:r>
            <w:r>
              <w:rPr>
                <w:rFonts w:ascii="仿宋_GB2312" w:hAnsi="仿宋_GB2312" w:cs="仿宋_GB2312" w:eastAsia="仿宋_GB2312"/>
                <w:sz w:val="24"/>
              </w:rPr>
              <w:t>需完成</w:t>
            </w:r>
            <w:r>
              <w:rPr>
                <w:rFonts w:ascii="仿宋_GB2312" w:hAnsi="仿宋_GB2312" w:cs="仿宋_GB2312" w:eastAsia="仿宋_GB2312"/>
                <w:sz w:val="24"/>
              </w:rPr>
              <w:t>电子文件归档处理系统、电子档案移交接收系统等对接市级或省级政务办公系统，实现相关政务办公系统电子文件在线归档、电子档案移交接收等功能。</w:t>
            </w:r>
          </w:p>
          <w:p>
            <w:pPr>
              <w:pStyle w:val="null3"/>
            </w:pPr>
            <w:r>
              <w:rPr>
                <w:rFonts w:ascii="仿宋_GB2312" w:hAnsi="仿宋_GB2312" w:cs="仿宋_GB2312" w:eastAsia="仿宋_GB2312"/>
                <w:sz w:val="24"/>
              </w:rPr>
              <w:t xml:space="preserve">2） </w:t>
            </w:r>
            <w:r>
              <w:rPr>
                <w:rFonts w:ascii="仿宋_GB2312" w:hAnsi="仿宋_GB2312" w:cs="仿宋_GB2312" w:eastAsia="仿宋_GB2312"/>
                <w:sz w:val="24"/>
              </w:rPr>
              <w:t>政务服务系统对接要求：需完成</w:t>
            </w:r>
            <w:r>
              <w:rPr>
                <w:rFonts w:ascii="仿宋_GB2312" w:hAnsi="仿宋_GB2312" w:cs="仿宋_GB2312" w:eastAsia="仿宋_GB2312"/>
                <w:sz w:val="24"/>
              </w:rPr>
              <w:t>电子文件归档处理系统、电子档案移交接收系统等对接全市政务服务一体化平台，实现相关政务服务系统电子文件在线归档、电子档案移交接收等功能。</w:t>
            </w:r>
          </w:p>
          <w:p>
            <w:pPr>
              <w:pStyle w:val="null3"/>
            </w:pPr>
            <w:r>
              <w:rPr>
                <w:rFonts w:ascii="仿宋_GB2312" w:hAnsi="仿宋_GB2312" w:cs="仿宋_GB2312" w:eastAsia="仿宋_GB2312"/>
                <w:sz w:val="24"/>
              </w:rPr>
              <w:t>3） 商用密码应用设备对接要求：基于铜川市电子政务云平台提供的安全认证网关服务、签名验签服务、可信密码服务等密码服务以及系统的应用功能，需开发适配若干密码应用功能模块，以实现网络和通信、设备和计算、应用和数据等层面的密码应用功能。</w:t>
            </w:r>
          </w:p>
          <w:p>
            <w:pPr>
              <w:pStyle w:val="null3"/>
            </w:pPr>
            <w:r>
              <w:rPr>
                <w:rFonts w:ascii="仿宋_GB2312" w:hAnsi="仿宋_GB2312" w:cs="仿宋_GB2312" w:eastAsia="仿宋_GB2312"/>
                <w:sz w:val="24"/>
              </w:rPr>
              <w:t>4） 局域网平台改造要求：局域网档案管理系统接收模块需适配政务外网电子档案移交接收系统数据移交接收需求，定制化修改。</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标的名称：网络安全等级保护测评</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b/>
              </w:rPr>
              <w:t>1、服务内容</w:t>
            </w:r>
          </w:p>
          <w:tbl>
            <w:tblPr>
              <w:tblInd w:type="dxa" w:w="120"/>
              <w:tblBorders>
                <w:top w:val="none" w:color="000000" w:sz="4"/>
                <w:left w:val="none" w:color="000000" w:sz="4"/>
                <w:bottom w:val="none" w:color="000000" w:sz="4"/>
                <w:right w:val="none" w:color="000000" w:sz="4"/>
                <w:insideH w:val="none"/>
                <w:insideV w:val="none"/>
              </w:tblBorders>
            </w:tblPr>
            <w:tblGrid>
              <w:gridCol w:w="638"/>
              <w:gridCol w:w="638"/>
              <w:gridCol w:w="638"/>
              <w:gridCol w:w="638"/>
            </w:tblGrid>
            <w:tr>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待测系统名称</w:t>
                  </w:r>
                </w:p>
              </w:tc>
              <w:tc>
                <w:tcPr>
                  <w:tcW w:type="dxa" w:w="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服务要求</w:t>
                  </w:r>
                </w:p>
              </w:tc>
              <w:tc>
                <w:tcPr>
                  <w:tcW w:type="dxa" w:w="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服务数量</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局域网</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评估通过为止</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互联网</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评估通过为止</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政务外网</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评估通过为止</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1个</w:t>
                  </w:r>
                </w:p>
              </w:tc>
            </w:tr>
          </w:tbl>
          <w:p>
            <w:pPr>
              <w:pStyle w:val="null3"/>
            </w:pPr>
            <w:r>
              <w:rPr>
                <w:rFonts w:ascii="仿宋_GB2312" w:hAnsi="仿宋_GB2312" w:cs="仿宋_GB2312" w:eastAsia="仿宋_GB2312"/>
                <w:sz w:val="24"/>
                <w:b/>
              </w:rPr>
              <w:t>2、服务要求</w:t>
            </w:r>
          </w:p>
          <w:p>
            <w:pPr>
              <w:pStyle w:val="null3"/>
              <w:ind w:firstLine="420"/>
              <w:jc w:val="left"/>
            </w:pPr>
            <w:r>
              <w:rPr>
                <w:rFonts w:ascii="仿宋_GB2312" w:hAnsi="仿宋_GB2312" w:cs="仿宋_GB2312" w:eastAsia="仿宋_GB2312"/>
                <w:sz w:val="24"/>
                <w:color w:val="000000"/>
              </w:rPr>
              <w:t>针对被测评系统开展网络安全等级测评，至少应遵循</w:t>
            </w:r>
            <w:r>
              <w:rPr>
                <w:rFonts w:ascii="仿宋_GB2312" w:hAnsi="仿宋_GB2312" w:cs="仿宋_GB2312" w:eastAsia="仿宋_GB2312"/>
                <w:sz w:val="24"/>
                <w:color w:val="000000"/>
              </w:rPr>
              <w:t>GB/T 22239-2019《信息安全技术 网络安全等级保护基本要求》中的通用要求，最终成交的网络安全等级测评机构应依据本项目涉及到的被测评系统实际情况选取安全扩展指标。</w:t>
            </w:r>
          </w:p>
          <w:p>
            <w:pPr>
              <w:pStyle w:val="null3"/>
            </w:pPr>
            <w:r>
              <w:rPr>
                <w:rFonts w:ascii="仿宋_GB2312" w:hAnsi="仿宋_GB2312" w:cs="仿宋_GB2312" w:eastAsia="仿宋_GB2312"/>
                <w:sz w:val="24"/>
                <w:b/>
                <w:color w:val="000000"/>
              </w:rPr>
              <w:t>3、测评依据标准</w:t>
            </w:r>
          </w:p>
          <w:p>
            <w:pPr>
              <w:pStyle w:val="null3"/>
            </w:pPr>
            <w:r>
              <w:rPr>
                <w:rFonts w:ascii="仿宋_GB2312" w:hAnsi="仿宋_GB2312" w:cs="仿宋_GB2312" w:eastAsia="仿宋_GB2312"/>
                <w:sz w:val="24"/>
                <w:color w:val="000000"/>
              </w:rPr>
              <w:t>GB/T 22239-2019《信息安全技术 网络安全等级保护基本要求》</w:t>
            </w:r>
          </w:p>
          <w:p>
            <w:pPr>
              <w:pStyle w:val="null3"/>
            </w:pPr>
            <w:r>
              <w:rPr>
                <w:rFonts w:ascii="仿宋_GB2312" w:hAnsi="仿宋_GB2312" w:cs="仿宋_GB2312" w:eastAsia="仿宋_GB2312"/>
                <w:sz w:val="24"/>
                <w:color w:val="000000"/>
              </w:rPr>
              <w:t>GB/T 28448-2019《信息安全技术 网络安全等级保护测评要求》</w:t>
            </w:r>
          </w:p>
          <w:p>
            <w:pPr>
              <w:pStyle w:val="null3"/>
            </w:pPr>
            <w:r>
              <w:rPr>
                <w:rFonts w:ascii="仿宋_GB2312" w:hAnsi="仿宋_GB2312" w:cs="仿宋_GB2312" w:eastAsia="仿宋_GB2312"/>
                <w:sz w:val="24"/>
                <w:color w:val="000000"/>
              </w:rPr>
              <w:t>公网安〔2025〕1001号《关于进一步做好网络安全等级保护有关工作的函》——附件3 《网络安全等级测评报告模版》(2025版)</w:t>
            </w:r>
          </w:p>
          <w:p>
            <w:pPr>
              <w:pStyle w:val="null3"/>
            </w:pPr>
            <w:r>
              <w:rPr>
                <w:rFonts w:ascii="仿宋_GB2312" w:hAnsi="仿宋_GB2312" w:cs="仿宋_GB2312" w:eastAsia="仿宋_GB2312"/>
                <w:sz w:val="24"/>
                <w:color w:val="000000"/>
              </w:rPr>
              <w:t>公网安〔2025〕2391号《网络安全等级保护测评高风险判定实施指引(试行)》的通知</w:t>
            </w:r>
          </w:p>
          <w:p>
            <w:pPr>
              <w:pStyle w:val="null3"/>
            </w:pPr>
            <w:r>
              <w:rPr>
                <w:rFonts w:ascii="仿宋_GB2312" w:hAnsi="仿宋_GB2312" w:cs="仿宋_GB2312" w:eastAsia="仿宋_GB2312"/>
                <w:sz w:val="24"/>
                <w:b/>
                <w:color w:val="000000"/>
              </w:rPr>
              <w:t>4、项目交付</w:t>
            </w:r>
          </w:p>
          <w:p>
            <w:pPr>
              <w:pStyle w:val="null3"/>
            </w:pPr>
            <w:r>
              <w:rPr>
                <w:rFonts w:ascii="仿宋_GB2312" w:hAnsi="仿宋_GB2312" w:cs="仿宋_GB2312" w:eastAsia="仿宋_GB2312"/>
                <w:sz w:val="24"/>
                <w:color w:val="000000"/>
              </w:rPr>
              <w:t>针对本项目的被测评系统交付下述项目成果</w:t>
            </w:r>
          </w:p>
          <w:p>
            <w:pPr>
              <w:pStyle w:val="null3"/>
            </w:pPr>
            <w:r>
              <w:rPr>
                <w:rFonts w:ascii="仿宋_GB2312" w:hAnsi="仿宋_GB2312" w:cs="仿宋_GB2312" w:eastAsia="仿宋_GB2312"/>
                <w:sz w:val="24"/>
                <w:color w:val="000000"/>
              </w:rPr>
              <w:t>（1）网络安全等级测评方案（按系统数量交付）</w:t>
            </w:r>
          </w:p>
          <w:p>
            <w:pPr>
              <w:pStyle w:val="null3"/>
            </w:pPr>
            <w:r>
              <w:rPr>
                <w:rFonts w:ascii="仿宋_GB2312" w:hAnsi="仿宋_GB2312" w:cs="仿宋_GB2312" w:eastAsia="仿宋_GB2312"/>
                <w:sz w:val="24"/>
                <w:color w:val="000000"/>
              </w:rPr>
              <w:t>（2）</w:t>
            </w:r>
            <w:r>
              <w:rPr>
                <w:rFonts w:ascii="仿宋_GB2312" w:hAnsi="仿宋_GB2312" w:cs="仿宋_GB2312" w:eastAsia="仿宋_GB2312"/>
                <w:sz w:val="24"/>
                <w:color w:val="000000"/>
              </w:rPr>
              <w:t>网络安全等级测评报告（按系统数量交付）</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标的名称：第 三方软件测评</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b/>
                <w:color w:val="000000"/>
              </w:rPr>
              <w:t>1、服务内容：</w:t>
            </w:r>
          </w:p>
          <w:tbl>
            <w:tblPr>
              <w:tblInd w:type="dxa" w:w="120"/>
              <w:tblBorders>
                <w:top w:val="none" w:color="000000" w:sz="4"/>
                <w:left w:val="none" w:color="000000" w:sz="4"/>
                <w:bottom w:val="none" w:color="000000" w:sz="4"/>
                <w:right w:val="none" w:color="000000" w:sz="4"/>
                <w:insideH w:val="none"/>
                <w:insideV w:val="none"/>
              </w:tblBorders>
            </w:tblPr>
            <w:tblGrid>
              <w:gridCol w:w="638"/>
              <w:gridCol w:w="638"/>
              <w:gridCol w:w="638"/>
              <w:gridCol w:w="638"/>
            </w:tblGrid>
            <w:tr>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序号</w:t>
                  </w:r>
                </w:p>
              </w:tc>
              <w:tc>
                <w:tcPr>
                  <w:tcW w:type="dxa" w:w="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待测系统名称</w:t>
                  </w:r>
                </w:p>
              </w:tc>
              <w:tc>
                <w:tcPr>
                  <w:tcW w:type="dxa" w:w="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服务要求</w:t>
                  </w:r>
                </w:p>
              </w:tc>
              <w:tc>
                <w:tcPr>
                  <w:tcW w:type="dxa" w:w="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服务数量</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局域网平台</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评估通过为止</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互联网平台</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评估通过为止</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政务外网平台</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评估通过为止</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1个</w:t>
                  </w:r>
                </w:p>
              </w:tc>
            </w:tr>
          </w:tbl>
          <w:p>
            <w:pPr>
              <w:pStyle w:val="null3"/>
            </w:pPr>
            <w:r>
              <w:rPr>
                <w:rFonts w:ascii="仿宋_GB2312" w:hAnsi="仿宋_GB2312" w:cs="仿宋_GB2312" w:eastAsia="仿宋_GB2312"/>
                <w:sz w:val="24"/>
                <w:b/>
                <w:color w:val="000000"/>
              </w:rPr>
              <w:t>2、服务要求</w:t>
            </w:r>
          </w:p>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）功能测试要求</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）测试范围</w:t>
            </w:r>
            <w:r>
              <w:rPr>
                <w:rFonts w:ascii="仿宋_GB2312" w:hAnsi="仿宋_GB2312" w:cs="仿宋_GB2312" w:eastAsia="仿宋_GB2312"/>
                <w:sz w:val="24"/>
                <w:color w:val="000000"/>
              </w:rPr>
              <w:t>主要包含但不限于以下测试内容：</w:t>
            </w:r>
          </w:p>
          <w:p>
            <w:pPr>
              <w:pStyle w:val="null3"/>
            </w:pPr>
            <w:r>
              <w:rPr>
                <w:rFonts w:ascii="仿宋_GB2312" w:hAnsi="仿宋_GB2312" w:cs="仿宋_GB2312" w:eastAsia="仿宋_GB2312"/>
                <w:sz w:val="24"/>
                <w:color w:val="000000"/>
              </w:rPr>
              <w:t>①基本功能类测试：主要验证各基础功能模块是否实现正确。</w:t>
            </w:r>
          </w:p>
          <w:p>
            <w:pPr>
              <w:pStyle w:val="null3"/>
            </w:pPr>
            <w:r>
              <w:rPr>
                <w:rFonts w:ascii="仿宋_GB2312" w:hAnsi="仿宋_GB2312" w:cs="仿宋_GB2312" w:eastAsia="仿宋_GB2312"/>
                <w:sz w:val="24"/>
                <w:color w:val="000000"/>
              </w:rPr>
              <w:t>②后台管理类测试：主要验证人员权限分配、参数设置、报表查询、数据统计、操作日志等功能是否实现正确。</w:t>
            </w:r>
          </w:p>
          <w:p>
            <w:pPr>
              <w:pStyle w:val="null3"/>
            </w:pPr>
            <w:r>
              <w:rPr>
                <w:rFonts w:ascii="仿宋_GB2312" w:hAnsi="仿宋_GB2312" w:cs="仿宋_GB2312" w:eastAsia="仿宋_GB2312"/>
                <w:sz w:val="24"/>
                <w:color w:val="000000"/>
              </w:rPr>
              <w:t>③身份认证及访问控制类测试：主要是验证系统用户的身份鉴别功能、访问控制功能是否正确。</w:t>
            </w:r>
          </w:p>
          <w:p>
            <w:pPr>
              <w:pStyle w:val="null3"/>
            </w:pPr>
            <w:r>
              <w:rPr>
                <w:rFonts w:ascii="仿宋_GB2312" w:hAnsi="仿宋_GB2312" w:cs="仿宋_GB2312" w:eastAsia="仿宋_GB2312"/>
                <w:sz w:val="24"/>
                <w:color w:val="000000"/>
              </w:rPr>
              <w:t>2）轮次要求：</w:t>
            </w:r>
            <w:r>
              <w:rPr>
                <w:rFonts w:ascii="仿宋_GB2312" w:hAnsi="仿宋_GB2312" w:cs="仿宋_GB2312" w:eastAsia="仿宋_GB2312"/>
                <w:sz w:val="24"/>
                <w:color w:val="000000"/>
              </w:rPr>
              <w:t>回归验证1轮。</w:t>
            </w:r>
          </w:p>
          <w:p>
            <w:pPr>
              <w:pStyle w:val="null3"/>
            </w:pPr>
            <w:r>
              <w:rPr>
                <w:rFonts w:ascii="仿宋_GB2312" w:hAnsi="仿宋_GB2312" w:cs="仿宋_GB2312" w:eastAsia="仿宋_GB2312"/>
                <w:sz w:val="24"/>
                <w:color w:val="000000"/>
              </w:rPr>
              <w:t>3）通过标准（包括但不限于以下要求）</w:t>
            </w:r>
          </w:p>
          <w:p>
            <w:pPr>
              <w:pStyle w:val="null3"/>
            </w:pPr>
            <w:r>
              <w:rPr>
                <w:rFonts w:ascii="仿宋_GB2312" w:hAnsi="仿宋_GB2312" w:cs="仿宋_GB2312" w:eastAsia="仿宋_GB2312"/>
                <w:sz w:val="24"/>
                <w:color w:val="000000"/>
              </w:rPr>
              <w:t>①所有测试场景100%测试完成；</w:t>
            </w:r>
          </w:p>
          <w:p>
            <w:pPr>
              <w:pStyle w:val="null3"/>
            </w:pPr>
            <w:r>
              <w:rPr>
                <w:rFonts w:ascii="仿宋_GB2312" w:hAnsi="仿宋_GB2312" w:cs="仿宋_GB2312" w:eastAsia="仿宋_GB2312"/>
                <w:sz w:val="24"/>
                <w:color w:val="000000"/>
              </w:rPr>
              <w:t>②给出所要求指标实际测试结果；</w:t>
            </w:r>
          </w:p>
          <w:p>
            <w:pPr>
              <w:pStyle w:val="null3"/>
            </w:pPr>
            <w:r>
              <w:rPr>
                <w:rFonts w:ascii="仿宋_GB2312" w:hAnsi="仿宋_GB2312" w:cs="仿宋_GB2312" w:eastAsia="仿宋_GB2312"/>
                <w:sz w:val="24"/>
                <w:color w:val="000000"/>
              </w:rPr>
              <w:t>③对于未达到要求之指标给予调优建议；</w:t>
            </w:r>
          </w:p>
          <w:p>
            <w:pPr>
              <w:pStyle w:val="null3"/>
            </w:pPr>
            <w:r>
              <w:rPr>
                <w:rFonts w:ascii="仿宋_GB2312" w:hAnsi="仿宋_GB2312" w:cs="仿宋_GB2312" w:eastAsia="仿宋_GB2312"/>
                <w:sz w:val="24"/>
                <w:color w:val="000000"/>
              </w:rPr>
              <w:t>④如调优仍然无法达到所要求之指标，则给出结论。</w:t>
            </w:r>
          </w:p>
          <w:p>
            <w:pPr>
              <w:pStyle w:val="null3"/>
            </w:pPr>
            <w:r>
              <w:rPr>
                <w:rFonts w:ascii="仿宋_GB2312" w:hAnsi="仿宋_GB2312" w:cs="仿宋_GB2312" w:eastAsia="仿宋_GB2312"/>
                <w:sz w:val="24"/>
                <w:b/>
                <w:color w:val="000000"/>
              </w:rPr>
              <w:t>3、性能测试要求</w:t>
            </w:r>
          </w:p>
          <w:p>
            <w:pPr>
              <w:pStyle w:val="null3"/>
            </w:pPr>
            <w:r>
              <w:rPr>
                <w:rFonts w:ascii="仿宋_GB2312" w:hAnsi="仿宋_GB2312" w:cs="仿宋_GB2312" w:eastAsia="仿宋_GB2312"/>
                <w:sz w:val="24"/>
                <w:color w:val="000000"/>
              </w:rPr>
              <w:t>1）测试范围</w:t>
            </w:r>
            <w:r>
              <w:rPr>
                <w:rFonts w:ascii="仿宋_GB2312" w:hAnsi="仿宋_GB2312" w:cs="仿宋_GB2312" w:eastAsia="仿宋_GB2312"/>
                <w:sz w:val="24"/>
                <w:color w:val="000000"/>
              </w:rPr>
              <w:t>主要包含但不限于以下测试内容：</w:t>
            </w:r>
          </w:p>
          <w:p>
            <w:pPr>
              <w:pStyle w:val="null3"/>
            </w:pPr>
            <w:r>
              <w:rPr>
                <w:rFonts w:ascii="仿宋_GB2312" w:hAnsi="仿宋_GB2312" w:cs="仿宋_GB2312" w:eastAsia="仿宋_GB2312"/>
                <w:sz w:val="24"/>
                <w:color w:val="000000"/>
              </w:rPr>
              <w:t>(1)负载测试：验证的对象包括事务吞吐量、事务响应时间。</w:t>
            </w:r>
          </w:p>
          <w:p>
            <w:pPr>
              <w:pStyle w:val="null3"/>
            </w:pPr>
            <w:r>
              <w:rPr>
                <w:rFonts w:ascii="仿宋_GB2312" w:hAnsi="仿宋_GB2312" w:cs="仿宋_GB2312" w:eastAsia="仿宋_GB2312"/>
                <w:sz w:val="24"/>
                <w:color w:val="000000"/>
              </w:rPr>
              <w:t>(2)压力测试：通过长时间运行，验证系统资源使用情况是否稳定。</w:t>
            </w:r>
          </w:p>
          <w:p>
            <w:pPr>
              <w:pStyle w:val="null3"/>
            </w:pPr>
            <w:r>
              <w:rPr>
                <w:rFonts w:ascii="仿宋_GB2312" w:hAnsi="仿宋_GB2312" w:cs="仿宋_GB2312" w:eastAsia="仿宋_GB2312"/>
                <w:sz w:val="24"/>
                <w:color w:val="000000"/>
              </w:rPr>
              <w:t>2)轮次要求:</w:t>
            </w:r>
            <w:r>
              <w:rPr>
                <w:rFonts w:ascii="仿宋_GB2312" w:hAnsi="仿宋_GB2312" w:cs="仿宋_GB2312" w:eastAsia="仿宋_GB2312"/>
                <w:sz w:val="24"/>
                <w:color w:val="000000"/>
              </w:rPr>
              <w:t>回归验证1轮。</w:t>
            </w:r>
          </w:p>
          <w:p>
            <w:pPr>
              <w:pStyle w:val="null3"/>
            </w:pPr>
            <w:r>
              <w:rPr>
                <w:rFonts w:ascii="仿宋_GB2312" w:hAnsi="仿宋_GB2312" w:cs="仿宋_GB2312" w:eastAsia="仿宋_GB2312"/>
                <w:sz w:val="24"/>
                <w:color w:val="000000"/>
              </w:rPr>
              <w:t>3)通过标准（包括但不限于以下要求）</w:t>
            </w:r>
          </w:p>
          <w:p>
            <w:pPr>
              <w:pStyle w:val="null3"/>
            </w:pPr>
            <w:r>
              <w:rPr>
                <w:rFonts w:ascii="仿宋_GB2312" w:hAnsi="仿宋_GB2312" w:cs="仿宋_GB2312" w:eastAsia="仿宋_GB2312"/>
                <w:sz w:val="24"/>
                <w:color w:val="000000"/>
              </w:rPr>
              <w:t>(1)所有测试场景100%测试完成；</w:t>
            </w:r>
          </w:p>
          <w:p>
            <w:pPr>
              <w:pStyle w:val="null3"/>
            </w:pPr>
            <w:r>
              <w:rPr>
                <w:rFonts w:ascii="仿宋_GB2312" w:hAnsi="仿宋_GB2312" w:cs="仿宋_GB2312" w:eastAsia="仿宋_GB2312"/>
                <w:sz w:val="24"/>
                <w:color w:val="000000"/>
              </w:rPr>
              <w:t>(2)给出所要求指标实际测试结果；</w:t>
            </w:r>
          </w:p>
          <w:p>
            <w:pPr>
              <w:pStyle w:val="null3"/>
            </w:pPr>
            <w:r>
              <w:rPr>
                <w:rFonts w:ascii="仿宋_GB2312" w:hAnsi="仿宋_GB2312" w:cs="仿宋_GB2312" w:eastAsia="仿宋_GB2312"/>
                <w:sz w:val="24"/>
                <w:color w:val="000000"/>
              </w:rPr>
              <w:t>(3)对于未达到要求之指标给予调优建议；</w:t>
            </w:r>
          </w:p>
          <w:p>
            <w:pPr>
              <w:pStyle w:val="null3"/>
            </w:pPr>
            <w:r>
              <w:rPr>
                <w:rFonts w:ascii="仿宋_GB2312" w:hAnsi="仿宋_GB2312" w:cs="仿宋_GB2312" w:eastAsia="仿宋_GB2312"/>
                <w:sz w:val="24"/>
                <w:color w:val="000000"/>
              </w:rPr>
              <w:t>(4)如调优仍然无法达到所要求之指标，则给出结论。</w:t>
            </w:r>
          </w:p>
          <w:p>
            <w:pPr>
              <w:pStyle w:val="null3"/>
            </w:pPr>
            <w:r>
              <w:rPr>
                <w:rFonts w:ascii="仿宋_GB2312" w:hAnsi="仿宋_GB2312" w:cs="仿宋_GB2312" w:eastAsia="仿宋_GB2312"/>
                <w:sz w:val="24"/>
                <w:b/>
                <w:color w:val="000000"/>
              </w:rPr>
              <w:t>4</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网络安全测试</w:t>
            </w:r>
            <w:r>
              <w:rPr>
                <w:rFonts w:ascii="仿宋_GB2312" w:hAnsi="仿宋_GB2312" w:cs="仿宋_GB2312" w:eastAsia="仿宋_GB2312"/>
                <w:sz w:val="24"/>
                <w:color w:val="000000"/>
              </w:rPr>
              <w:t>:</w:t>
            </w:r>
            <w:r>
              <w:rPr>
                <w:rFonts w:ascii="仿宋_GB2312" w:hAnsi="仿宋_GB2312" w:cs="仿宋_GB2312" w:eastAsia="仿宋_GB2312"/>
                <w:sz w:val="24"/>
                <w:color w:val="000000"/>
              </w:rPr>
              <w:t>满足某某项目平台及各业务系统安全需求。</w:t>
            </w:r>
          </w:p>
          <w:p>
            <w:pPr>
              <w:pStyle w:val="null3"/>
            </w:pPr>
            <w:r>
              <w:rPr>
                <w:rFonts w:ascii="仿宋_GB2312" w:hAnsi="仿宋_GB2312" w:cs="仿宋_GB2312" w:eastAsia="仿宋_GB2312"/>
                <w:sz w:val="24"/>
                <w:b/>
                <w:color w:val="000000"/>
              </w:rPr>
              <w:t>5、易用性测试要求</w:t>
            </w:r>
          </w:p>
          <w:p>
            <w:pPr>
              <w:pStyle w:val="null3"/>
            </w:pPr>
            <w:r>
              <w:rPr>
                <w:rFonts w:ascii="仿宋_GB2312" w:hAnsi="仿宋_GB2312" w:cs="仿宋_GB2312" w:eastAsia="仿宋_GB2312"/>
                <w:sz w:val="24"/>
                <w:color w:val="000000"/>
              </w:rPr>
              <w:t>1)测试</w:t>
            </w:r>
            <w:r>
              <w:rPr>
                <w:rFonts w:ascii="仿宋_GB2312" w:hAnsi="仿宋_GB2312" w:cs="仿宋_GB2312" w:eastAsia="仿宋_GB2312"/>
                <w:sz w:val="24"/>
                <w:color w:val="000000"/>
              </w:rPr>
              <w:t>范围</w:t>
            </w:r>
            <w:r>
              <w:rPr>
                <w:rFonts w:ascii="仿宋_GB2312" w:hAnsi="仿宋_GB2312" w:cs="仿宋_GB2312" w:eastAsia="仿宋_GB2312"/>
                <w:sz w:val="24"/>
                <w:color w:val="000000"/>
              </w:rPr>
              <w:t>主要包含但不限于以下测试内容：</w:t>
            </w:r>
          </w:p>
          <w:p>
            <w:pPr>
              <w:pStyle w:val="null3"/>
            </w:pPr>
            <w:r>
              <w:rPr>
                <w:rFonts w:ascii="仿宋_GB2312" w:hAnsi="仿宋_GB2312" w:cs="仿宋_GB2312" w:eastAsia="仿宋_GB2312"/>
                <w:sz w:val="24"/>
                <w:color w:val="000000"/>
              </w:rPr>
              <w:t>(1)可辨识性：</w:t>
            </w:r>
          </w:p>
          <w:p>
            <w:pPr>
              <w:pStyle w:val="null3"/>
            </w:pPr>
            <w:r>
              <w:rPr>
                <w:rFonts w:ascii="仿宋_GB2312" w:hAnsi="仿宋_GB2312" w:cs="仿宋_GB2312" w:eastAsia="仿宋_GB2312"/>
                <w:sz w:val="24"/>
                <w:color w:val="000000"/>
              </w:rPr>
              <w:t>(2)易操作性：</w:t>
            </w:r>
          </w:p>
          <w:p>
            <w:pPr>
              <w:pStyle w:val="null3"/>
            </w:pPr>
            <w:r>
              <w:rPr>
                <w:rFonts w:ascii="仿宋_GB2312" w:hAnsi="仿宋_GB2312" w:cs="仿宋_GB2312" w:eastAsia="仿宋_GB2312"/>
                <w:sz w:val="24"/>
                <w:color w:val="000000"/>
              </w:rPr>
              <w:t>(3)用户差错防御性：</w:t>
            </w:r>
          </w:p>
          <w:p>
            <w:pPr>
              <w:pStyle w:val="null3"/>
            </w:pPr>
            <w:r>
              <w:rPr>
                <w:rFonts w:ascii="仿宋_GB2312" w:hAnsi="仿宋_GB2312" w:cs="仿宋_GB2312" w:eastAsia="仿宋_GB2312"/>
                <w:sz w:val="24"/>
                <w:color w:val="000000"/>
              </w:rPr>
              <w:t>(4)用户界面舒适性：</w:t>
            </w:r>
          </w:p>
          <w:p>
            <w:pPr>
              <w:pStyle w:val="null3"/>
            </w:pPr>
            <w:r>
              <w:rPr>
                <w:rFonts w:ascii="仿宋_GB2312" w:hAnsi="仿宋_GB2312" w:cs="仿宋_GB2312" w:eastAsia="仿宋_GB2312"/>
                <w:sz w:val="24"/>
                <w:color w:val="000000"/>
              </w:rPr>
              <w:t>(5)易访问性：</w:t>
            </w:r>
          </w:p>
          <w:p>
            <w:pPr>
              <w:pStyle w:val="null3"/>
            </w:pPr>
            <w:r>
              <w:rPr>
                <w:rFonts w:ascii="仿宋_GB2312" w:hAnsi="仿宋_GB2312" w:cs="仿宋_GB2312" w:eastAsia="仿宋_GB2312"/>
                <w:sz w:val="24"/>
                <w:color w:val="000000"/>
              </w:rPr>
              <w:t>2）轮次要求：</w:t>
            </w:r>
            <w:r>
              <w:rPr>
                <w:rFonts w:ascii="仿宋_GB2312" w:hAnsi="仿宋_GB2312" w:cs="仿宋_GB2312" w:eastAsia="仿宋_GB2312"/>
                <w:sz w:val="24"/>
                <w:color w:val="000000"/>
              </w:rPr>
              <w:t>回归验证1轮。</w:t>
            </w:r>
          </w:p>
          <w:p>
            <w:pPr>
              <w:pStyle w:val="null3"/>
            </w:pPr>
            <w:r>
              <w:rPr>
                <w:rFonts w:ascii="仿宋_GB2312" w:hAnsi="仿宋_GB2312" w:cs="仿宋_GB2312" w:eastAsia="仿宋_GB2312"/>
                <w:sz w:val="24"/>
                <w:color w:val="000000"/>
              </w:rPr>
              <w:t>3）通过标准（包括但不限于以下要求）</w:t>
            </w:r>
          </w:p>
          <w:p>
            <w:pPr>
              <w:pStyle w:val="null3"/>
            </w:pPr>
            <w:r>
              <w:rPr>
                <w:rFonts w:ascii="仿宋_GB2312" w:hAnsi="仿宋_GB2312" w:cs="仿宋_GB2312" w:eastAsia="仿宋_GB2312"/>
                <w:sz w:val="24"/>
                <w:color w:val="000000"/>
              </w:rPr>
              <w:t>(1)所有测试场景100%测试完成；</w:t>
            </w:r>
          </w:p>
          <w:p>
            <w:pPr>
              <w:pStyle w:val="null3"/>
            </w:pPr>
            <w:r>
              <w:rPr>
                <w:rFonts w:ascii="仿宋_GB2312" w:hAnsi="仿宋_GB2312" w:cs="仿宋_GB2312" w:eastAsia="仿宋_GB2312"/>
                <w:sz w:val="24"/>
                <w:color w:val="000000"/>
              </w:rPr>
              <w:t>(2)给出所要求指标实际测试结果；</w:t>
            </w:r>
          </w:p>
          <w:p>
            <w:pPr>
              <w:pStyle w:val="null3"/>
            </w:pPr>
            <w:r>
              <w:rPr>
                <w:rFonts w:ascii="仿宋_GB2312" w:hAnsi="仿宋_GB2312" w:cs="仿宋_GB2312" w:eastAsia="仿宋_GB2312"/>
                <w:sz w:val="24"/>
                <w:color w:val="000000"/>
              </w:rPr>
              <w:t>(3)对于未达到要求之指标给予调优建议；</w:t>
            </w:r>
          </w:p>
          <w:p>
            <w:pPr>
              <w:pStyle w:val="null3"/>
            </w:pPr>
            <w:r>
              <w:rPr>
                <w:rFonts w:ascii="仿宋_GB2312" w:hAnsi="仿宋_GB2312" w:cs="仿宋_GB2312" w:eastAsia="仿宋_GB2312"/>
                <w:sz w:val="24"/>
                <w:color w:val="000000"/>
              </w:rPr>
              <w:t>(4)如调优仍然无法达到所要求之指标，则给出结论。</w:t>
            </w:r>
          </w:p>
          <w:p>
            <w:pPr>
              <w:pStyle w:val="null3"/>
            </w:pPr>
            <w:r>
              <w:rPr>
                <w:rFonts w:ascii="仿宋_GB2312" w:hAnsi="仿宋_GB2312" w:cs="仿宋_GB2312" w:eastAsia="仿宋_GB2312"/>
                <w:sz w:val="24"/>
                <w:b/>
                <w:color w:val="000000"/>
              </w:rPr>
              <w:t>6、可靠性测试要求</w:t>
            </w:r>
          </w:p>
          <w:p>
            <w:pPr>
              <w:pStyle w:val="null3"/>
            </w:pPr>
            <w:r>
              <w:rPr>
                <w:rFonts w:ascii="仿宋_GB2312" w:hAnsi="仿宋_GB2312" w:cs="仿宋_GB2312" w:eastAsia="仿宋_GB2312"/>
                <w:sz w:val="24"/>
                <w:color w:val="000000"/>
              </w:rPr>
              <w:t>1)测试范围</w:t>
            </w:r>
            <w:r>
              <w:rPr>
                <w:rFonts w:ascii="仿宋_GB2312" w:hAnsi="仿宋_GB2312" w:cs="仿宋_GB2312" w:eastAsia="仿宋_GB2312"/>
                <w:sz w:val="24"/>
                <w:color w:val="000000"/>
              </w:rPr>
              <w:t>主要包含但不限于以下测试内容：</w:t>
            </w:r>
          </w:p>
          <w:p>
            <w:pPr>
              <w:pStyle w:val="null3"/>
            </w:pPr>
            <w:r>
              <w:rPr>
                <w:rFonts w:ascii="仿宋_GB2312" w:hAnsi="仿宋_GB2312" w:cs="仿宋_GB2312" w:eastAsia="仿宋_GB2312"/>
                <w:sz w:val="24"/>
                <w:color w:val="000000"/>
              </w:rPr>
              <w:t>（1）成熟性</w:t>
            </w:r>
          </w:p>
          <w:p>
            <w:pPr>
              <w:pStyle w:val="null3"/>
            </w:pPr>
            <w:r>
              <w:rPr>
                <w:rFonts w:ascii="仿宋_GB2312" w:hAnsi="仿宋_GB2312" w:cs="仿宋_GB2312" w:eastAsia="仿宋_GB2312"/>
                <w:sz w:val="24"/>
                <w:color w:val="000000"/>
              </w:rPr>
              <w:t>（2）可用性</w:t>
            </w:r>
          </w:p>
          <w:p>
            <w:pPr>
              <w:pStyle w:val="null3"/>
            </w:pPr>
            <w:r>
              <w:rPr>
                <w:rFonts w:ascii="仿宋_GB2312" w:hAnsi="仿宋_GB2312" w:cs="仿宋_GB2312" w:eastAsia="仿宋_GB2312"/>
                <w:sz w:val="24"/>
                <w:color w:val="000000"/>
              </w:rPr>
              <w:t>（3）容错性</w:t>
            </w:r>
          </w:p>
          <w:p>
            <w:pPr>
              <w:pStyle w:val="null3"/>
            </w:pPr>
            <w:r>
              <w:rPr>
                <w:rFonts w:ascii="仿宋_GB2312" w:hAnsi="仿宋_GB2312" w:cs="仿宋_GB2312" w:eastAsia="仿宋_GB2312"/>
                <w:sz w:val="24"/>
                <w:color w:val="000000"/>
              </w:rPr>
              <w:t>（4）易恢复性</w:t>
            </w:r>
          </w:p>
          <w:p>
            <w:pPr>
              <w:pStyle w:val="null3"/>
            </w:pPr>
            <w:r>
              <w:rPr>
                <w:rFonts w:ascii="仿宋_GB2312" w:hAnsi="仿宋_GB2312" w:cs="仿宋_GB2312" w:eastAsia="仿宋_GB2312"/>
                <w:sz w:val="24"/>
                <w:color w:val="000000"/>
              </w:rPr>
              <w:t>2）轮次要求：</w:t>
            </w:r>
            <w:r>
              <w:rPr>
                <w:rFonts w:ascii="仿宋_GB2312" w:hAnsi="仿宋_GB2312" w:cs="仿宋_GB2312" w:eastAsia="仿宋_GB2312"/>
                <w:sz w:val="24"/>
                <w:color w:val="000000"/>
              </w:rPr>
              <w:t>回归验证1轮。</w:t>
            </w:r>
          </w:p>
          <w:p>
            <w:pPr>
              <w:pStyle w:val="null3"/>
            </w:pPr>
            <w:r>
              <w:rPr>
                <w:rFonts w:ascii="仿宋_GB2312" w:hAnsi="仿宋_GB2312" w:cs="仿宋_GB2312" w:eastAsia="仿宋_GB2312"/>
                <w:sz w:val="24"/>
                <w:color w:val="000000"/>
              </w:rPr>
              <w:t>3）通过标准（包括但不限于以下要求）</w:t>
            </w:r>
          </w:p>
          <w:p>
            <w:pPr>
              <w:pStyle w:val="null3"/>
            </w:pPr>
            <w:r>
              <w:rPr>
                <w:rFonts w:ascii="仿宋_GB2312" w:hAnsi="仿宋_GB2312" w:cs="仿宋_GB2312" w:eastAsia="仿宋_GB2312"/>
                <w:sz w:val="24"/>
                <w:color w:val="000000"/>
              </w:rPr>
              <w:t>(1)所有测试场景100%测试完成；</w:t>
            </w:r>
          </w:p>
          <w:p>
            <w:pPr>
              <w:pStyle w:val="null3"/>
            </w:pPr>
            <w:r>
              <w:rPr>
                <w:rFonts w:ascii="仿宋_GB2312" w:hAnsi="仿宋_GB2312" w:cs="仿宋_GB2312" w:eastAsia="仿宋_GB2312"/>
                <w:sz w:val="24"/>
                <w:color w:val="000000"/>
              </w:rPr>
              <w:t>(2)给出所要求指标实际测试结果；</w:t>
            </w:r>
          </w:p>
          <w:p>
            <w:pPr>
              <w:pStyle w:val="null3"/>
            </w:pPr>
            <w:r>
              <w:rPr>
                <w:rFonts w:ascii="仿宋_GB2312" w:hAnsi="仿宋_GB2312" w:cs="仿宋_GB2312" w:eastAsia="仿宋_GB2312"/>
                <w:sz w:val="24"/>
                <w:color w:val="000000"/>
              </w:rPr>
              <w:t>(3)对于未达到要求之指标给予调优建议；</w:t>
            </w:r>
          </w:p>
          <w:p>
            <w:pPr>
              <w:pStyle w:val="null3"/>
            </w:pPr>
            <w:r>
              <w:rPr>
                <w:rFonts w:ascii="仿宋_GB2312" w:hAnsi="仿宋_GB2312" w:cs="仿宋_GB2312" w:eastAsia="仿宋_GB2312"/>
                <w:sz w:val="24"/>
                <w:color w:val="000000"/>
              </w:rPr>
              <w:t>(4)如调优仍然无法达到所要求之指标，则给出结论。</w:t>
            </w:r>
          </w:p>
          <w:p>
            <w:pPr>
              <w:pStyle w:val="null3"/>
            </w:pPr>
            <w:r>
              <w:rPr>
                <w:rFonts w:ascii="仿宋_GB2312" w:hAnsi="仿宋_GB2312" w:cs="仿宋_GB2312" w:eastAsia="仿宋_GB2312"/>
                <w:sz w:val="24"/>
                <w:b/>
                <w:color w:val="000000"/>
              </w:rPr>
              <w:t>7、兼容性测试要求</w:t>
            </w:r>
            <w:r>
              <w:rPr>
                <w:rFonts w:ascii="仿宋_GB2312" w:hAnsi="仿宋_GB2312" w:cs="仿宋_GB2312" w:eastAsia="仿宋_GB2312"/>
                <w:sz w:val="24"/>
                <w:color w:val="000000"/>
              </w:rPr>
              <w:t>主要包含但不限于以下测试内容：</w:t>
            </w:r>
          </w:p>
          <w:p>
            <w:pPr>
              <w:pStyle w:val="null3"/>
            </w:pPr>
            <w:r>
              <w:rPr>
                <w:rFonts w:ascii="仿宋_GB2312" w:hAnsi="仿宋_GB2312" w:cs="仿宋_GB2312" w:eastAsia="仿宋_GB2312"/>
                <w:sz w:val="24"/>
                <w:color w:val="000000"/>
              </w:rPr>
              <w:t>1）共存性：</w:t>
            </w:r>
          </w:p>
          <w:p>
            <w:pPr>
              <w:pStyle w:val="null3"/>
            </w:pPr>
            <w:r>
              <w:rPr>
                <w:rFonts w:ascii="仿宋_GB2312" w:hAnsi="仿宋_GB2312" w:cs="仿宋_GB2312" w:eastAsia="仿宋_GB2312"/>
                <w:sz w:val="24"/>
                <w:color w:val="000000"/>
              </w:rPr>
              <w:t>2）互操作性：与Excel的数据互操作性</w:t>
            </w:r>
          </w:p>
          <w:p>
            <w:pPr>
              <w:pStyle w:val="null3"/>
            </w:pPr>
            <w:r>
              <w:rPr>
                <w:rFonts w:ascii="仿宋_GB2312" w:hAnsi="仿宋_GB2312" w:cs="仿宋_GB2312" w:eastAsia="仿宋_GB2312"/>
                <w:sz w:val="24"/>
                <w:color w:val="000000"/>
              </w:rPr>
              <w:t>3）轮次要求：</w:t>
            </w:r>
            <w:r>
              <w:rPr>
                <w:rFonts w:ascii="仿宋_GB2312" w:hAnsi="仿宋_GB2312" w:cs="仿宋_GB2312" w:eastAsia="仿宋_GB2312"/>
                <w:sz w:val="24"/>
                <w:color w:val="000000"/>
              </w:rPr>
              <w:t>回归验证1轮。</w:t>
            </w:r>
          </w:p>
          <w:p>
            <w:pPr>
              <w:pStyle w:val="null3"/>
            </w:pPr>
            <w:r>
              <w:rPr>
                <w:rFonts w:ascii="仿宋_GB2312" w:hAnsi="仿宋_GB2312" w:cs="仿宋_GB2312" w:eastAsia="仿宋_GB2312"/>
                <w:sz w:val="24"/>
                <w:color w:val="000000"/>
              </w:rPr>
              <w:t>4）通过标准（包括但不限于以下要求）</w:t>
            </w:r>
          </w:p>
          <w:p>
            <w:pPr>
              <w:pStyle w:val="null3"/>
            </w:pPr>
            <w:r>
              <w:rPr>
                <w:rFonts w:ascii="仿宋_GB2312" w:hAnsi="仿宋_GB2312" w:cs="仿宋_GB2312" w:eastAsia="仿宋_GB2312"/>
                <w:sz w:val="24"/>
                <w:color w:val="000000"/>
              </w:rPr>
              <w:t>(1)所有测试场景100%测试完成；</w:t>
            </w:r>
          </w:p>
          <w:p>
            <w:pPr>
              <w:pStyle w:val="null3"/>
            </w:pPr>
            <w:r>
              <w:rPr>
                <w:rFonts w:ascii="仿宋_GB2312" w:hAnsi="仿宋_GB2312" w:cs="仿宋_GB2312" w:eastAsia="仿宋_GB2312"/>
                <w:sz w:val="24"/>
                <w:color w:val="000000"/>
              </w:rPr>
              <w:t>(2)给出所要求指标实际测试结果；</w:t>
            </w:r>
          </w:p>
          <w:p>
            <w:pPr>
              <w:pStyle w:val="null3"/>
            </w:pPr>
            <w:r>
              <w:rPr>
                <w:rFonts w:ascii="仿宋_GB2312" w:hAnsi="仿宋_GB2312" w:cs="仿宋_GB2312" w:eastAsia="仿宋_GB2312"/>
                <w:sz w:val="24"/>
                <w:color w:val="000000"/>
              </w:rPr>
              <w:t>(3)对于未达到要求之指标给予调优建议；</w:t>
            </w:r>
          </w:p>
          <w:p>
            <w:pPr>
              <w:pStyle w:val="null3"/>
            </w:pPr>
            <w:r>
              <w:rPr>
                <w:rFonts w:ascii="仿宋_GB2312" w:hAnsi="仿宋_GB2312" w:cs="仿宋_GB2312" w:eastAsia="仿宋_GB2312"/>
                <w:sz w:val="24"/>
                <w:color w:val="000000"/>
              </w:rPr>
              <w:t>(4)如调优仍然无法达到所要求之指标，则给出结论。</w:t>
            </w:r>
          </w:p>
          <w:p>
            <w:pPr>
              <w:pStyle w:val="null3"/>
            </w:pPr>
            <w:r>
              <w:rPr>
                <w:rFonts w:ascii="仿宋_GB2312" w:hAnsi="仿宋_GB2312" w:cs="仿宋_GB2312" w:eastAsia="仿宋_GB2312"/>
                <w:sz w:val="24"/>
                <w:b/>
                <w:color w:val="000000"/>
              </w:rPr>
              <w:t>8、依据标准</w:t>
            </w:r>
          </w:p>
          <w:p>
            <w:pPr>
              <w:pStyle w:val="null3"/>
            </w:pPr>
            <w:r>
              <w:rPr>
                <w:rFonts w:ascii="仿宋_GB2312" w:hAnsi="仿宋_GB2312" w:cs="仿宋_GB2312" w:eastAsia="仿宋_GB2312"/>
                <w:sz w:val="24"/>
                <w:color w:val="000000"/>
              </w:rPr>
              <w:t>GB/T25000.51-2016《系统与软件工程系统与软件质量要求和评价（SQuaRE）第51部分：就绪可用软件产品（RUSP）的质量要求和测试细则》</w:t>
            </w:r>
          </w:p>
          <w:p>
            <w:pPr>
              <w:pStyle w:val="null3"/>
            </w:pPr>
            <w:r>
              <w:rPr>
                <w:rFonts w:ascii="仿宋_GB2312" w:hAnsi="仿宋_GB2312" w:cs="仿宋_GB2312" w:eastAsia="仿宋_GB2312"/>
                <w:sz w:val="24"/>
                <w:b/>
                <w:color w:val="000000"/>
              </w:rPr>
              <w:t>9、项目交付要求</w:t>
            </w:r>
          </w:p>
          <w:p>
            <w:pPr>
              <w:pStyle w:val="null3"/>
            </w:pPr>
            <w:r>
              <w:rPr>
                <w:rFonts w:ascii="仿宋_GB2312" w:hAnsi="仿宋_GB2312" w:cs="仿宋_GB2312" w:eastAsia="仿宋_GB2312"/>
                <w:sz w:val="24"/>
                <w:color w:val="000000"/>
              </w:rPr>
              <w:t>在提供测试服务的过程中，需向采购人提供的测试交付物为《xx平台软件测试报告》（纸质版和电子版）。</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拟派软件开发团队人员不少于5人。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拟派测试团队人员不少于5人。</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具备必要的专业软件开发工具、设备等。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具备必要的专业软件性能测试工具、测评工具、设备等。</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90日历天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90日历天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铜川市档案馆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铜川市档案馆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乙方应当按照本合同及附件约定的内容进行交付，达到相关行业质量验收标准。提供需求分析文档1份、软件设计文档1份、数据字典1份、测试文档1份、培训文档1份、安装手册1份、操作手册1份。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1.网络安全等级保护测评：提交《网络安全等级保护测评报告》 2.第 三方软件测评：提交《软件测试报告》</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合同签定后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.项目建设完成后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二年运维期结束后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合同签定后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提交成果报告后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按《中华人民共和国政府采购法》、《中华人民共和国民法典》中的相关条款执行。未按合同或招标文件要求提供服务质量不能满足采购人技术要求，采购单位有权终止合同，甚至对供应商违约行为进行追究。 未按合同或招标文件要求提供服务质量不能满足采购人技术要求，采购单位有权终止合同，甚至对供应商违约行为进行追究。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按《中华人民共和国政府采购法》、《中华人民共和国民法典》中的相关条款执 行。未按合同或招标文件要求提供服务 质量不能满足采购人技术要求，采购单位有权终止合同，甚至对供应商违约行为进行 追究。 未按合同或招标文件要求提供服 务质量不能满足采购人技术要求，采购单位有权终止合同，甚至对供应商违约行为进 行追究。</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1、包1投标人开标时需现场递交纸质版投标文件，投标文件正本一份，副本二份及演示视频一份。纸质投标文件均需使用 A4 纸，分别各自装订成册。一律采用书籍（胶装）方式装订。演示视频（MP4 格式）存储于U盘，投标文件正本、副本、演示视频统一密封在一个标袋内。 2、包2开标后中标单位将纸质标书送至亿诚建设项目管理有限公司。 注：本次招标采用线上招标方式，纸质投标文件按招标文件要求递交（若是投标人的电子标无法打开，视为无效投标文件，不再参与评审。U盘内容如损坏或无法正常读取，造成的不利于投标人的情形由投标人自行负责。纸质文件不作为评审依据）请各投标人严格按照规定的电子标准格式编制投标文件，并确保以标准格式上传，否则不能参与评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(1)根据供应商类别进行提供： ①如供应商是企业（包括合伙企业），应提供在工商部门注册的有效“企业法人营业执照”或“营业执照”；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供应商应提交的相关资格证明材料包1.docx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被授权人身份证复印件并加盖公章）和被授权人身份证原件。（法定代表人参加投标只须提供法定代表人身份证明书及身份证原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提供2024或2025年度经审计的财务报告（成立时间至提交投标响应文件截止时间不足一年的可提供成立后任意时段的资产负债表），或投标截止日期前6个月内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供应商应提交的相关资格证明材料包1.docx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完税证明</w:t>
            </w:r>
          </w:p>
        </w:tc>
        <w:tc>
          <w:tcPr>
            <w:tcW w:type="dxa" w:w="3322"/>
          </w:tcPr>
          <w:p>
            <w:pPr>
              <w:pStyle w:val="null3"/>
            </w:pPr>
            <w:r>
              <w:rPr>
                <w:rFonts w:ascii="仿宋_GB2312" w:hAnsi="仿宋_GB2312" w:cs="仿宋_GB2312" w:eastAsia="仿宋_GB2312"/>
              </w:rPr>
              <w:t>提供投标截止时间前6个月内的纳税证明或完税证明，依法免税的单位应提供相关证明材料。供应商需在项目电子化交易系统中按要求上传相应证明文件并进行电子签章；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供应商应提交的相关资格证明材料包1.docx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社保缴纳凭证</w:t>
            </w:r>
          </w:p>
        </w:tc>
        <w:tc>
          <w:tcPr>
            <w:tcW w:type="dxa" w:w="3322"/>
          </w:tcPr>
          <w:p>
            <w:pPr>
              <w:pStyle w:val="null3"/>
            </w:pPr>
            <w:r>
              <w:rPr>
                <w:rFonts w:ascii="仿宋_GB2312" w:hAnsi="仿宋_GB2312" w:cs="仿宋_GB2312" w:eastAsia="仿宋_GB2312"/>
              </w:rPr>
              <w:t>提供投标截止时间前6个月内的社会保障资金缴存单据或社保机构开具的社会保险参保缴费情况证明，依法不需要缴纳社会保障资金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供应商应提交的相关资格证明材料包1.docx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供应商应提交的相关资格证明材料包1.docx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企业信誉截图</w:t>
            </w:r>
          </w:p>
        </w:tc>
        <w:tc>
          <w:tcPr>
            <w:tcW w:type="dxa" w:w="3322"/>
          </w:tcPr>
          <w:p>
            <w:pPr>
              <w:pStyle w:val="null3"/>
            </w:pPr>
            <w:r>
              <w:rPr>
                <w:rFonts w:ascii="仿宋_GB2312" w:hAnsi="仿宋_GB2312" w:cs="仿宋_GB2312" w:eastAsia="仿宋_GB2312"/>
              </w:rPr>
              <w:t>供应商不得为“信用中国”网站（www.creditchina.gov.cn）中列入失信被执行人或税收违法黑名单的供应商，不得为中国政府采购网（www.ccgp.gov.cn）政府采购严重违法失信行为记录名单中被财政部门禁止参加政府采购活动的供应商。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供应商应提交的相关资格证明材料包1.docx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(1)根据供应商类别进行提供： ①如供应商是企业（包括合伙企业），应提供在工商部门注册的有效“企业法人营业执照”或“营业执照”；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供应商应提交的相关资格证明材料包2.docx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有市场监督管理局颁发的CMA检验检测机构资质认定证书并同时具备公安部颁发且有效的《网络安全等级测评与检测评估机构服务认证证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拟派项目经理具备信息(或网络)安全等级测评师（高级）证书；供应商需在项目电子化交易系统中按要求上传相应证明文件并进行电子签章；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供应商应提交的相关资格证明材料包2.docx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被授权人身份证复印件并加盖公章）和被授权人身份证原件。（法定代表人参加投标只须提供法定代表人身份证明书及身份证原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供应商应提交的相关资格证明材料包2.docx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提供2024或2025年度经审计的财务报告（成立时间至提交投标响应文件截止时间不足一年的可提供成立后任意时段的资产负债表），或投标截止日期前6个月内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供应商应提交的相关资格证明材料包2.docx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完税证明</w:t>
            </w:r>
          </w:p>
        </w:tc>
        <w:tc>
          <w:tcPr>
            <w:tcW w:type="dxa" w:w="3322"/>
          </w:tcPr>
          <w:p>
            <w:pPr>
              <w:pStyle w:val="null3"/>
            </w:pPr>
            <w:r>
              <w:rPr>
                <w:rFonts w:ascii="仿宋_GB2312" w:hAnsi="仿宋_GB2312" w:cs="仿宋_GB2312" w:eastAsia="仿宋_GB2312"/>
              </w:rPr>
              <w:t>提供投标截止时间前6个月内的纳税证明或完税证明，依法免税的单位应提供相关证明材料。供应商需在项目电子化交易系统中按要求上传相应证明文件并进行电子签章；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供应商应提交的相关资格证明材料包2.docx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社保缴纳凭证</w:t>
            </w:r>
          </w:p>
        </w:tc>
        <w:tc>
          <w:tcPr>
            <w:tcW w:type="dxa" w:w="3322"/>
          </w:tcPr>
          <w:p>
            <w:pPr>
              <w:pStyle w:val="null3"/>
            </w:pPr>
            <w:r>
              <w:rPr>
                <w:rFonts w:ascii="仿宋_GB2312" w:hAnsi="仿宋_GB2312" w:cs="仿宋_GB2312" w:eastAsia="仿宋_GB2312"/>
              </w:rPr>
              <w:t>提供投标截止时间前6个月内的社会保障资金缴存单据或社保机构开具的社会保险参保缴费情况证明，依法不需要缴纳社会保障资金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供应商应提交的相关资格证明材料包2.docx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供应商应提交的相关资格证明材料包2.docx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企业信誉截图</w:t>
            </w:r>
          </w:p>
        </w:tc>
        <w:tc>
          <w:tcPr>
            <w:tcW w:type="dxa" w:w="3322"/>
          </w:tcPr>
          <w:p>
            <w:pPr>
              <w:pStyle w:val="null3"/>
            </w:pPr>
            <w:r>
              <w:rPr>
                <w:rFonts w:ascii="仿宋_GB2312" w:hAnsi="仿宋_GB2312" w:cs="仿宋_GB2312" w:eastAsia="仿宋_GB2312"/>
              </w:rPr>
              <w:t>供应商不得为“信用中国”网站（www.creditchina.gov.cn）中列入失信被执行人或税收违法黑名单的供应商，不得为中国政府采购网（www.ccgp.gov.cn）政府采购严重违法失信行为记录名单中被财政部门禁止参加政府采购活动的供应商。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供应商应提交的相关资格证明材料包2.docx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供应商名称与营业执照单位名称一致。</w:t>
            </w:r>
          </w:p>
        </w:tc>
        <w:tc>
          <w:tcPr>
            <w:tcW w:type="dxa" w:w="1661"/>
          </w:tcPr>
          <w:p>
            <w:pPr>
              <w:pStyle w:val="null3"/>
            </w:pPr>
            <w:r>
              <w:rPr>
                <w:rFonts w:ascii="仿宋_GB2312" w:hAnsi="仿宋_GB2312" w:cs="仿宋_GB2312" w:eastAsia="仿宋_GB2312"/>
              </w:rPr>
              <w:t>供应商应提交的相关资格证明材料包1.docx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签字盖章要求</w:t>
            </w:r>
          </w:p>
        </w:tc>
        <w:tc>
          <w:tcPr>
            <w:tcW w:type="dxa" w:w="3322"/>
          </w:tcPr>
          <w:p>
            <w:pPr>
              <w:pStyle w:val="null3"/>
            </w:pPr>
            <w:r>
              <w:rPr>
                <w:rFonts w:ascii="仿宋_GB2312" w:hAnsi="仿宋_GB2312" w:cs="仿宋_GB2312" w:eastAsia="仿宋_GB2312"/>
              </w:rPr>
              <w:t>投标文件要求签署、加盖印章 （平台提交的应加盖符合要求的电子签章）</w:t>
            </w:r>
          </w:p>
        </w:tc>
        <w:tc>
          <w:tcPr>
            <w:tcW w:type="dxa" w:w="1661"/>
          </w:tcPr>
          <w:p>
            <w:pPr>
              <w:pStyle w:val="null3"/>
            </w:pPr>
            <w:r>
              <w:rPr>
                <w:rFonts w:ascii="仿宋_GB2312" w:hAnsi="仿宋_GB2312" w:cs="仿宋_GB2312" w:eastAsia="仿宋_GB2312"/>
              </w:rPr>
              <w:t>投标函 供应商应提交的相关资格证明材料包1.docx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投标单位所报价格唯一且未超出采购预算或招标文件规定的最高限价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商务及技术主要条款响应</w:t>
            </w:r>
          </w:p>
        </w:tc>
        <w:tc>
          <w:tcPr>
            <w:tcW w:type="dxa" w:w="3322"/>
          </w:tcPr>
          <w:p>
            <w:pPr>
              <w:pStyle w:val="null3"/>
            </w:pPr>
            <w:r>
              <w:rPr>
                <w:rFonts w:ascii="仿宋_GB2312" w:hAnsi="仿宋_GB2312" w:cs="仿宋_GB2312" w:eastAsia="仿宋_GB2312"/>
              </w:rPr>
              <w:t>对服务期限等实质性内容进行响应且未附加其 它条件</w:t>
            </w:r>
          </w:p>
        </w:tc>
        <w:tc>
          <w:tcPr>
            <w:tcW w:type="dxa" w:w="1661"/>
          </w:tcPr>
          <w:p>
            <w:pPr>
              <w:pStyle w:val="null3"/>
            </w:pPr>
            <w:r>
              <w:rPr>
                <w:rFonts w:ascii="仿宋_GB2312" w:hAnsi="仿宋_GB2312" w:cs="仿宋_GB2312" w:eastAsia="仿宋_GB2312"/>
              </w:rPr>
              <w:t>服务内容及服务邀请应答表 商务应答表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供应商名称与营业执照单位名称一致。</w:t>
            </w:r>
          </w:p>
        </w:tc>
        <w:tc>
          <w:tcPr>
            <w:tcW w:type="dxa" w:w="1661"/>
          </w:tcPr>
          <w:p>
            <w:pPr>
              <w:pStyle w:val="null3"/>
            </w:pPr>
            <w:r>
              <w:rPr>
                <w:rFonts w:ascii="仿宋_GB2312" w:hAnsi="仿宋_GB2312" w:cs="仿宋_GB2312" w:eastAsia="仿宋_GB2312"/>
              </w:rPr>
              <w:t>供应商应提交的相关资格证明材料包2.docx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签字盖章要求</w:t>
            </w:r>
          </w:p>
        </w:tc>
        <w:tc>
          <w:tcPr>
            <w:tcW w:type="dxa" w:w="3322"/>
          </w:tcPr>
          <w:p>
            <w:pPr>
              <w:pStyle w:val="null3"/>
            </w:pPr>
            <w:r>
              <w:rPr>
                <w:rFonts w:ascii="仿宋_GB2312" w:hAnsi="仿宋_GB2312" w:cs="仿宋_GB2312" w:eastAsia="仿宋_GB2312"/>
              </w:rPr>
              <w:t>投标文件要求签署、加盖印章 （平台提交的应加盖符合要求的电子签章）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投标单位所报价格唯一且未超出采购预算或招标文件规定的最高限价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商务及技术主要条款响应</w:t>
            </w:r>
          </w:p>
        </w:tc>
        <w:tc>
          <w:tcPr>
            <w:tcW w:type="dxa" w:w="3322"/>
          </w:tcPr>
          <w:p>
            <w:pPr>
              <w:pStyle w:val="null3"/>
            </w:pPr>
            <w:r>
              <w:rPr>
                <w:rFonts w:ascii="仿宋_GB2312" w:hAnsi="仿宋_GB2312" w:cs="仿宋_GB2312" w:eastAsia="仿宋_GB2312"/>
              </w:rPr>
              <w:t>对服务期限等实质性内容进行响应且未附加其 它条件</w:t>
            </w:r>
          </w:p>
        </w:tc>
        <w:tc>
          <w:tcPr>
            <w:tcW w:type="dxa" w:w="1661"/>
          </w:tcPr>
          <w:p>
            <w:pPr>
              <w:pStyle w:val="null3"/>
            </w:pPr>
            <w:r>
              <w:rPr>
                <w:rFonts w:ascii="仿宋_GB2312" w:hAnsi="仿宋_GB2312" w:cs="仿宋_GB2312" w:eastAsia="仿宋_GB2312"/>
              </w:rPr>
              <w:t>服务内容及服务邀请应答表 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总体设计方案</w:t>
            </w:r>
          </w:p>
        </w:tc>
        <w:tc>
          <w:tcPr>
            <w:tcW w:type="dxa" w:w="2492"/>
          </w:tcPr>
          <w:p>
            <w:pPr>
              <w:pStyle w:val="null3"/>
            </w:pPr>
            <w:r>
              <w:rPr>
                <w:rFonts w:ascii="仿宋_GB2312" w:hAnsi="仿宋_GB2312" w:cs="仿宋_GB2312" w:eastAsia="仿宋_GB2312"/>
              </w:rPr>
              <w:t>投标人应充分了解本项目建设背景及目标，提供针对本项目的总体设计方案。根据方案的需求分析、总体架构设计、数据架构设计、技术架构设计、部署架构设计、数据资源设计等内容进行打分；总体设计方案完整与项目贴合度高得(10-15]分；方案较完整、可行性较强得(5-10]分；方案不够完整相关内容不明确得[1-5]分。未提供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功能设计方案</w:t>
            </w:r>
          </w:p>
        </w:tc>
        <w:tc>
          <w:tcPr>
            <w:tcW w:type="dxa" w:w="2492"/>
          </w:tcPr>
          <w:p>
            <w:pPr>
              <w:pStyle w:val="null3"/>
            </w:pPr>
            <w:r>
              <w:rPr>
                <w:rFonts w:ascii="仿宋_GB2312" w:hAnsi="仿宋_GB2312" w:cs="仿宋_GB2312" w:eastAsia="仿宋_GB2312"/>
              </w:rPr>
              <w:t>投标人应提供详细的数字档案馆系统的功能设计方案，能提供详细的系统截图或原型设计界面，根据方案设计情况进行打分；功能设计方案完整与项目贴合度高得(10-15]分；方案较完整、可行性较强得(5-10分；方案不够完整相关内容不明确得[1-5]分。未提供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投标人针对本项目制定详细可行的项目实施方案，包括但不限于实施进度计划、组织架构、人员配置、人员分工等内容； 实施方案完整与项目贴合性高得(10-15]分；方案较完整、可行性较强得(5-10]分；方案不够完整相关内容不明确得[1-5]分。未提供的不得分。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投标人对本项目能提供详细、具体、可操作性强的质量保障方案，包括但不限于质量管控体系、质量管控方法、质量保证措施等内容；措施完整全面，合理性及可行性强得(5-7]分；措施较完整，合理性及可行性较强得(3-5]分；保证措施简单，不完整，合理性及可行性一般得[1-3]分。未提供的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提供针对本项目拟派的人员配备清单，根据人员配置清单的合理性、专业性进行评审；配备人员数量充足，满足采购需求；人员专业素质高，配置方案合理，职责划分明确的得(4-6]分；配备人员数量满足采购需求，有配备计划，方案较合理，职责分工较明确的得(2-4]分；配备人员数量基本满足采购需求，没有配备计划，方案合理性较差，职责分工不明确的得[1-2]分。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有具体可行的培训方案，包括但不限于培训计划、培训课程、培训师资及保障措施等内容；培训计划安排、人员配备及保障措施合理性、可行性强、与项目贴合性高得(4-6]分；培训计划安排、人员配备及保障措施合理性、可行性较强得(2-4]分；培训计划安排、人员配备及保障措施较差，相关内容不明确得[1-2]分。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投标人针对本项目有具体可行的验收标准和方法，能提供验收保障措施等；验收标准及方法合理性、可行性强、与项目贴合性高得(4-6]分；验收标准及方法合理性、可行性较强得(2-4]分；验收标准及方法较差，相关内容不明确得[1-2]分。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系统功能演示</w:t>
            </w:r>
          </w:p>
        </w:tc>
        <w:tc>
          <w:tcPr>
            <w:tcW w:type="dxa" w:w="2492"/>
          </w:tcPr>
          <w:p>
            <w:pPr>
              <w:pStyle w:val="null3"/>
            </w:pPr>
            <w:r>
              <w:rPr>
                <w:rFonts w:ascii="仿宋_GB2312" w:hAnsi="仿宋_GB2312" w:cs="仿宋_GB2312" w:eastAsia="仿宋_GB2312"/>
              </w:rPr>
              <w:t>1.演示电子文件接收功能，可定期采集从上游业务系统的预归档信息包，支持对预归档信息包进行解析，形成系统可查阅的相关说明文件、电子文件/材料等。 2.演示档案批量导入功能，支持.xls、.xlsx格式模板下载和批量导入条目信息，可根据设置的挂接规则，将扫描的数字化副本批量上传并挂接到对应的档案条目。支持对导入条目信息按规则进行多字段匹配；支持预检、查看、删除和重新上传。 3.演示档案整理功能，支持著录、生成档号、格式准换、归档范围调整、归档章生成和四性检测等操作，其中著录过程支持OCR文字识别和自动填充著录项，并可人工重新识别文字内容进行替换自动填充著录项信息；对电子文件归档范围划分可手动调整或根据三合一制度自动划分。 4.演示档案装盒功能，支持以件方式、传统组卷、项目组卷等进行装盒、提交入库等操作。其中档案装盒，支持手动选择、手动扫码和按规则三种方式进行条码关联，以及打印封面、目录、备考表和脊背等操作。 5.演示档案检索功能，可以根据模糊关键词进行档案条目、全文检索，对检索结果可设置条件发起二次检索，支持根据用户不同权限显示检索结果和浏览全文、加入收藏夹等操作。支持语音输入方式自动检索、浏览历史功能。 6.演示档案门类配置功能，支持档案门类的创建、修改、删除、复制等操作。各档案门类的应用规则包括基础字段、列表配置、档号定义、关联定义、表单配置、基本检索等。 7.演示电子签章配置功能，支持单位和个人签章的配置功能，支持签字的新增、修改、删除、启用、停用等操作，可将签章授权给其他组织使用。支持通过签章模板生成各单位与个人的签章。 8.演示水印配置功能，支持水印的创建、修改、删除等操作，并可设置需要增加水印的组织与档案门类。水印方式分为系统水印与全文水印两种，支持文字、图片、归档章与二维码等多种形式的水印。 9.演示档案存储功能，可以根据档案门类设置独立的档案数字化副本存储路径，以及服务器的地址、端口、用户名、密码和链接超时时间，支持不限级数的路径设置、业务逻辑（如全宗、年度）和路径预览。 10.演示三员分立和安全配置功能。可以对系统管理员、安全管理员、安全审计员进行设置，支持分级管理。对删除的用户、角色需审核后方可进行后续操作，可以对是否允许多人登陆同账号、系统同时在线人数、密码组成和长度、提示首次登陆修改密码、密码连续输入最大错误次数和限制登陆时间、是否打开校验码、是否定期修改密码进行设置，还可以进行白名单、黑名单设置。 上述功能点每演示一个得2分，最高20分。投标人须提供真实系统演示（演示方式为现场演示时长不超过20分钟），采用原型、静态页面及PPT演示或未提供演示的不得分。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1.经初审合格的投标文件，其投标报价为有效报价。对符合政策性扣减的有效投标报价进行政策性扣减，并依据扣减后的价格（评审价格）进行价格评审。 2.满足招标文件实质性要求且报价最低的供应商的价格为评标基准价，其价格分为满分10分。 3.投标报价得分=（评标基准价/投标报价）×10的公式计算得分。 4.投标报价不完整的，不进入评标基准价的计算，本项得0分。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网络安全等级保护测评方案</w:t>
            </w:r>
          </w:p>
        </w:tc>
        <w:tc>
          <w:tcPr>
            <w:tcW w:type="dxa" w:w="2492"/>
          </w:tcPr>
          <w:p>
            <w:pPr>
              <w:pStyle w:val="null3"/>
            </w:pPr>
            <w:r>
              <w:rPr>
                <w:rFonts w:ascii="仿宋_GB2312" w:hAnsi="仿宋_GB2312" w:cs="仿宋_GB2312" w:eastAsia="仿宋_GB2312"/>
              </w:rPr>
              <w:t>提供等级保护测评技术方案，包括但不限于：①测评标准；②测评流程；③测评准备；④测评指标；⑤实施进度；⑥质理控制措施；⑦整改协助措施。方案可行性高能立即投入到项目使用的得（14-20]分；方案较为全面、合理，方法针对性较强的得(7-14]分，方案使用模板套用的得(1-7]分，未提供的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第三方软件测评方案</w:t>
            </w:r>
          </w:p>
        </w:tc>
        <w:tc>
          <w:tcPr>
            <w:tcW w:type="dxa" w:w="2492"/>
          </w:tcPr>
          <w:p>
            <w:pPr>
              <w:pStyle w:val="null3"/>
            </w:pPr>
            <w:r>
              <w:rPr>
                <w:rFonts w:ascii="仿宋_GB2312" w:hAnsi="仿宋_GB2312" w:cs="仿宋_GB2312" w:eastAsia="仿宋_GB2312"/>
              </w:rPr>
              <w:t>提供第三方软件测试方案，包括但不限于：①测试内容；②测试方法；③测试策略；④功能测试方案；⑤性能测试方案；⑥安全性测试方案；⑦文档测试方案。方案可行性高能立即投入到项目使用的得（14-20]分；方案较为全面、合理，方法针对性较强的得（7-14]分，方案使用模板套用的得（1-7]分，未提供的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提供保密方案，包括但不限于：①测试过程的保密承诺；②相应的保密措施；③保密管理制度。方案可行性高能立即投入到项目使用的得（4-5]分；方案较为全面、合理，方法针对性较强的得（2-4]分，方案使用模板套用的得（1-2]分，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提供售后服务方案，包括但不限于：①售后服务机构(提供证明材料、联系方式等)、②售后服务措施；③承诺项目测试服务期限，问题处理时限，现场服务质量保证措施等。方案可行性高能立即投入到项目使用的得（7-10]分；方案较为全面、合理，方法针对性较强的得（4-7]分，方案使用模板套用的得（1-4]分，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技术人员配备</w:t>
            </w:r>
          </w:p>
        </w:tc>
        <w:tc>
          <w:tcPr>
            <w:tcW w:type="dxa" w:w="2492"/>
          </w:tcPr>
          <w:p>
            <w:pPr>
              <w:pStyle w:val="null3"/>
            </w:pPr>
            <w:r>
              <w:rPr>
                <w:rFonts w:ascii="仿宋_GB2312" w:hAnsi="仿宋_GB2312" w:cs="仿宋_GB2312" w:eastAsia="仿宋_GB2312"/>
              </w:rPr>
              <w:t>1、拟派项目总负责人1名，在具有信息(或网络)安全等级测评师（高级）证书的前提下具有: 1）电子技术类高级职称； 2）计算机软件产品检验员证书； 3）注册网络安全源代码审计专业人员（NSATP-SCA）证书； 4）软件测评工程师证书； 以上证书每提供一个得1分，最多得4分。未提供不得分。 2、拟派网络等级保护测评服务负责人1名具有： 1）信息安全等级评测师（高级）证书或网络安全等级评测师（高级）证书； 2）注册网络安全源代码审计专业人员（NSATP-SCA）； 3）信息安全保障人员（CISAW）（认证方向：应急服务和风险管理）； 4）计算机软件产品检验员证书； 以上证书每提供一个得1分，最多得4分。未提供不得分。 3、拟派第三方软件测评负责人1名具有： 1）软件评测师； 2）　软件性能测试高级工程师； 3）　系统集成项目管理工程师； 以上证书每提供一个得1分，最多得3分。未提供不得分。 4拟派测试团队人员具有以下证书： 1、信息安全等级评测师（中级）证书或网络安全等级评测师（中级）证书； 2、具有注册网络安全专业防御人员（NSATP-D）证书； 3、具有软件评测师证书； 4、高级测试经理证书（ISTQB）； 5、系统集成项目管理工程师证书。 以上证书每提供一个得1分，最多得5分。未提供不得分。 注：以上人员要求供应商提供对应证书复印件、提供在本单位社保缴纳证明，并加盖供应商公章。</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1、供应商应具有信息安全相关监理能力证明材料，具有中国网络安全审查技术与认证中心颁发信息安全应急处理服务资质、信息安全风险评估资质、软件造价评估机构服务能力等级证书，每具有1项得1分，最高得3分； 2、投标人具有中国合格评定国家认可委员会颁发的检验机构认可证书（CNAS），得1分。 3、投标人具有国家信息安全漏洞库（CNNVD）技术支撑单位等级证书，得1分。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设备工具</w:t>
            </w:r>
          </w:p>
        </w:tc>
        <w:tc>
          <w:tcPr>
            <w:tcW w:type="dxa" w:w="2492"/>
          </w:tcPr>
          <w:p>
            <w:pPr>
              <w:pStyle w:val="null3"/>
            </w:pPr>
            <w:r>
              <w:rPr>
                <w:rFonts w:ascii="仿宋_GB2312" w:hAnsi="仿宋_GB2312" w:cs="仿宋_GB2312" w:eastAsia="仿宋_GB2312"/>
              </w:rPr>
              <w:t>供应商需具备必要的专业软件性能测试工具、测评工具、设备（提供购置发票复印件或租赁合同复印件或授权证明等证明材料并加盖公章），根据设备工具配备情况得1-4分；没有专业测评工具、设备或未提供证明材料的此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供应商提供近三年（2023年4月1日至今，以合同签订时间为准）的同类项目业绩，业绩以合同为依据，响应文件中附有其证明资料，每提供一个业绩证明计2分，满分10分。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1.经初审合格的投标文件，其投标报价为有效报价。对符合政策性扣减的有效投标报价进行政策性扣减，并依据扣减后的价格（评审价格）进行价格评审。 2.满足招标文件实质性要求且报价最低的供应商的价格为评标基准价，其价格分为满分10分。 3.投标报价得分=（评标基准价/投标报价）×10的公式计算得分。 4.投标报价不完整的，不进入评标基准价的计算，本项得0分。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详见附件：供应商应提交的相关资格证明材料包1.docx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详见附件：供应商应提交的相关资格证明材料包2.docx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