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版本号：LTHZ-2026-00727.1B120260813001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108国道大坪峪至袁家庄旅游公路改建工程财务决算审计(二次)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LTHZ-2026-00727.1B1</w:t>
      </w:r>
      <w:r>
        <w:br/>
      </w:r>
      <w:r>
        <w:br/>
      </w:r>
      <w:r>
        <w:br/>
      </w:r>
    </w:p>
    <w:p>
      <w:pPr>
        <w:pStyle w:val="null3"/>
        <w:jc w:val="center"/>
        <w:outlineLvl w:val="2"/>
      </w:pPr>
      <w:r>
        <w:rPr>
          <w:rFonts w:ascii="仿宋_GB2312" w:hAnsi="仿宋_GB2312" w:cs="仿宋_GB2312" w:eastAsia="仿宋_GB2312"/>
          <w:sz w:val="28"/>
          <w:b/>
        </w:rPr>
        <w:t>佛坪县交通运输局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佛坪县交通运输局</w:t>
      </w:r>
      <w:r>
        <w:rPr>
          <w:rFonts w:ascii="仿宋_GB2312" w:hAnsi="仿宋_GB2312" w:cs="仿宋_GB2312" w:eastAsia="仿宋_GB2312"/>
        </w:rPr>
        <w:t>委托，拟对</w:t>
      </w:r>
      <w:r>
        <w:rPr>
          <w:rFonts w:ascii="仿宋_GB2312" w:hAnsi="仿宋_GB2312" w:cs="仿宋_GB2312" w:eastAsia="仿宋_GB2312"/>
        </w:rPr>
        <w:t>108国道大坪峪至袁家庄旅游公路改建工程财务决算审计(二次)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LTHZ-2026-00727.1B1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108国道大坪峪至袁家庄旅游公路改建工程财务决算审计(二次)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108国道大坪峪至袁家庄旅游公路改建工程财务决算审计，对工程资金使用管理进行审计，出具工程财务决算审计报告等。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采购包1（108国道大坪峪至袁家庄旅游公路改建工程财务决算审计）：属于专门面向中小企业采购。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4、供应商资质要求：需提供省级财政部门颁发的处于有效期内的会计师事务所执业资格证书；</w:t>
      </w:r>
    </w:p>
    <w:p>
      <w:pPr>
        <w:pStyle w:val="null3"/>
      </w:pPr>
      <w:r>
        <w:rPr>
          <w:rFonts w:ascii="仿宋_GB2312" w:hAnsi="仿宋_GB2312" w:cs="仿宋_GB2312" w:eastAsia="仿宋_GB2312"/>
        </w:rPr>
        <w:t>5、非联合体声明：非联合体声明，本项目不接受联合体磋商。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18291632225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佛坪县交通运输局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达到同行业标准及采购人要求“合格”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108国道大坪峪至袁家庄旅游公路改建工程财务决算审计，对工程资金使用管理进行审计，出具工程财务决算审计报告等。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418,800.00</w:t>
      </w:r>
    </w:p>
    <w:p>
      <w:pPr>
        <w:pStyle w:val="null3"/>
      </w:pPr>
      <w:r>
        <w:rPr>
          <w:rFonts w:ascii="仿宋_GB2312" w:hAnsi="仿宋_GB2312" w:cs="仿宋_GB2312" w:eastAsia="仿宋_GB2312"/>
        </w:rPr>
        <w:t>采购包最高限价（元）: 418,800.00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108国道大坪峪至袁家庄旅游公路改建工程财务决算审计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418,800.00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标的名称：108国道大坪峪至袁家庄旅游公路改建工程财务决算审计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实质性条款要求（以下条款须提供承诺函，未提供承诺函的视为无效需要）</w:t>
            </w:r>
            <w:r>
              <w:rPr>
                <w:rFonts w:ascii="仿宋_GB2312" w:hAnsi="仿宋_GB2312" w:cs="仿宋_GB2312" w:eastAsia="仿宋_GB2312"/>
                <w:sz w:val="21"/>
                <w:color w:val="000000"/>
              </w:rPr>
              <w:t>供应商须承诺</w:t>
            </w:r>
            <w:r>
              <w:rPr>
                <w:rFonts w:ascii="仿宋_GB2312" w:hAnsi="仿宋_GB2312" w:cs="仿宋_GB2312" w:eastAsia="仿宋_GB2312"/>
                <w:sz w:val="21"/>
              </w:rPr>
              <w:t xml:space="preserve"> </w:t>
            </w:r>
            <w:r>
              <w:rPr>
                <w:rFonts w:ascii="仿宋_GB2312" w:hAnsi="仿宋_GB2312" w:cs="仿宋_GB2312" w:eastAsia="仿宋_GB2312"/>
                <w:sz w:val="21"/>
                <w:color w:val="000000"/>
              </w:rPr>
              <w:t>：派遣的财务决算项目负责人不得同时兼任其他项目的项目负责人。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工程概况：</w:t>
            </w:r>
            <w:r>
              <w:rPr>
                <w:rFonts w:ascii="仿宋_GB2312" w:hAnsi="仿宋_GB2312" w:cs="仿宋_GB2312" w:eastAsia="仿宋_GB2312"/>
                <w:sz w:val="21"/>
                <w:color w:val="000000"/>
              </w:rPr>
              <w:t>108国道大坪峪至袁家庄旅游公路改建工程财务决算审计，对工程资金使用管理进行审计，出具工程财务决算审计报告等。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20"/>
              <w:jc w:val="left"/>
            </w:pPr>
            <w:r>
              <w:rPr>
                <w:rFonts w:ascii="仿宋_GB2312" w:hAnsi="仿宋_GB2312" w:cs="仿宋_GB2312" w:eastAsia="仿宋_GB2312"/>
                <w:sz w:val="21"/>
              </w:rPr>
              <w:t>供应商资质要求：需提供省级财政部门颁发的处于有效期内的会计师事务所执业资格证书。</w:t>
            </w:r>
          </w:p>
          <w:p>
            <w:pPr>
              <w:pStyle w:val="null3"/>
              <w:spacing w:before="120"/>
              <w:jc w:val="left"/>
            </w:pPr>
            <w:r>
              <w:rPr>
                <w:rFonts w:ascii="仿宋_GB2312" w:hAnsi="仿宋_GB2312" w:cs="仿宋_GB2312" w:eastAsia="仿宋_GB2312"/>
                <w:sz w:val="21"/>
              </w:rPr>
              <w:t>达到国际及行业标准及采购人要求：合格。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审计服务费包含完成全部审计工作所需的一切费用（含人员、差旅、复核、报告等），采购人不再额外支付任何费用。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合同签订后至工程审计结束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108国道大坪峪至袁家庄</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达到同行业标准及采购人要求“合格”，出具符合国家及行业规范的财务决算审计报告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达到同行业合格标准，出具符合国家及行业规范的财务决算审计报告，达到付款条件起15个工作日内，支付合同总金额的70.0%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甲乙双方自行协商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 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需提供省级财政部门颁发的处于有效期内的会计师事务所执业资格证书；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非联合体声明，本项目不接受联合体磋商。</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技术服务方案.docx 类似项目业绩情况表.docx 中小企业声明函 商务应答表 服务内容及服务要求应答表 报价表 汉中市政府采购资格承诺函.docx 响应文件封面 供应商资质证明文件.docx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一、评审内容编制财务决算审计服务总体方案，包含①审计服务总体设想②服务计划③重难点分析及解决方案。二、评审三维标准1. 完整性：覆盖全部要求，描述详实完整；2. 可实施性：贴合本项目，工作步骤清晰可行；3. 针对性：紧扣项目投资规模、工程竣工财务决算审计特点，方案适配实操。三、阶梯赋分（满分 7.5 分）1. 审计服务总体设想（3 分）：满足 3 项得 3 分、2 项得 2 分、1 项得 1 分、均不满足 0 分；2. 服务计划（3 分）：满足 3 项得 3 分、2 项得 2 分、1 项得 1 分、均不满足 0 分；3. 重难点分析及解决方案（1.5 分）：满足 3 项得 1.5 分、2 项得 1 分、1 项得 0.5 分、均不满足 0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一、评审内容制定项目专项质量方案，包含①质量控制方案②质量保证措施。二、评审三维标准1. 完整性：覆盖全部要求，描述详实完整；2. 可实施性：贴合本项目，工作步骤清晰可行；3. 针对性：紧扣项目投资规模、工程竣工财务决算审计特点，方案适配实操。三、阶梯赋分（满分 6 分）1. 质量控制方案（3 分）：满足 3 项得 3 分、2 项得 2 分、1 项得 1 分、均不满足 0 分；2. 质量保证措施（3 分）：满足 3 项得 3 分、2 项得 2 分、1 项得 1 分、均不满足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一、评审内容制定审计档案管理方案，包含①岗位业务资料归集、保管、移交措施②派驻人员人事及日常资料归档计划。二、评审三维标准1. 完整性：覆盖全部要求，描述详实完整；2. 可实施性：贴合本项目，工作步骤清晰可行；3. 针对性：紧扣项目投资规模、工程竣工财务决算审计特点，方案适配实操。三、阶梯赋分（满分 6 分）1. 岗位资料管理措施（3 分）：满足 3 项得 3 分、2 项得 2 分、1 项得 1 分、均不满足 0 分；2. 人员资料归档计划（3 分）：满足 3 项得 3 分、2 项得 2 分、1 项得 1 分、均不满足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一、评审内容及阶梯赋分（满分 4 分）1. 基础服务承诺（2 分）：出具书面承诺接受采购人考核监督、定期满意度调研并优化服务；内容完整规范得 2 分，内容简略部分达标得 1 分，无承诺 / 完全空洞 0 分。2. 增值专项承诺（2 分）：提供加急审计、免费复核、差错赔付等具象落地承诺得 2 分；仅有宽泛话术得 1 分，无增值承诺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一、评审内容配套完整内部管理制度：①岗位职责标准与现场质控体系②问责、监督、自查内控制度③人员考勤、奖惩、激励管理办法。二、评审三维标准1. 完整性：覆盖全部制度条目，内容完整；2. 落实性：责任划分清晰、管控要求具体；3. 针对性：适配工程财务决算审计驻场工作场景。三、阶梯赋分（满分 4.5 分）岗位职责、内控制度、人员管理制度各 1.5 分；每项满足 3 标准得 1.5 分、2 项得 1 分、1 项得 0.5 分、均不满足 0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一、评审内容编制风险防控方案，包含①风险防控制度②分类风险处置措施③全员廉洁管控措施。二、评审三维标准1. 完整性：覆盖全部要求，描述详实完整；2. 可实施性：贴合本项目，工作步骤清晰可行；3. 针对性：紧扣项目投资规模、工程竣工财务决算审计特点，方案适配实操。三、阶梯赋分（满分 4.5 分）风险防控制度、风险防范措施、廉洁从业措施各 1.5 分；每项满足 3 标准得 1.5 分、2 项得 1 分、1 项得 0.5 分、均不满足 0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业务政策解读</w:t>
            </w:r>
          </w:p>
        </w:tc>
        <w:tc>
          <w:tcPr>
            <w:tcW w:type="dxa" w:w="2492"/>
          </w:tcPr>
          <w:p>
            <w:pPr>
              <w:pStyle w:val="null3"/>
            </w:pPr>
            <w:r>
              <w:rPr>
                <w:rFonts w:ascii="仿宋_GB2312" w:hAnsi="仿宋_GB2312" w:cs="仿宋_GB2312" w:eastAsia="仿宋_GB2312"/>
              </w:rPr>
              <w:t>一、评审内容梳理并解读工程竣工财务决算审计适用法律法规、财政审计政策依据。二、评审三维标准1. 完整性：覆盖核心审计法规政策，条目齐全；2. 可实施性：解读贴合项目现场审计实操；3. 针对性：匹配本工程决算审核需求。三、阶梯赋分（满分 3 分）满足 3 项标准得 3 分、2 项得 2 分、1 项得 1 分、均不满足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一、评审内容制定审计突发事项处置方案：①审计时限压缩应急保障②审计差错延期补救赔付机制③人员离岗空缺补位方案。二、评审三维标准1. 完整性：覆盖全部应急场景，处置流程闭环；2. 可实施性：贴合本项目，处置步骤清晰；3. 针对性：适配工程审计限时交付、驻场特点。三、阶梯赋分（满分 4.5 分）时限响应、补救措施、人员应急各 1.5 分；每项满足 3 标准得 1.5 分、2 项得 1 分、1 项得 0.5 分、均不满足 0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一、评审内容 本项为客观打分项，评审仅核对供应商为本项目配置专职审计服务团队的人员资质、从业佐证材料，不评判人员方案文字描述优劣，不主观打分。 二、计分标准（两项得分累加，合计最高 13分） 除项目负责人外，每提供 1 名有效注册会计师得 2 分； 剔除项目负责人、前述注册会计师以外，其余团队人员每提供 1 名持有中级及以上会计专业职称得 1 分； 两类人员得分累计相加，总分封顶 13 分，超出分值不予计算。 三、人员材料统一核验硬性规则（任一条件不满足，该人员不计入有效计分人员） 资质证书要求：须提供拟派人员对应证书复印件 / 扫描件，并加盖供应商公章；同一人员同时持有注册会计师、中级及以上会计职称，仅按注册会计师计分，不重复叠加得分。 劳动关系佐证（社保 / 退休证明二选一）（1）在职人员：须提供供应商为其缴纳的社保证明材料（复印件 / 扫描件加盖公章）；（2）退休返聘人员：无需提供社保证明，但须提供退休证、退休审批表、养老金发放凭证等任一退休证明材料，同时配套提供与供应商签订的聘用合同，全部材料加盖供应商公章；项目负责人不计分：无论项目负责人是否具备注册会计师、会计职称资质、是否提供社保 / 退休材料，均不参与本项计分；证书、劳动关系佐证材料缺失、未加盖公章、人员信息不一致的，对应人员直接判定无效，不予计分。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供应商须分别出具加盖供应商公章的书面承诺：1. 廉洁从业承诺；2. 驻场人员管理承诺；3. 项目资料保密承诺；4. 人员调整承诺（采购人可根据项目实际无偿要求增减、调换专业人员，不产生额外费用）；5. 禁止转包分包承诺；6. 审计质量终身追责承诺（明确因审计疏漏、失职、造假造成采购人损失、问责风险，由供应商承担全部赔偿、整改及法律责任）。二、计分规则：仅核验承诺文件是否单独提供、加盖公章，每齐全提供 1 份有效承诺计 2 分；缺对应承诺不得分，不评判承诺内容详实程度；六项独立计分，缺一项仅扣对应 2 分，不影响其余承诺得分。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本项为客观评分项，由评审专家仅核验供应商提交的同类业绩书面材料是否符合硬性审核要件，不对投标方案文字描述优劣进行主观评判。业绩认定时间范围为 2023 年 1 月 1 日（含）至今，业绩时效以合同签订日期为准。 二、计分标准 每提供 1 份完整有效的工程竣工财务决算审计业绩得 2 分，本项得分累计最高 10分；同一合同材料多次重复提交的，仅计分 1 次，不重复累加得分；未提供任何符合要求的有效业绩，本项得 0 分； 供应商所提供的同一项目业绩，不得同时填报、同时计入企业业绩得分及项目负责人业绩得分，企业业绩与项目负责人业绩独立评审、分数不合并累计。 三、业绩有效认定标准（须同时全部满足，缺任一条件则该份业绩不予计分） 时限条件：合同签订日期为 2023 年 1 月 1 日（含）之后； 业务类型：服务内容为工程竣工财务决算审计； 佐证材料：提供合同关键页（含甲乙双方信息、项目名称、服务范围、盖章页）或项目中标通知书；意向协议、框架协议、未加盖公章材料、仅提供封面无核心业务内容的材料均不予认可； 资料清晰度：项目名称、服务内容、合同签订日期、甲乙双方公章清晰可辨识，存在涂改、字迹模糊无法辨认的，该份业绩认定为无效。 四、业绩不予计分情形 存在下列情形之一的，对应业绩不计入有效业绩、不予计分： 合同签订日期早于 2023 年 1 月 1 日； 佐证材料缺少公章或缺失核心服务内容页面； 同一项目合同重复多次提交； 仅出具审计成果报告，未配套提供合同或中标通知书。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一、评审说明 本项为客观评分项，评审专家仅核验项目负责人执业证书、执业年限佐证、主持同类项目业绩、劳动关系证明等书面材料，仅核对材料是否符合评审标准，不对人员综合能力、投标方案描述优劣作出主观评判。 二、计分标准（3 个子项独立计分，累计总分上限 10 分） （一）基础资质得分（满分 5 分） 项目负责人须持有有效注册会计师执业证书，注册执业单位与投标供应商完全一致，同时提供劳动关系佐证材料：在职人员提供投标单位缴纳的社保证明；退休返聘人员无需提供社保，须提供退休证明及聘用合同，全部材料加盖供应商公章。 注册执业年限满 5 年及以上：得 5 分； 注册执业年限 3 年（含）～5 年（不含）：得 3 分； 注册执业年限不足 3 年：本项得 0 分。 （二）执业年限额外加分（满分 3 分） 满足基础资质计分条件前提下，注册会计师执业年限 7 年（含）以上额外加 3 分；执业未满 7 年不予加分。 （三）同类项目业绩得分（满分 2 分） 近 3 年内以项目负责人身份主持工程竣工财务决算审计项目，每提供 1 份有效合格业绩得 1 分，本项最高得 2 分。 三、统一核验硬性判定规则 存在以下任一情形的，对应子项不予计分： 执业注册及劳动关系核验要求 注册会计师执业证书注册单位须与投标供应商完全一致；执业年限以证书首次批准注册日期为准核算；证书过期、注销、变更转出的，不予认定有效执业年限；在职人员未提供有效社保证明、退休人员未提供退休证明及聘用合同的，本资质子项不予计分。业绩材料有效认定标准（须全部满足）（1）合同签订时间处于近 3 年期限内；（2）能证明该人员为对应工程竣工财务决算审计项目实际牵头负责人，佐证材料提供以下任一即可： ①合同、中标通知书中直接载明投标拟派项目负责人姓名； ②财务决算审计报告签字页显示其为项目签字注册会计师，视为该项目牵头负责人履职证明；（3）服务内容为工程竣工财务决算审计；（4）材料加盖甲方或供需双方公章，项目名称、服务范围清晰完整；框架协议、意向协议、仅封面无核心业务内容的材料，均不作为有效业绩。 四、材料无效、不予计分情形 出现下列任一情况，对应资质或业绩不予计分： 注册会计师执业证书过期、注销，或证书注册单位与投标供应商不一致； 在职人员无有效社保证明、退休人员缺少退休证明及聘用合同； 业绩证明材料未体现项目负责人任职身份； 业绩服务内容不属于工程竣工财务决算审计范畴。 补充说明 供应商所提供的同一项目业绩，不得同时填报、同时计入企业业绩得分及项目负责人业绩得分，企业业绩与项目负责人业绩独立评审、分数不合并累计。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招标供应商报价得分=（评审基准价/报价）×15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详见附件：项目团队人员配置.docx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