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1825D">
      <w:pPr>
        <w:widowControl/>
        <w:jc w:val="center"/>
        <w:rPr>
          <w:rFonts w:hint="eastAsia" w:ascii="仿宋" w:hAnsi="仿宋" w:eastAsia="仿宋" w:cs="仿宋"/>
          <w:b/>
          <w:bCs/>
          <w:color w:val="000000"/>
          <w:kern w:val="0"/>
          <w:sz w:val="30"/>
          <w:szCs w:val="30"/>
          <w:lang w:bidi="ar"/>
        </w:rPr>
      </w:pPr>
    </w:p>
    <w:p w14:paraId="2DC47A9E">
      <w:pPr>
        <w:widowControl/>
        <w:jc w:val="center"/>
        <w:rPr>
          <w:rFonts w:hint="eastAsia" w:ascii="仿宋" w:hAnsi="仿宋" w:eastAsia="仿宋" w:cs="仿宋"/>
          <w:b/>
          <w:bCs/>
          <w:color w:val="000000"/>
          <w:kern w:val="0"/>
          <w:sz w:val="30"/>
          <w:szCs w:val="30"/>
          <w:lang w:bidi="ar"/>
        </w:rPr>
      </w:pPr>
    </w:p>
    <w:p w14:paraId="369E033D">
      <w:pPr>
        <w:widowControl/>
        <w:jc w:val="center"/>
        <w:rPr>
          <w:rFonts w:hint="eastAsia" w:ascii="仿宋" w:hAnsi="仿宋" w:eastAsia="仿宋" w:cs="仿宋"/>
          <w:b/>
          <w:bCs/>
          <w:color w:val="000000"/>
          <w:kern w:val="0"/>
          <w:sz w:val="44"/>
          <w:szCs w:val="44"/>
          <w:lang w:bidi="ar"/>
        </w:rPr>
      </w:pPr>
    </w:p>
    <w:p w14:paraId="680AEBDE">
      <w:pPr>
        <w:widowControl/>
        <w:wordWrap w:val="0"/>
        <w:spacing w:line="360" w:lineRule="auto"/>
        <w:jc w:val="center"/>
        <w:rPr>
          <w:rFonts w:hint="eastAsia" w:ascii="仿宋" w:hAnsi="仿宋" w:eastAsia="仿宋" w:cs="仿宋"/>
          <w:b/>
          <w:bCs/>
          <w:color w:val="000000"/>
          <w:kern w:val="0"/>
          <w:sz w:val="44"/>
          <w:szCs w:val="44"/>
          <w:lang w:bidi="ar"/>
        </w:rPr>
      </w:pPr>
      <w:r>
        <w:rPr>
          <w:rFonts w:hint="eastAsia" w:ascii="仿宋" w:hAnsi="仿宋" w:eastAsia="仿宋" w:cs="仿宋"/>
          <w:b/>
          <w:bCs/>
          <w:color w:val="000000"/>
          <w:kern w:val="0"/>
          <w:sz w:val="44"/>
          <w:szCs w:val="44"/>
          <w:lang w:val="en-US" w:eastAsia="zh-CN" w:bidi="ar"/>
        </w:rPr>
        <w:t>常宁新区大居安安置社区周边道路建设项目考古发掘劳务配合</w:t>
      </w:r>
      <w:r>
        <w:rPr>
          <w:rFonts w:hint="eastAsia" w:ascii="仿宋" w:hAnsi="仿宋" w:eastAsia="仿宋" w:cs="仿宋"/>
          <w:b/>
          <w:bCs/>
          <w:color w:val="000000"/>
          <w:kern w:val="0"/>
          <w:sz w:val="44"/>
          <w:szCs w:val="44"/>
          <w:lang w:val="zh-CN" w:eastAsia="zh-CN" w:bidi="ar"/>
        </w:rPr>
        <w:t>服务项目</w:t>
      </w:r>
      <w:r>
        <w:rPr>
          <w:rFonts w:hint="eastAsia" w:ascii="仿宋" w:hAnsi="仿宋" w:eastAsia="仿宋" w:cs="仿宋"/>
          <w:b/>
          <w:bCs/>
          <w:color w:val="000000"/>
          <w:kern w:val="0"/>
          <w:sz w:val="44"/>
          <w:szCs w:val="44"/>
          <w:lang w:bidi="ar"/>
        </w:rPr>
        <w:t>合同</w:t>
      </w:r>
    </w:p>
    <w:p w14:paraId="20DA1411">
      <w:pPr>
        <w:widowControl/>
        <w:spacing w:line="360" w:lineRule="auto"/>
        <w:jc w:val="center"/>
        <w:rPr>
          <w:rFonts w:hint="eastAsia" w:ascii="仿宋" w:hAnsi="仿宋" w:eastAsia="仿宋" w:cs="仿宋"/>
          <w:b/>
          <w:bCs/>
          <w:color w:val="000000"/>
          <w:kern w:val="0"/>
          <w:sz w:val="44"/>
          <w:szCs w:val="44"/>
          <w:lang w:bidi="ar"/>
        </w:rPr>
      </w:pPr>
    </w:p>
    <w:p w14:paraId="7C3FB29B">
      <w:pPr>
        <w:widowControl/>
        <w:spacing w:line="360" w:lineRule="auto"/>
        <w:jc w:val="center"/>
        <w:rPr>
          <w:rFonts w:hint="eastAsia" w:ascii="仿宋" w:hAnsi="仿宋" w:eastAsia="仿宋" w:cs="仿宋"/>
          <w:b/>
          <w:bCs/>
          <w:color w:val="000000"/>
          <w:kern w:val="0"/>
          <w:sz w:val="44"/>
          <w:szCs w:val="44"/>
          <w:lang w:bidi="ar"/>
        </w:rPr>
      </w:pPr>
    </w:p>
    <w:p w14:paraId="13A0F5E3">
      <w:pPr>
        <w:widowControl/>
        <w:spacing w:line="360" w:lineRule="auto"/>
        <w:jc w:val="center"/>
        <w:rPr>
          <w:rFonts w:hint="eastAsia" w:ascii="仿宋" w:hAnsi="仿宋" w:eastAsia="仿宋" w:cs="仿宋"/>
          <w:b/>
          <w:bCs/>
          <w:color w:val="000000"/>
          <w:kern w:val="0"/>
          <w:sz w:val="44"/>
          <w:szCs w:val="44"/>
          <w:lang w:bidi="ar"/>
        </w:rPr>
      </w:pPr>
    </w:p>
    <w:p w14:paraId="572E7684">
      <w:pPr>
        <w:widowControl/>
        <w:spacing w:line="560" w:lineRule="exact"/>
        <w:ind w:left="1964" w:leftChars="266" w:hanging="1405" w:hangingChars="500"/>
        <w:rPr>
          <w:rFonts w:hint="eastAsia" w:ascii="仿宋" w:hAnsi="仿宋" w:eastAsia="仿宋" w:cs="仿宋"/>
          <w:b/>
          <w:bCs/>
          <w:color w:val="000000"/>
          <w:kern w:val="0"/>
          <w:sz w:val="28"/>
          <w:szCs w:val="28"/>
          <w:lang w:bidi="ar"/>
        </w:rPr>
      </w:pPr>
    </w:p>
    <w:p w14:paraId="01C0EB32">
      <w:pPr>
        <w:widowControl/>
        <w:spacing w:line="560" w:lineRule="exact"/>
        <w:ind w:left="1964" w:leftChars="266" w:hanging="1405" w:hangingChars="500"/>
        <w:rPr>
          <w:rFonts w:hint="eastAsia" w:ascii="仿宋" w:hAnsi="仿宋" w:eastAsia="仿宋" w:cs="仿宋"/>
          <w:b/>
          <w:bCs/>
          <w:color w:val="000000"/>
          <w:kern w:val="0"/>
          <w:sz w:val="28"/>
          <w:szCs w:val="28"/>
          <w:lang w:bidi="ar"/>
        </w:rPr>
      </w:pPr>
    </w:p>
    <w:p w14:paraId="19E40198">
      <w:pPr>
        <w:widowControl/>
        <w:spacing w:line="560" w:lineRule="exact"/>
        <w:ind w:left="1964" w:leftChars="266" w:hanging="1405" w:hangingChars="500"/>
        <w:rPr>
          <w:rFonts w:hint="eastAsia" w:ascii="仿宋" w:hAnsi="仿宋" w:eastAsia="仿宋" w:cs="仿宋"/>
          <w:b/>
          <w:bCs/>
          <w:color w:val="000000"/>
          <w:kern w:val="0"/>
          <w:sz w:val="28"/>
          <w:szCs w:val="28"/>
          <w:lang w:bidi="ar"/>
        </w:rPr>
      </w:pPr>
    </w:p>
    <w:p w14:paraId="32A77A19">
      <w:pPr>
        <w:widowControl/>
        <w:spacing w:line="560" w:lineRule="exact"/>
        <w:ind w:left="1964" w:leftChars="266" w:hanging="1405" w:hangingChars="500"/>
        <w:rPr>
          <w:rFonts w:hint="eastAsia" w:ascii="仿宋" w:hAnsi="仿宋" w:eastAsia="仿宋" w:cs="仿宋"/>
          <w:b/>
          <w:bCs/>
          <w:color w:val="000000"/>
          <w:kern w:val="0"/>
          <w:sz w:val="28"/>
          <w:szCs w:val="28"/>
          <w:lang w:bidi="ar"/>
        </w:rPr>
      </w:pPr>
    </w:p>
    <w:p w14:paraId="0954FCEE">
      <w:pPr>
        <w:widowControl/>
        <w:spacing w:line="560" w:lineRule="exact"/>
        <w:ind w:left="1964" w:leftChars="266" w:hanging="1405" w:hangingChars="500"/>
        <w:rPr>
          <w:rFonts w:hint="eastAsia" w:ascii="仿宋" w:hAnsi="仿宋" w:eastAsia="仿宋" w:cs="仿宋"/>
          <w:b/>
          <w:bCs/>
          <w:color w:val="000000"/>
          <w:kern w:val="0"/>
          <w:sz w:val="28"/>
          <w:szCs w:val="28"/>
          <w:lang w:bidi="ar"/>
        </w:rPr>
      </w:pPr>
    </w:p>
    <w:p w14:paraId="543E669C">
      <w:pPr>
        <w:widowControl/>
        <w:spacing w:line="560" w:lineRule="exact"/>
        <w:ind w:left="1964" w:leftChars="266" w:hanging="1405" w:hangingChars="500"/>
        <w:rPr>
          <w:rFonts w:hint="eastAsia" w:ascii="仿宋" w:hAnsi="仿宋" w:eastAsia="仿宋" w:cs="仿宋"/>
          <w:b/>
          <w:bCs/>
          <w:color w:val="000000"/>
          <w:kern w:val="0"/>
          <w:sz w:val="28"/>
          <w:szCs w:val="28"/>
          <w:lang w:bidi="ar"/>
        </w:rPr>
      </w:pPr>
    </w:p>
    <w:p w14:paraId="6F509F02">
      <w:pPr>
        <w:widowControl/>
        <w:spacing w:line="560" w:lineRule="exact"/>
        <w:ind w:left="1964" w:leftChars="266" w:hanging="1405" w:hangingChars="500"/>
        <w:rPr>
          <w:rFonts w:hint="eastAsia" w:ascii="仿宋" w:hAnsi="仿宋" w:eastAsia="仿宋" w:cs="仿宋"/>
          <w:b/>
          <w:bCs/>
          <w:color w:val="000000"/>
          <w:kern w:val="0"/>
          <w:sz w:val="28"/>
          <w:szCs w:val="28"/>
          <w:lang w:bidi="ar"/>
        </w:rPr>
      </w:pPr>
    </w:p>
    <w:p w14:paraId="1498DAAA">
      <w:pPr>
        <w:widowControl/>
        <w:spacing w:line="560" w:lineRule="exact"/>
        <w:ind w:left="1964" w:leftChars="266" w:hanging="1405" w:hangingChars="500"/>
        <w:rPr>
          <w:rFonts w:hint="eastAsia" w:ascii="仿宋" w:hAnsi="仿宋" w:eastAsia="仿宋" w:cs="仿宋"/>
          <w:b/>
          <w:bCs/>
          <w:color w:val="000000"/>
          <w:kern w:val="0"/>
          <w:sz w:val="28"/>
          <w:szCs w:val="28"/>
          <w:lang w:bidi="ar"/>
        </w:rPr>
      </w:pPr>
    </w:p>
    <w:p w14:paraId="0C6008FE">
      <w:pPr>
        <w:widowControl/>
        <w:spacing w:line="560" w:lineRule="exact"/>
        <w:ind w:left="1964" w:leftChars="266" w:hanging="1405" w:hangingChars="500"/>
        <w:rPr>
          <w:rFonts w:hint="eastAsia" w:ascii="仿宋" w:hAnsi="仿宋" w:eastAsia="仿宋" w:cs="仿宋"/>
          <w:sz w:val="32"/>
          <w:szCs w:val="32"/>
          <w:lang w:val="zh-CN"/>
        </w:rPr>
      </w:pPr>
      <w:r>
        <w:rPr>
          <w:rFonts w:hint="eastAsia" w:ascii="仿宋" w:hAnsi="仿宋" w:eastAsia="仿宋" w:cs="仿宋"/>
          <w:b/>
          <w:bCs/>
          <w:color w:val="000000"/>
          <w:kern w:val="0"/>
          <w:sz w:val="28"/>
          <w:szCs w:val="28"/>
          <w:lang w:bidi="ar"/>
        </w:rPr>
        <w:t>项目名称：</w:t>
      </w:r>
      <w:r>
        <w:rPr>
          <w:rFonts w:hint="eastAsia" w:ascii="仿宋_GB2312" w:hAnsi="仿宋_GB2312" w:eastAsia="仿宋_GB2312" w:cs="仿宋_GB2312"/>
          <w:sz w:val="32"/>
          <w:szCs w:val="32"/>
          <w:lang w:val="en-US" w:eastAsia="zh-CN"/>
        </w:rPr>
        <w:t>常宁新区大居安安置社区周边道路建设项目考古发掘劳务配合</w:t>
      </w:r>
      <w:r>
        <w:rPr>
          <w:rFonts w:hint="eastAsia" w:ascii="仿宋_GB2312" w:hAnsi="仿宋_GB2312" w:eastAsia="仿宋_GB2312" w:cs="仿宋_GB2312"/>
          <w:sz w:val="32"/>
          <w:szCs w:val="32"/>
          <w:lang w:val="zh-CN" w:eastAsia="zh-CN"/>
        </w:rPr>
        <w:t>服务项目</w:t>
      </w:r>
    </w:p>
    <w:p w14:paraId="7F15AA73">
      <w:pPr>
        <w:widowControl/>
        <w:spacing w:line="640" w:lineRule="exact"/>
        <w:ind w:firstLine="562" w:firstLineChars="200"/>
        <w:rPr>
          <w:rFonts w:hint="eastAsia" w:ascii="仿宋" w:hAnsi="仿宋" w:eastAsia="仿宋" w:cs="仿宋"/>
          <w:color w:val="000000"/>
          <w:kern w:val="0"/>
          <w:sz w:val="28"/>
          <w:szCs w:val="28"/>
          <w:lang w:bidi="ar"/>
        </w:rPr>
      </w:pPr>
      <w:r>
        <w:rPr>
          <w:rFonts w:hint="eastAsia" w:ascii="仿宋" w:hAnsi="仿宋" w:eastAsia="仿宋" w:cs="仿宋"/>
          <w:b/>
          <w:bCs/>
          <w:color w:val="000000"/>
          <w:kern w:val="0"/>
          <w:sz w:val="28"/>
          <w:szCs w:val="28"/>
          <w:lang w:bidi="ar"/>
        </w:rPr>
        <w:t>甲    方：</w:t>
      </w:r>
      <w:r>
        <w:rPr>
          <w:rFonts w:hint="eastAsia" w:ascii="仿宋" w:hAnsi="仿宋" w:eastAsia="仿宋" w:cs="仿宋"/>
          <w:color w:val="000000"/>
          <w:kern w:val="0"/>
          <w:sz w:val="28"/>
          <w:szCs w:val="28"/>
          <w:lang w:bidi="ar"/>
        </w:rPr>
        <w:t xml:space="preserve"> </w:t>
      </w:r>
    </w:p>
    <w:p w14:paraId="1A20E65C">
      <w:pPr>
        <w:widowControl/>
        <w:spacing w:line="640" w:lineRule="exact"/>
        <w:ind w:firstLine="562" w:firstLineChars="200"/>
        <w:rPr>
          <w:rFonts w:hint="eastAsia" w:ascii="仿宋" w:hAnsi="仿宋" w:eastAsia="仿宋" w:cs="仿宋"/>
          <w:color w:val="000000"/>
          <w:kern w:val="0"/>
          <w:sz w:val="28"/>
          <w:szCs w:val="28"/>
          <w:lang w:bidi="ar"/>
        </w:rPr>
      </w:pPr>
      <w:r>
        <w:rPr>
          <w:rFonts w:hint="eastAsia" w:ascii="仿宋" w:hAnsi="仿宋" w:eastAsia="仿宋" w:cs="仿宋"/>
          <w:b/>
          <w:bCs/>
          <w:color w:val="000000"/>
          <w:kern w:val="0"/>
          <w:sz w:val="28"/>
          <w:szCs w:val="28"/>
          <w:lang w:bidi="ar"/>
        </w:rPr>
        <w:t>乙    方：</w:t>
      </w:r>
      <w:r>
        <w:rPr>
          <w:rFonts w:hint="eastAsia" w:ascii="仿宋" w:hAnsi="仿宋" w:eastAsia="仿宋" w:cs="仿宋"/>
          <w:color w:val="000000"/>
          <w:kern w:val="0"/>
          <w:sz w:val="28"/>
          <w:szCs w:val="28"/>
          <w:lang w:bidi="ar"/>
        </w:rPr>
        <w:t xml:space="preserve"> </w:t>
      </w:r>
    </w:p>
    <w:p w14:paraId="5F6A3CE8">
      <w:pPr>
        <w:widowControl/>
        <w:spacing w:line="640" w:lineRule="exact"/>
        <w:ind w:firstLine="562" w:firstLineChars="200"/>
        <w:rPr>
          <w:rFonts w:hint="eastAsia" w:ascii="仿宋" w:hAnsi="仿宋" w:eastAsia="仿宋" w:cs="仿宋"/>
          <w:color w:val="000000"/>
          <w:kern w:val="0"/>
          <w:sz w:val="28"/>
          <w:szCs w:val="28"/>
          <w:lang w:bidi="ar"/>
        </w:rPr>
      </w:pPr>
      <w:r>
        <w:rPr>
          <w:rFonts w:hint="eastAsia" w:ascii="仿宋" w:hAnsi="仿宋" w:eastAsia="仿宋" w:cs="仿宋"/>
          <w:b/>
          <w:bCs/>
          <w:color w:val="000000"/>
          <w:kern w:val="0"/>
          <w:sz w:val="28"/>
          <w:szCs w:val="28"/>
          <w:lang w:bidi="ar"/>
        </w:rPr>
        <w:t>签订时间：</w:t>
      </w:r>
      <w:r>
        <w:rPr>
          <w:rFonts w:hint="eastAsia" w:ascii="仿宋" w:hAnsi="仿宋" w:eastAsia="仿宋" w:cs="仿宋"/>
          <w:b/>
          <w:bCs/>
          <w:color w:val="000000"/>
          <w:kern w:val="0"/>
          <w:sz w:val="28"/>
          <w:szCs w:val="28"/>
          <w:u w:val="single"/>
          <w:lang w:bidi="ar"/>
        </w:rPr>
        <w:t xml:space="preserve">       </w:t>
      </w:r>
      <w:r>
        <w:rPr>
          <w:rFonts w:hint="eastAsia" w:ascii="仿宋" w:hAnsi="仿宋" w:eastAsia="仿宋" w:cs="仿宋"/>
          <w:color w:val="000000"/>
          <w:kern w:val="0"/>
          <w:sz w:val="28"/>
          <w:szCs w:val="28"/>
          <w:lang w:bidi="ar"/>
        </w:rPr>
        <w:t>年</w:t>
      </w:r>
      <w:r>
        <w:rPr>
          <w:rFonts w:hint="eastAsia" w:ascii="仿宋" w:hAnsi="仿宋" w:eastAsia="仿宋" w:cs="仿宋"/>
          <w:color w:val="000000"/>
          <w:kern w:val="0"/>
          <w:sz w:val="28"/>
          <w:szCs w:val="28"/>
          <w:u w:val="single"/>
          <w:lang w:bidi="ar"/>
        </w:rPr>
        <w:t xml:space="preserve">     </w:t>
      </w:r>
      <w:r>
        <w:rPr>
          <w:rFonts w:hint="eastAsia" w:ascii="仿宋" w:hAnsi="仿宋" w:eastAsia="仿宋" w:cs="仿宋"/>
          <w:color w:val="000000"/>
          <w:kern w:val="0"/>
          <w:sz w:val="28"/>
          <w:szCs w:val="28"/>
          <w:lang w:bidi="ar"/>
        </w:rPr>
        <w:t>月</w:t>
      </w:r>
      <w:r>
        <w:rPr>
          <w:rFonts w:hint="eastAsia" w:ascii="仿宋" w:hAnsi="仿宋" w:eastAsia="仿宋" w:cs="仿宋"/>
          <w:color w:val="000000"/>
          <w:kern w:val="0"/>
          <w:sz w:val="28"/>
          <w:szCs w:val="28"/>
          <w:u w:val="single"/>
          <w:lang w:bidi="ar"/>
        </w:rPr>
        <w:t xml:space="preserve">     </w:t>
      </w:r>
      <w:r>
        <w:rPr>
          <w:rFonts w:hint="eastAsia" w:ascii="仿宋" w:hAnsi="仿宋" w:eastAsia="仿宋" w:cs="仿宋"/>
          <w:color w:val="000000"/>
          <w:kern w:val="0"/>
          <w:sz w:val="28"/>
          <w:szCs w:val="28"/>
          <w:lang w:bidi="ar"/>
        </w:rPr>
        <w:t>日</w:t>
      </w:r>
    </w:p>
    <w:p w14:paraId="540EA528">
      <w:pPr>
        <w:widowControl/>
        <w:spacing w:line="640" w:lineRule="exact"/>
        <w:ind w:firstLine="560" w:firstLineChars="200"/>
        <w:rPr>
          <w:rFonts w:hint="eastAsia" w:ascii="仿宋" w:hAnsi="仿宋" w:eastAsia="仿宋" w:cs="仿宋"/>
          <w:color w:val="000000"/>
          <w:kern w:val="0"/>
          <w:sz w:val="28"/>
          <w:szCs w:val="28"/>
          <w:lang w:bidi="ar"/>
        </w:rPr>
        <w:sectPr>
          <w:pgSz w:w="11906" w:h="16838"/>
          <w:pgMar w:top="1440" w:right="1800" w:bottom="1383" w:left="1800" w:header="851" w:footer="992" w:gutter="0"/>
          <w:pgNumType w:start="2"/>
          <w:cols w:space="720" w:num="1"/>
          <w:docGrid w:type="lines" w:linePitch="312" w:charSpace="0"/>
        </w:sectPr>
      </w:pPr>
    </w:p>
    <w:p w14:paraId="2DB38D13">
      <w:pPr>
        <w:widowControl/>
        <w:spacing w:line="500" w:lineRule="exact"/>
        <w:jc w:val="left"/>
        <w:rPr>
          <w:rFonts w:hint="eastAsia" w:ascii="仿宋" w:hAnsi="仿宋" w:eastAsia="仿宋" w:cs="仿宋"/>
          <w:color w:val="000000"/>
          <w:kern w:val="0"/>
          <w:sz w:val="24"/>
          <w:u w:val="single"/>
          <w:lang w:bidi="ar"/>
        </w:rPr>
      </w:pPr>
      <w:r>
        <w:rPr>
          <w:rFonts w:hint="eastAsia" w:ascii="仿宋" w:hAnsi="仿宋" w:eastAsia="仿宋" w:cs="仿宋"/>
          <w:color w:val="000000"/>
          <w:kern w:val="0"/>
          <w:sz w:val="24"/>
          <w:lang w:bidi="ar"/>
        </w:rPr>
        <w:t>甲 方：</w:t>
      </w:r>
      <w:r>
        <w:rPr>
          <w:rFonts w:hint="eastAsia" w:ascii="仿宋" w:hAnsi="仿宋" w:eastAsia="仿宋" w:cs="仿宋"/>
          <w:color w:val="000000"/>
          <w:kern w:val="0"/>
          <w:sz w:val="24"/>
          <w:u w:val="single"/>
          <w:lang w:bidi="ar"/>
        </w:rPr>
        <w:t xml:space="preserve">                                </w:t>
      </w:r>
    </w:p>
    <w:p w14:paraId="40F38FCE">
      <w:pPr>
        <w:widowControl/>
        <w:spacing w:line="500" w:lineRule="exact"/>
        <w:jc w:val="left"/>
        <w:rPr>
          <w:rFonts w:hint="eastAsia" w:ascii="仿宋" w:hAnsi="仿宋" w:eastAsia="仿宋" w:cs="仿宋"/>
          <w:color w:val="000000"/>
          <w:kern w:val="0"/>
          <w:sz w:val="24"/>
          <w:u w:val="single"/>
          <w:lang w:bidi="ar"/>
        </w:rPr>
      </w:pPr>
      <w:r>
        <w:rPr>
          <w:rFonts w:hint="eastAsia" w:ascii="仿宋" w:hAnsi="仿宋" w:eastAsia="仿宋" w:cs="仿宋"/>
          <w:color w:val="000000"/>
          <w:kern w:val="0"/>
          <w:sz w:val="24"/>
          <w:lang w:bidi="ar"/>
        </w:rPr>
        <w:t>乙 方：</w:t>
      </w:r>
      <w:r>
        <w:rPr>
          <w:rFonts w:hint="eastAsia" w:ascii="仿宋" w:hAnsi="仿宋" w:eastAsia="仿宋" w:cs="仿宋"/>
          <w:color w:val="000000"/>
          <w:kern w:val="0"/>
          <w:sz w:val="24"/>
          <w:u w:val="single"/>
          <w:lang w:bidi="ar"/>
        </w:rPr>
        <w:t xml:space="preserve">                                </w:t>
      </w:r>
    </w:p>
    <w:p w14:paraId="46976EA1">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为确保地下文化遗产安全，推动工程建设顺利进行，根据相关法律、法规之规定，由甲方委托乙方配合陕西省考古研究院对《</w:t>
      </w:r>
      <w:r>
        <w:rPr>
          <w:rFonts w:hint="eastAsia" w:ascii="仿宋" w:hAnsi="仿宋" w:eastAsia="仿宋" w:cs="仿宋"/>
          <w:color w:val="000000"/>
          <w:kern w:val="0"/>
          <w:sz w:val="24"/>
          <w:lang w:val="en-US" w:eastAsia="zh-CN" w:bidi="ar"/>
        </w:rPr>
        <w:t>大居安安置社区周边道路建设项目</w:t>
      </w:r>
      <w:r>
        <w:rPr>
          <w:rFonts w:hint="eastAsia" w:ascii="仿宋" w:hAnsi="仿宋" w:eastAsia="仿宋" w:cs="仿宋"/>
          <w:color w:val="000000"/>
          <w:kern w:val="0"/>
          <w:sz w:val="24"/>
          <w:lang w:bidi="ar"/>
        </w:rPr>
        <w:t>考古勘探工作报告》发现的</w:t>
      </w:r>
      <w:r>
        <w:rPr>
          <w:rFonts w:hint="eastAsia" w:ascii="仿宋" w:hAnsi="仿宋" w:eastAsia="仿宋" w:cs="仿宋"/>
          <w:color w:val="000000"/>
          <w:kern w:val="0"/>
          <w:sz w:val="24"/>
          <w:lang w:val="en-US" w:eastAsia="zh-CN" w:bidi="ar"/>
        </w:rPr>
        <w:t>古墓17座、灰坑52处、井5眼，共74处古代文化遗存</w:t>
      </w:r>
      <w:r>
        <w:rPr>
          <w:rFonts w:hint="eastAsia" w:ascii="仿宋" w:hAnsi="仿宋" w:eastAsia="仿宋" w:cs="仿宋"/>
          <w:color w:val="000000"/>
          <w:kern w:val="0"/>
          <w:sz w:val="24"/>
          <w:lang w:bidi="ar"/>
        </w:rPr>
        <w:t>进行考古发掘并对出土文物现场进行保护等工作。甲乙双方本着“既有利于工程建设，又有利于文物保护”的原则，根据本项目招标结果，</w:t>
      </w:r>
      <w:r>
        <w:rPr>
          <w:rFonts w:hint="eastAsia" w:ascii="仿宋" w:hAnsi="仿宋" w:eastAsia="仿宋" w:cs="仿宋"/>
        </w:rPr>
        <w:t>就乙方为上述项目提供</w:t>
      </w:r>
      <w:r>
        <w:rPr>
          <w:rFonts w:hint="eastAsia" w:ascii="仿宋" w:hAnsi="仿宋" w:eastAsia="仿宋" w:cs="仿宋"/>
          <w:color w:val="000000"/>
          <w:kern w:val="0"/>
          <w:sz w:val="24"/>
          <w:lang w:bidi="ar"/>
        </w:rPr>
        <w:t>考古发掘土方劳务配合及安保支护加固服务签订本合同。</w:t>
      </w:r>
    </w:p>
    <w:p w14:paraId="7F21799D">
      <w:pPr>
        <w:widowControl/>
        <w:spacing w:line="500" w:lineRule="exact"/>
        <w:jc w:val="left"/>
        <w:rPr>
          <w:rFonts w:hint="eastAsia" w:ascii="仿宋" w:hAnsi="仿宋" w:eastAsia="仿宋" w:cs="仿宋"/>
        </w:rPr>
      </w:pPr>
      <w:r>
        <w:rPr>
          <w:rFonts w:hint="eastAsia" w:ascii="仿宋" w:hAnsi="仿宋" w:eastAsia="仿宋" w:cs="仿宋"/>
          <w:b/>
          <w:bCs/>
          <w:color w:val="000000"/>
          <w:kern w:val="0"/>
          <w:sz w:val="24"/>
          <w:lang w:bidi="ar"/>
        </w:rPr>
        <w:t xml:space="preserve">第一条 协议依据 </w:t>
      </w:r>
    </w:p>
    <w:p w14:paraId="4D4598EC">
      <w:pPr>
        <w:widowControl/>
        <w:wordWrap w:val="0"/>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1.1  《中华人民共和国民法典》（中华人民共和国主席令[十三届第四十五号令]）2020年 5 月 28 日第十三届全国人民代表大会第三次会议通过，自 2021 年 1 月 1 日起施行； </w:t>
      </w:r>
    </w:p>
    <w:p w14:paraId="2AB85681">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 xml:space="preserve">1.2 《中华人民共和国文物保护法》（2024 年修订）（2024 年 11 月 8 日第十四届全国人民代表大会常务委员会第十二次会议第二次修订）； </w:t>
      </w:r>
    </w:p>
    <w:p w14:paraId="6577B2D3">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1.3 《陕西省文物保护条例》（2019修正）（根据2019年7月31日陕西省第十三届人民代表大会常务委员会第十二次会议第五次修正）；</w:t>
      </w:r>
    </w:p>
    <w:p w14:paraId="6C87372C">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1.4 国家文物局《关于加强基本建设工程中考古工作的指导意见》（文物保发[2006]42号） </w:t>
      </w:r>
    </w:p>
    <w:p w14:paraId="798E3648">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1.5 国家文物局《考古调查、勘探、发掘经费预算定额管理办法》（[90]文物字第 248号） </w:t>
      </w:r>
    </w:p>
    <w:p w14:paraId="1604B612">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1.6 陕西省文物局《关于加强基本建设工程中考古工作的通知》（陕文物发〔2014〕147号） </w:t>
      </w:r>
    </w:p>
    <w:p w14:paraId="1636C296">
      <w:pPr>
        <w:widowControl/>
        <w:spacing w:line="500" w:lineRule="exact"/>
        <w:jc w:val="left"/>
        <w:rPr>
          <w:rFonts w:hint="eastAsia" w:ascii="仿宋" w:hAnsi="仿宋" w:eastAsia="仿宋" w:cs="仿宋"/>
        </w:rPr>
      </w:pPr>
      <w:r>
        <w:rPr>
          <w:rFonts w:hint="eastAsia" w:ascii="仿宋" w:hAnsi="仿宋" w:eastAsia="仿宋" w:cs="仿宋"/>
          <w:b/>
          <w:bCs/>
          <w:color w:val="000000"/>
          <w:kern w:val="0"/>
          <w:sz w:val="24"/>
          <w:lang w:bidi="ar"/>
        </w:rPr>
        <w:t xml:space="preserve">第二条 服务内容及服务期限 </w:t>
      </w:r>
    </w:p>
    <w:p w14:paraId="7C476736">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服务期限：</w:t>
      </w:r>
      <w:r>
        <w:rPr>
          <w:rFonts w:hint="eastAsia" w:ascii="仿宋" w:hAnsi="仿宋" w:eastAsia="仿宋" w:cs="仿宋"/>
          <w:color w:val="000000"/>
          <w:kern w:val="0"/>
          <w:sz w:val="24"/>
          <w:u w:val="single"/>
          <w:lang w:bidi="ar"/>
        </w:rPr>
        <w:t xml:space="preserve"> </w:t>
      </w:r>
      <w:r>
        <w:rPr>
          <w:rFonts w:hint="eastAsia" w:ascii="仿宋" w:hAnsi="仿宋" w:eastAsia="仿宋" w:cs="仿宋"/>
          <w:color w:val="000000"/>
          <w:kern w:val="0"/>
          <w:sz w:val="24"/>
          <w:u w:val="single"/>
          <w:lang w:val="en-US" w:eastAsia="zh-CN" w:bidi="ar"/>
        </w:rPr>
        <w:t>150</w:t>
      </w:r>
      <w:r>
        <w:rPr>
          <w:rFonts w:hint="eastAsia" w:ascii="仿宋" w:hAnsi="仿宋" w:eastAsia="仿宋" w:cs="仿宋"/>
          <w:color w:val="000000"/>
          <w:kern w:val="0"/>
          <w:sz w:val="24"/>
          <w:u w:val="single"/>
          <w:lang w:bidi="ar"/>
        </w:rPr>
        <w:t xml:space="preserve"> </w:t>
      </w:r>
      <w:r>
        <w:rPr>
          <w:rFonts w:hint="eastAsia" w:ascii="仿宋" w:hAnsi="仿宋" w:eastAsia="仿宋" w:cs="仿宋"/>
          <w:color w:val="000000"/>
          <w:kern w:val="0"/>
          <w:sz w:val="24"/>
          <w:lang w:bidi="ar"/>
        </w:rPr>
        <w:t xml:space="preserve">工作日，具体进场时间以甲方通知为准，如遇雨雪天气及其他不可抗拒因素或重大考古发现，工期顺延。 </w:t>
      </w:r>
    </w:p>
    <w:p w14:paraId="2F044B84">
      <w:pPr>
        <w:spacing w:line="500" w:lineRule="exact"/>
        <w:ind w:firstLine="480" w:firstLineChars="200"/>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 xml:space="preserve"> 服务内容：乙方需配合陕西省考古研究院对该项目发现的</w:t>
      </w:r>
      <w:r>
        <w:rPr>
          <w:rFonts w:hint="eastAsia" w:ascii="仿宋" w:hAnsi="仿宋" w:eastAsia="仿宋" w:cs="仿宋"/>
          <w:color w:val="000000"/>
          <w:kern w:val="0"/>
          <w:sz w:val="24"/>
          <w:lang w:val="en-US" w:eastAsia="zh-CN" w:bidi="ar"/>
        </w:rPr>
        <w:t>古墓17座、灰坑52处、井5眼，共74处古代文化遗存</w:t>
      </w:r>
      <w:r>
        <w:rPr>
          <w:rFonts w:hint="eastAsia" w:ascii="仿宋" w:hAnsi="仿宋" w:eastAsia="仿宋" w:cs="仿宋"/>
          <w:color w:val="000000"/>
          <w:kern w:val="0"/>
          <w:sz w:val="24"/>
          <w:lang w:bidi="ar"/>
        </w:rPr>
        <w:t>进行考古发掘并对出土文物现场进行保护等工作，协助考古发掘技术单位完成《</w:t>
      </w:r>
      <w:r>
        <w:rPr>
          <w:rFonts w:hint="eastAsia" w:ascii="仿宋" w:hAnsi="仿宋" w:eastAsia="仿宋" w:cs="仿宋"/>
          <w:color w:val="000000"/>
          <w:kern w:val="0"/>
          <w:sz w:val="24"/>
          <w:lang w:val="en-US" w:eastAsia="zh-CN" w:bidi="ar"/>
        </w:rPr>
        <w:t>大居安安置社区周边道路建设项目</w:t>
      </w:r>
      <w:r>
        <w:rPr>
          <w:rFonts w:hint="eastAsia" w:ascii="仿宋" w:hAnsi="仿宋" w:eastAsia="仿宋" w:cs="仿宋"/>
          <w:color w:val="000000"/>
          <w:kern w:val="0"/>
          <w:sz w:val="24"/>
          <w:lang w:bidi="ar"/>
        </w:rPr>
        <w:t>考古发掘工作报告》编制工作。</w:t>
      </w:r>
    </w:p>
    <w:p w14:paraId="050C0088">
      <w:pPr>
        <w:widowControl/>
        <w:spacing w:line="500" w:lineRule="exact"/>
        <w:jc w:val="left"/>
        <w:rPr>
          <w:rFonts w:hint="eastAsia" w:ascii="仿宋" w:hAnsi="仿宋" w:eastAsia="仿宋" w:cs="仿宋"/>
        </w:rPr>
      </w:pPr>
      <w:r>
        <w:rPr>
          <w:rFonts w:hint="eastAsia" w:ascii="仿宋" w:hAnsi="仿宋" w:eastAsia="仿宋" w:cs="仿宋"/>
          <w:b/>
          <w:bCs/>
          <w:color w:val="000000"/>
          <w:kern w:val="0"/>
          <w:sz w:val="24"/>
          <w:lang w:bidi="ar"/>
        </w:rPr>
        <w:t xml:space="preserve">第三条 工作费用及支付方式 </w:t>
      </w:r>
    </w:p>
    <w:p w14:paraId="63B7AEF8">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3.1 本项目合同总价款为人民币（大写）</w:t>
      </w:r>
      <w:r>
        <w:rPr>
          <w:rFonts w:hint="eastAsia" w:ascii="仿宋" w:hAnsi="仿宋" w:eastAsia="仿宋" w:cs="仿宋"/>
          <w:color w:val="000000"/>
          <w:kern w:val="0"/>
          <w:sz w:val="24"/>
          <w:u w:val="single"/>
          <w:lang w:bidi="ar"/>
        </w:rPr>
        <w:t xml:space="preserve">       （¥    元）</w:t>
      </w:r>
      <w:r>
        <w:rPr>
          <w:rFonts w:hint="eastAsia" w:ascii="仿宋" w:hAnsi="仿宋" w:eastAsia="仿宋" w:cs="仿宋"/>
          <w:color w:val="000000"/>
          <w:kern w:val="0"/>
          <w:sz w:val="24"/>
          <w:lang w:bidi="ar"/>
        </w:rPr>
        <w:t xml:space="preserve">。该费用包含但不限于乙方完成本项目的人工费、设备使用费、土方费、安保费、生活费、住宿费、检测验收费、采购代理服务费、利润和税金等全部费用，在提供服务的过程中的任何遗漏，均视为已包含，由乙方免费提供，且合同总价一次性包死不受市场价变化的影响，甲方将不再支付任何费用。 </w:t>
      </w:r>
    </w:p>
    <w:p w14:paraId="5E610E73">
      <w:pPr>
        <w:widowControl/>
        <w:wordWrap w:val="0"/>
        <w:spacing w:line="500" w:lineRule="exact"/>
        <w:ind w:firstLine="480" w:firstLineChars="200"/>
        <w:jc w:val="left"/>
        <w:rPr>
          <w:rFonts w:hint="eastAsia" w:ascii="仿宋" w:hAnsi="仿宋" w:eastAsia="仿宋" w:cs="仿宋"/>
          <w:color w:val="000000"/>
          <w:kern w:val="0"/>
          <w:sz w:val="24"/>
          <w:lang w:eastAsia="zh-CN" w:bidi="ar"/>
        </w:rPr>
      </w:pPr>
      <w:r>
        <w:rPr>
          <w:rFonts w:hint="eastAsia" w:ascii="仿宋" w:hAnsi="仿宋" w:eastAsia="仿宋" w:cs="仿宋"/>
          <w:color w:val="000000"/>
          <w:kern w:val="0"/>
          <w:sz w:val="24"/>
          <w:lang w:bidi="ar"/>
        </w:rPr>
        <w:t>3.2 付款方式：</w:t>
      </w:r>
      <w:r>
        <w:rPr>
          <w:rFonts w:hint="eastAsia" w:ascii="仿宋" w:hAnsi="仿宋" w:eastAsia="仿宋" w:cs="仿宋"/>
          <w:color w:val="000000"/>
          <w:kern w:val="0"/>
          <w:sz w:val="24"/>
          <w:lang w:eastAsia="zh-CN" w:bidi="ar"/>
        </w:rPr>
        <w:t>乙方进场服务后，服务总量完成60%后，甲方支付乙方合同价款的50%，达到付款条件起14日内，支付合同总金额的50%。待配合考古发掘工作全部完成，配合考古发掘技术单位出具有效的考古发掘报告，并经确认无误后，支付剩余费用，达到付款条件起14日内，支付合同总金额的50%。</w:t>
      </w:r>
      <w:bookmarkStart w:id="0" w:name="_GoBack"/>
      <w:bookmarkEnd w:id="0"/>
    </w:p>
    <w:p w14:paraId="652ED544">
      <w:pPr>
        <w:widowControl/>
        <w:wordWrap w:val="0"/>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3.3 甲方付款前，乙方应向甲方提供符合甲方要求的等额增值税发票。乙方延迟提供发票，</w:t>
      </w:r>
      <w:r>
        <w:rPr>
          <w:rFonts w:hint="eastAsia" w:ascii="仿宋" w:hAnsi="仿宋" w:eastAsia="仿宋" w:cs="仿宋"/>
        </w:rPr>
        <w:t>甲方有权延迟付款并不承担违约责任</w:t>
      </w:r>
      <w:r>
        <w:rPr>
          <w:rFonts w:hint="eastAsia" w:ascii="仿宋" w:hAnsi="仿宋" w:eastAsia="仿宋" w:cs="仿宋"/>
          <w:color w:val="000000"/>
          <w:kern w:val="0"/>
          <w:sz w:val="24"/>
          <w:lang w:bidi="ar"/>
        </w:rPr>
        <w:t xml:space="preserve">。 </w:t>
      </w:r>
    </w:p>
    <w:p w14:paraId="58DF6E08">
      <w:pPr>
        <w:widowControl/>
        <w:spacing w:line="500" w:lineRule="exact"/>
        <w:jc w:val="left"/>
        <w:rPr>
          <w:rFonts w:hint="eastAsia" w:ascii="仿宋" w:hAnsi="仿宋" w:eastAsia="仿宋" w:cs="仿宋"/>
        </w:rPr>
      </w:pPr>
      <w:r>
        <w:rPr>
          <w:rFonts w:hint="eastAsia" w:ascii="仿宋" w:hAnsi="仿宋" w:eastAsia="仿宋" w:cs="仿宋"/>
          <w:b/>
          <w:bCs/>
          <w:color w:val="000000"/>
          <w:kern w:val="0"/>
          <w:sz w:val="24"/>
          <w:lang w:bidi="ar"/>
        </w:rPr>
        <w:t xml:space="preserve">第四条 各方责任与义务 </w:t>
      </w:r>
    </w:p>
    <w:p w14:paraId="6C8EA384">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4.1 甲方责任与义务 </w:t>
      </w:r>
    </w:p>
    <w:p w14:paraId="6A7E24F3">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4.1.1 甲方有权对合同规定范围内乙方的服务行为进行监督和检查，拥有监管权。有权定期核对乙方提供服务所配备的人员数量。甲方认为不合理的部分有权下达整改通知书，并要求乙方限期整改。 </w:t>
      </w:r>
    </w:p>
    <w:p w14:paraId="6C0CC097">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4.1.2 负责检查监督乙方管理工作的实施及制度的执行情况。 </w:t>
      </w:r>
    </w:p>
    <w:p w14:paraId="2BABE703">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4.1.3 根据本合同规定，按时向乙方支付应付服务费用。 </w:t>
      </w:r>
    </w:p>
    <w:p w14:paraId="62378E80">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4.1.4 国家法律、法规所规定由甲方承担的其它责任。 </w:t>
      </w:r>
    </w:p>
    <w:p w14:paraId="24561DE6">
      <w:pPr>
        <w:widowControl/>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 xml:space="preserve">4.2 乙方责任与义务 </w:t>
      </w:r>
    </w:p>
    <w:p w14:paraId="0A0D060C">
      <w:pPr>
        <w:widowControl/>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 xml:space="preserve">4.2.1 乙方应根据国家和省、市有关法律法规及招标人的有关规定、规范，配合考古发掘单位按时完成考古发掘土方劳务配合及安保支护加固工作。 </w:t>
      </w:r>
    </w:p>
    <w:p w14:paraId="4092F32A">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4.2.2 乙方受甲方委托全面负责考古发掘工地的考古发掘土方劳务配合及安保支护加固工作，包括该工地现场和驻地临时文物库房的安全保卫工作（未设临时文物库房的工地驻地不在此列）。乙方应按甲方及考古发掘技术单位的要求开展工作，服从甲方考古工地负责人的指挥，并接受甲方日常监督和管理。 </w:t>
      </w:r>
    </w:p>
    <w:p w14:paraId="55D26658">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4.2.3 乙方需在工地现场设置较为固定的临建房作为安保值班监控室（如装配式轻型建筑或活动房）。工地的安保值班监控室等工作区域要与保安人员的住宿休息生活区域隔离设置，不能混合使用。值班监控室内严禁吸烟，不得私自乱接插板线路，不得使用大功率电器。值班监控室等工作区要保持整洁，不得放置床、灶具等生活用品。 </w:t>
      </w:r>
    </w:p>
    <w:p w14:paraId="759B2E38">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4.2.4 乙方应在工地出入口、围墙、围挡周界设立醒目的警示标牌，对于发掘较深的古墓遗址或重要区域还应设置安全警戒线，树立安全警示牌。 </w:t>
      </w:r>
    </w:p>
    <w:p w14:paraId="13D7F48B">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4.2.5 乙方应按甲方要求根据工地情况安装视频安防监控设施，工地出入口及外围还必须设置电子围挡，安装主动红外探测器及侵入报警等装置。监控系统总控台、系统主机、显示器、储存器、报警终端等应设在值班监控室。每一个需要发掘的遗迹单位（古墓葬、古遗址或探方、探沟等），开工前需在其上方或四周架设从不同角度监控的移动式视屏监控系统，每一遗迹单位上的摄像头应不少于 2 个视角，随着发掘位置和深度的变化，监控摄像头也要相应移动和调整，确保考古发掘全程监控，直至发掘结束后方可拆移。除监控设备外，安防手段不得少于 2 种。监控需做到无死角全天候全程视频监控并留存录像数据。 </w:t>
      </w:r>
    </w:p>
    <w:p w14:paraId="43DA11DB">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所有监控安防报警设备都需符合国家相关规范标准，且应确保昼夜24小时正常运转。值守保安人员要随时监控整个考古工地的实时动态，如有报警应及时检查处理，做好文字记录，如遇危急情况则启动应急预案，根据预案要求处理。 </w:t>
      </w:r>
    </w:p>
    <w:p w14:paraId="2B4F0B95">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4.2.6 乙方应严格按照考古工地防盗、防抢、防火、防塌方、防自然灾害、防人为破坏（含个人的有意或无意破坏；建设单位、施工单位等的施工破坏）的“六防”要求以及有关 应急预案的要求部署工作。 </w:t>
      </w:r>
    </w:p>
    <w:p w14:paraId="295FD0E9">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若因乙方安全保卫措施不当或处置事故不当所造成的人身伤害或文物安全事故，乙方应承担</w:t>
      </w:r>
      <w:r>
        <w:rPr>
          <w:rFonts w:hint="eastAsia" w:ascii="仿宋" w:hAnsi="仿宋" w:eastAsia="仿宋" w:cs="仿宋"/>
        </w:rPr>
        <w:t>全部</w:t>
      </w:r>
      <w:r>
        <w:rPr>
          <w:rFonts w:hint="eastAsia" w:ascii="仿宋" w:hAnsi="仿宋" w:eastAsia="仿宋" w:cs="仿宋"/>
          <w:color w:val="000000"/>
          <w:kern w:val="0"/>
          <w:sz w:val="24"/>
          <w:lang w:bidi="ar"/>
        </w:rPr>
        <w:t xml:space="preserve">责任，甲方不承担责任，甲方因此支付费用的，有权向乙方全额追偿。如因地震、洪水、雨雪、冰冻等不可抗拒因素造成人身或文物损伤的，乙方如采取了正确的应急措施，应不负担责任。 </w:t>
      </w:r>
    </w:p>
    <w:p w14:paraId="785C15D4">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4.2.7 乙方在日常的安全巡查和监视中如发现安全问题应及时告知甲方，并及时提醒现场施工人员随时注意滑坡、塌方、水涝、浸湿等风险，采取必要的加固、支撑等安全措施。 若发现有安全隐患，应要求停止施工，待隐患消除后方可开工。 </w:t>
      </w:r>
    </w:p>
    <w:p w14:paraId="61CD0D8B">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4.2.8 对于有临时文物库房的考古驻地，乙方还需对临时文物库房安装监控报警设施并安排保安人员昼夜值守。 </w:t>
      </w:r>
    </w:p>
    <w:p w14:paraId="20CFED04">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4.2.9 乙方的保安人员食宿自理，乙方的人员及临建、围挡和监控等设施发生的一切安全事故等，</w:t>
      </w:r>
      <w:r>
        <w:rPr>
          <w:rFonts w:hint="eastAsia" w:ascii="仿宋" w:hAnsi="仿宋" w:eastAsia="仿宋" w:cs="仿宋"/>
        </w:rPr>
        <w:t>由乙方承担全部责任，</w:t>
      </w:r>
      <w:r>
        <w:rPr>
          <w:rFonts w:hint="eastAsia" w:ascii="仿宋" w:hAnsi="仿宋" w:eastAsia="仿宋" w:cs="仿宋"/>
          <w:color w:val="000000"/>
          <w:kern w:val="0"/>
          <w:sz w:val="24"/>
          <w:lang w:bidi="ar"/>
        </w:rPr>
        <w:t xml:space="preserve">甲方不承担责任，甲方因此支付费用的，有权向乙方全额追偿。 </w:t>
      </w:r>
    </w:p>
    <w:p w14:paraId="6A658E7A">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4.2.10.乙方现场安全管理严格按照陕西省考古研究院组织相关单位制定的《考古工地安全施工规范》（DB61/T 1724-2023）执行，负责作业场地内人员安全及相关人员的安全管理。如作业现场发生人身伤亡或财产损失事故，均由乙方承担全部责任，甲方不承担责任，甲方因此支付费用的，有权向乙方全额追偿。 </w:t>
      </w:r>
    </w:p>
    <w:p w14:paraId="3D155002">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4.2.11 项目完工后清理现场剩余物料和垃圾，保持场地整洁，向甲方提交相关资料。 </w:t>
      </w:r>
    </w:p>
    <w:p w14:paraId="5D48A3DC">
      <w:pPr>
        <w:widowControl/>
        <w:spacing w:line="500" w:lineRule="exact"/>
        <w:jc w:val="left"/>
        <w:rPr>
          <w:rFonts w:hint="eastAsia" w:ascii="仿宋" w:hAnsi="仿宋" w:eastAsia="仿宋" w:cs="仿宋"/>
        </w:rPr>
      </w:pPr>
      <w:r>
        <w:rPr>
          <w:rFonts w:hint="eastAsia" w:ascii="仿宋" w:hAnsi="仿宋" w:eastAsia="仿宋" w:cs="仿宋"/>
          <w:b/>
          <w:bCs/>
          <w:color w:val="000000"/>
          <w:kern w:val="0"/>
          <w:sz w:val="24"/>
          <w:lang w:bidi="ar"/>
        </w:rPr>
        <w:t xml:space="preserve">第五条 违约责任及争议解决 </w:t>
      </w:r>
    </w:p>
    <w:p w14:paraId="4521B77F">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5.1 甲方违约责任</w:t>
      </w:r>
    </w:p>
    <w:p w14:paraId="6D136530">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5.1.1 未按协议约定提供有关资料、数据和工作条件，导致乙方无法按协议约定完成工作任务，甲方承担逾期责任。 </w:t>
      </w:r>
    </w:p>
    <w:p w14:paraId="373F994E">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5.1.2 擅自终止协议，已支付工作经费不得要求返还。 </w:t>
      </w:r>
    </w:p>
    <w:p w14:paraId="5BD3FE20">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5.2 乙方违约责任 </w:t>
      </w:r>
    </w:p>
    <w:p w14:paraId="08717677">
      <w:pPr>
        <w:widowControl/>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5.2.1 逾期未完工，每逾期一日，按已付工作经费的百分之一向甲方支付违约金，同时乙方应继续履行义务。逾期超过 30 日未交付工作成果，</w:t>
      </w:r>
      <w:r>
        <w:rPr>
          <w:rFonts w:hint="eastAsia" w:ascii="仿宋" w:hAnsi="仿宋" w:eastAsia="仿宋" w:cs="仿宋"/>
        </w:rPr>
        <w:t>甲方有权解除协议，</w:t>
      </w:r>
      <w:r>
        <w:rPr>
          <w:rFonts w:hint="eastAsia" w:ascii="仿宋" w:hAnsi="仿宋" w:eastAsia="仿宋" w:cs="仿宋"/>
          <w:color w:val="000000"/>
          <w:kern w:val="0"/>
          <w:sz w:val="24"/>
          <w:lang w:bidi="ar"/>
        </w:rPr>
        <w:t>乙方除返还甲方已支付的费用外还应按照本合同约定总价款的5%向甲方支付违约金。</w:t>
      </w:r>
    </w:p>
    <w:p w14:paraId="0B330147">
      <w:pPr>
        <w:widowControl/>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 xml:space="preserve">5.2.2 擅自终止协议，应退还甲方已支付的工作费用，还应按照本合同约定总价款的5%向甲方支付违约金。 </w:t>
      </w:r>
    </w:p>
    <w:p w14:paraId="00C08B23">
      <w:pPr>
        <w:widowControl/>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 xml:space="preserve">5.2.3 因乙方原因导致泄密，甲方有权终止协议并追究乙方人员法律责任。 </w:t>
      </w:r>
    </w:p>
    <w:p w14:paraId="33649BD2">
      <w:pPr>
        <w:widowControl/>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 xml:space="preserve">5.2.4 乙方在工作过程中不按规范要求进行，被文物保护单位或监管部门提出通报，甲方有权解除合同，造成损失由乙方全部承担，同时乙方应按照本合同约定总价款的5%标准向甲方支付违约金。 </w:t>
      </w:r>
    </w:p>
    <w:p w14:paraId="48BEF0E4">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5.2.5 因本协议履行发生争议，双方应协商解决。协商未果，双方有权向通过项目所在地人民法院诉讼解决。 </w:t>
      </w:r>
    </w:p>
    <w:p w14:paraId="7E53C650">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5.2.6 若乙方与该项目技术服务单位陕西省考古研究院发生争议，由双方自行协商解决，与甲方无关。若因此影响项目推进，甲方有权追究乙方责任。 </w:t>
      </w:r>
    </w:p>
    <w:p w14:paraId="21B1517F">
      <w:pPr>
        <w:widowControl/>
        <w:spacing w:line="500" w:lineRule="exact"/>
        <w:jc w:val="left"/>
        <w:rPr>
          <w:rFonts w:hint="eastAsia" w:ascii="仿宋" w:hAnsi="仿宋" w:eastAsia="仿宋" w:cs="仿宋"/>
        </w:rPr>
      </w:pPr>
      <w:r>
        <w:rPr>
          <w:rFonts w:hint="eastAsia" w:ascii="仿宋" w:hAnsi="仿宋" w:eastAsia="仿宋" w:cs="仿宋"/>
          <w:b/>
          <w:bCs/>
          <w:color w:val="000000"/>
          <w:kern w:val="0"/>
          <w:sz w:val="24"/>
          <w:lang w:bidi="ar"/>
        </w:rPr>
        <w:t xml:space="preserve">第六条 其他 </w:t>
      </w:r>
    </w:p>
    <w:p w14:paraId="4704581C">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 xml:space="preserve">6.1 甲、乙双方应本着积极配合、相互协作、精心组织、保证质量、按期完成的原则开展工作，重大事项双方应共同协商解决。 </w:t>
      </w:r>
    </w:p>
    <w:p w14:paraId="49994BC2">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6.2 本协议</w:t>
      </w:r>
      <w:r>
        <w:rPr>
          <w:rFonts w:hint="eastAsia" w:ascii="仿宋" w:hAnsi="仿宋" w:eastAsia="仿宋" w:cs="仿宋"/>
        </w:rPr>
        <w:t>自甲、乙双方签字并盖章之日起生效</w:t>
      </w:r>
      <w:r>
        <w:rPr>
          <w:rFonts w:hint="eastAsia" w:ascii="仿宋" w:hAnsi="仿宋" w:eastAsia="仿宋" w:cs="仿宋"/>
          <w:color w:val="000000"/>
          <w:kern w:val="0"/>
          <w:sz w:val="24"/>
          <w:lang w:bidi="ar"/>
        </w:rPr>
        <w:t xml:space="preserve">，双方履行完协议规定的义务后，协议终止。 </w:t>
      </w:r>
    </w:p>
    <w:p w14:paraId="16B2BD3F">
      <w:pPr>
        <w:widowControl/>
        <w:spacing w:line="500" w:lineRule="exact"/>
        <w:ind w:firstLine="480" w:firstLineChars="200"/>
        <w:jc w:val="left"/>
        <w:rPr>
          <w:rFonts w:hint="eastAsia" w:ascii="仿宋" w:hAnsi="仿宋" w:eastAsia="仿宋" w:cs="仿宋"/>
        </w:rPr>
      </w:pPr>
      <w:r>
        <w:rPr>
          <w:rFonts w:hint="eastAsia" w:ascii="仿宋" w:hAnsi="仿宋" w:eastAsia="仿宋" w:cs="仿宋"/>
          <w:color w:val="000000"/>
          <w:kern w:val="0"/>
          <w:sz w:val="24"/>
          <w:lang w:bidi="ar"/>
        </w:rPr>
        <w:t>6.3 本合同一式</w:t>
      </w:r>
      <w:r>
        <w:rPr>
          <w:rFonts w:hint="eastAsia" w:ascii="仿宋" w:hAnsi="仿宋" w:eastAsia="仿宋" w:cs="仿宋"/>
          <w:color w:val="000000"/>
          <w:kern w:val="0"/>
          <w:sz w:val="24"/>
          <w:u w:val="single"/>
          <w:lang w:bidi="ar"/>
        </w:rPr>
        <w:t xml:space="preserve">  捌  </w:t>
      </w:r>
      <w:r>
        <w:rPr>
          <w:rFonts w:hint="eastAsia" w:ascii="仿宋" w:hAnsi="仿宋" w:eastAsia="仿宋" w:cs="仿宋"/>
          <w:color w:val="000000"/>
          <w:kern w:val="0"/>
          <w:sz w:val="24"/>
          <w:lang w:bidi="ar"/>
        </w:rPr>
        <w:t>份，均具有同等法律效力，甲方执</w:t>
      </w:r>
      <w:r>
        <w:rPr>
          <w:rFonts w:hint="eastAsia" w:ascii="仿宋" w:hAnsi="仿宋" w:eastAsia="仿宋" w:cs="仿宋"/>
          <w:color w:val="000000"/>
          <w:kern w:val="0"/>
          <w:sz w:val="24"/>
          <w:u w:val="single"/>
          <w:lang w:bidi="ar"/>
        </w:rPr>
        <w:t xml:space="preserve"> 肆 </w:t>
      </w:r>
      <w:r>
        <w:rPr>
          <w:rFonts w:hint="eastAsia" w:ascii="仿宋" w:hAnsi="仿宋" w:eastAsia="仿宋" w:cs="仿宋"/>
          <w:color w:val="000000"/>
          <w:kern w:val="0"/>
          <w:sz w:val="24"/>
          <w:lang w:bidi="ar"/>
        </w:rPr>
        <w:t>份，乙方执</w:t>
      </w:r>
      <w:r>
        <w:rPr>
          <w:rFonts w:hint="eastAsia" w:ascii="仿宋" w:hAnsi="仿宋" w:eastAsia="仿宋" w:cs="仿宋"/>
          <w:color w:val="000000"/>
          <w:kern w:val="0"/>
          <w:sz w:val="24"/>
          <w:u w:val="single"/>
          <w:lang w:bidi="ar"/>
        </w:rPr>
        <w:t xml:space="preserve"> 肆 </w:t>
      </w:r>
      <w:r>
        <w:rPr>
          <w:rFonts w:hint="eastAsia" w:ascii="仿宋" w:hAnsi="仿宋" w:eastAsia="仿宋" w:cs="仿宋"/>
          <w:color w:val="000000"/>
          <w:kern w:val="0"/>
          <w:sz w:val="24"/>
          <w:lang w:bidi="ar"/>
        </w:rPr>
        <w:t xml:space="preserve">份。 </w:t>
      </w:r>
    </w:p>
    <w:p w14:paraId="4FAE97C2">
      <w:pPr>
        <w:widowControl/>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6.4 本合同附件与本合同具有同等法律效力。</w:t>
      </w:r>
    </w:p>
    <w:p w14:paraId="7A871914">
      <w:pPr>
        <w:widowControl/>
        <w:spacing w:line="500" w:lineRule="exact"/>
        <w:jc w:val="left"/>
        <w:rPr>
          <w:rFonts w:hint="eastAsia" w:ascii="仿宋" w:hAnsi="仿宋" w:eastAsia="仿宋" w:cs="仿宋"/>
          <w:color w:val="000000"/>
          <w:kern w:val="0"/>
          <w:sz w:val="24"/>
          <w:lang w:bidi="ar"/>
        </w:rPr>
      </w:pPr>
    </w:p>
    <w:p w14:paraId="4978ABEB">
      <w:pPr>
        <w:widowControl/>
        <w:spacing w:line="500" w:lineRule="exact"/>
        <w:jc w:val="left"/>
        <w:rPr>
          <w:rFonts w:hint="eastAsia" w:ascii="仿宋" w:hAnsi="仿宋" w:eastAsia="仿宋" w:cs="仿宋"/>
          <w:color w:val="000000"/>
          <w:kern w:val="0"/>
          <w:sz w:val="24"/>
          <w:lang w:bidi="ar"/>
        </w:rPr>
      </w:pPr>
    </w:p>
    <w:p w14:paraId="78F07948">
      <w:pPr>
        <w:widowControl/>
        <w:spacing w:line="500" w:lineRule="exact"/>
        <w:jc w:val="left"/>
        <w:rPr>
          <w:rFonts w:hint="eastAsia" w:ascii="仿宋" w:hAnsi="仿宋" w:eastAsia="仿宋" w:cs="仿宋"/>
          <w:color w:val="000000"/>
          <w:kern w:val="0"/>
          <w:sz w:val="24"/>
          <w:lang w:bidi="ar"/>
        </w:rPr>
      </w:pPr>
    </w:p>
    <w:p w14:paraId="12F1C4E5">
      <w:pPr>
        <w:widowControl/>
        <w:spacing w:line="500" w:lineRule="exact"/>
        <w:jc w:val="left"/>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甲方名称（盖章）:                        乙方名称（盖章）: </w:t>
      </w:r>
    </w:p>
    <w:p w14:paraId="0DB677AF">
      <w:pPr>
        <w:widowControl/>
        <w:spacing w:line="500" w:lineRule="exact"/>
        <w:ind w:left="5265" w:leftChars="-7" w:hanging="5280" w:hangingChars="2200"/>
        <w:jc w:val="left"/>
        <w:rPr>
          <w:rFonts w:hint="eastAsia" w:ascii="仿宋" w:hAnsi="仿宋" w:eastAsia="仿宋" w:cs="仿宋"/>
          <w:sz w:val="24"/>
          <w:szCs w:val="24"/>
        </w:rPr>
      </w:pPr>
      <w:r>
        <w:rPr>
          <w:rFonts w:hint="eastAsia" w:ascii="仿宋" w:hAnsi="仿宋" w:eastAsia="仿宋" w:cs="仿宋"/>
          <w:color w:val="000000"/>
          <w:kern w:val="0"/>
          <w:sz w:val="24"/>
          <w:szCs w:val="24"/>
          <w:lang w:bidi="ar"/>
        </w:rPr>
        <w:t>地址：                                   地址：</w:t>
      </w:r>
      <w:r>
        <w:rPr>
          <w:rFonts w:hint="eastAsia" w:ascii="仿宋" w:hAnsi="仿宋" w:eastAsia="仿宋" w:cs="仿宋"/>
          <w:sz w:val="24"/>
          <w:szCs w:val="24"/>
        </w:rPr>
        <w:t xml:space="preserve"> </w:t>
      </w:r>
    </w:p>
    <w:p w14:paraId="4C503246">
      <w:pPr>
        <w:widowControl/>
        <w:spacing w:line="500" w:lineRule="exact"/>
        <w:ind w:left="4620" w:hanging="5280" w:hangingChars="2200"/>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法定代表人或委托代理人（签字）：         法定代表人或委托代理人（签字）：</w:t>
      </w:r>
    </w:p>
    <w:p w14:paraId="4F9F8DEB">
      <w:pPr>
        <w:widowControl/>
        <w:spacing w:line="500" w:lineRule="exact"/>
        <w:ind w:left="5100" w:leftChars="600" w:hanging="3840" w:hangingChars="1600"/>
        <w:jc w:val="left"/>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                            </w:t>
      </w:r>
    </w:p>
    <w:p w14:paraId="3BAA7DAE">
      <w:pPr>
        <w:widowControl/>
        <w:spacing w:line="500" w:lineRule="exact"/>
        <w:ind w:left="5880" w:hanging="6720" w:hangingChars="2800"/>
        <w:jc w:val="left"/>
        <w:rPr>
          <w:rFonts w:hint="eastAsia" w:ascii="仿宋" w:hAnsi="仿宋" w:eastAsia="仿宋" w:cs="仿宋"/>
          <w:sz w:val="24"/>
          <w:szCs w:val="24"/>
        </w:rPr>
      </w:pPr>
      <w:r>
        <w:rPr>
          <w:rFonts w:hint="eastAsia" w:ascii="仿宋" w:hAnsi="仿宋" w:eastAsia="仿宋" w:cs="仿宋"/>
          <w:color w:val="000000"/>
          <w:kern w:val="0"/>
          <w:sz w:val="24"/>
          <w:szCs w:val="24"/>
          <w:lang w:bidi="ar"/>
        </w:rPr>
        <w:t>经办部门：                               开户银行：</w:t>
      </w:r>
      <w:r>
        <w:rPr>
          <w:rFonts w:hint="eastAsia" w:ascii="仿宋" w:hAnsi="仿宋" w:eastAsia="仿宋" w:cs="仿宋"/>
          <w:sz w:val="24"/>
          <w:szCs w:val="24"/>
        </w:rPr>
        <w:t xml:space="preserve"> </w:t>
      </w:r>
    </w:p>
    <w:p w14:paraId="19C1EFB2">
      <w:pPr>
        <w:widowControl/>
        <w:spacing w:line="500" w:lineRule="exact"/>
        <w:ind w:left="6090" w:hanging="6960" w:hangingChars="2900"/>
        <w:jc w:val="left"/>
        <w:rPr>
          <w:rFonts w:hint="eastAsia" w:ascii="仿宋" w:hAnsi="仿宋" w:eastAsia="仿宋" w:cs="仿宋"/>
          <w:sz w:val="24"/>
          <w:szCs w:val="24"/>
        </w:rPr>
      </w:pPr>
      <w:r>
        <w:rPr>
          <w:rFonts w:hint="eastAsia" w:ascii="仿宋" w:hAnsi="仿宋" w:eastAsia="仿宋" w:cs="仿宋"/>
          <w:color w:val="000000"/>
          <w:kern w:val="0"/>
          <w:sz w:val="24"/>
          <w:szCs w:val="24"/>
          <w:lang w:bidi="ar"/>
        </w:rPr>
        <w:t xml:space="preserve">电话：                                   账户账号：  </w:t>
      </w:r>
    </w:p>
    <w:p w14:paraId="0703B5AD">
      <w:pPr>
        <w:widowControl/>
        <w:spacing w:line="500" w:lineRule="exact"/>
        <w:ind w:left="6090" w:leftChars="500" w:hanging="5040" w:hangingChars="2400"/>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 xml:space="preserve">                             </w:t>
      </w:r>
    </w:p>
    <w:p w14:paraId="75A71134">
      <w:pPr>
        <w:widowControl/>
        <w:spacing w:line="360" w:lineRule="auto"/>
        <w:jc w:val="left"/>
        <w:rPr>
          <w:rFonts w:hint="eastAsia" w:ascii="仿宋" w:hAnsi="仿宋" w:eastAsia="仿宋" w:cs="仿宋"/>
          <w:sz w:val="18"/>
          <w:szCs w:val="21"/>
        </w:rPr>
      </w:pPr>
      <w:r>
        <w:rPr>
          <w:rFonts w:hint="eastAsia" w:ascii="仿宋" w:hAnsi="仿宋" w:eastAsia="仿宋" w:cs="仿宋"/>
          <w:color w:val="000000"/>
          <w:kern w:val="0"/>
          <w:szCs w:val="21"/>
          <w:lang w:bidi="ar"/>
        </w:rPr>
        <w:t xml:space="preserve">                               </w:t>
      </w:r>
    </w:p>
    <w:sectPr>
      <w:footerReference r:id="rId3" w:type="default"/>
      <w:pgSz w:w="11906" w:h="16838"/>
      <w:pgMar w:top="1383" w:right="1463" w:bottom="1270" w:left="1800" w:header="851" w:footer="992" w:gutter="0"/>
      <w:pgNumType w:start="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C03BC">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E145DA1">
                          <w:pPr>
                            <w:pStyle w:val="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20L4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mUOG5x4Ocf388/f59/fSPL&#10;LE8foMasx4B5abjxQ06d/IDOzHpQ0eYv8iEYR3FPF3HlkIjIj1bL1arCkMDYfEEc9vQ8REh30luS&#10;jYZGnF4RlR/vIY2pc0qu5vytNgb9vDbuLwdiZg/LvY89ZisNu2FqfOfbE/LpcfANdbjnlJiPDnXN&#10;OzIbcTZ2s3EIUe+7skS5HoQPh4RNlN5yhRF2KowTK+ym7cor8fxesp7+qM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dtC+LIAQAAmQMAAA4AAAAAAAAAAQAgAAAAHgEAAGRycy9lMm9Eb2Mu&#10;eG1sUEsFBgAAAAAGAAYAWQEAAFgFAAAAAA==&#10;">
              <v:fill on="f" focussize="0,0"/>
              <v:stroke on="f"/>
              <v:imagedata o:title=""/>
              <o:lock v:ext="edit" aspectratio="f"/>
              <v:textbox inset="0mm,0mm,0mm,0mm" style="mso-fit-shape-to-text:t;">
                <w:txbxContent>
                  <w:p w14:paraId="5E145DA1">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YjBlNDJmYTIxMDgzMTgwMThjZmUzOWE0ZTE4NTEifQ=="/>
  </w:docVars>
  <w:rsids>
    <w:rsidRoot w:val="001966EE"/>
    <w:rsid w:val="001966EE"/>
    <w:rsid w:val="001F71B3"/>
    <w:rsid w:val="008C4366"/>
    <w:rsid w:val="00CD32AD"/>
    <w:rsid w:val="00FA7B21"/>
    <w:rsid w:val="01DD1E9F"/>
    <w:rsid w:val="02AD361F"/>
    <w:rsid w:val="04754611"/>
    <w:rsid w:val="06345E06"/>
    <w:rsid w:val="068D24D0"/>
    <w:rsid w:val="09BC05EC"/>
    <w:rsid w:val="09E25264"/>
    <w:rsid w:val="0AEA2F37"/>
    <w:rsid w:val="0B527DA5"/>
    <w:rsid w:val="0B730405"/>
    <w:rsid w:val="0C12575D"/>
    <w:rsid w:val="0DDE0D0C"/>
    <w:rsid w:val="0DFD78B7"/>
    <w:rsid w:val="0ECF630A"/>
    <w:rsid w:val="0FDD19F6"/>
    <w:rsid w:val="107515F1"/>
    <w:rsid w:val="11651569"/>
    <w:rsid w:val="11925BE5"/>
    <w:rsid w:val="12353631"/>
    <w:rsid w:val="13806B2E"/>
    <w:rsid w:val="14864931"/>
    <w:rsid w:val="15824427"/>
    <w:rsid w:val="16315EBE"/>
    <w:rsid w:val="167504A0"/>
    <w:rsid w:val="172A5607"/>
    <w:rsid w:val="17481711"/>
    <w:rsid w:val="1A010B41"/>
    <w:rsid w:val="1A5F2FF9"/>
    <w:rsid w:val="1B5468D6"/>
    <w:rsid w:val="1B7725C5"/>
    <w:rsid w:val="1CD87093"/>
    <w:rsid w:val="1DFE7C94"/>
    <w:rsid w:val="1EB60995"/>
    <w:rsid w:val="1EE5391F"/>
    <w:rsid w:val="1EF5217E"/>
    <w:rsid w:val="209D0D1F"/>
    <w:rsid w:val="21313216"/>
    <w:rsid w:val="21E92B41"/>
    <w:rsid w:val="27A504B9"/>
    <w:rsid w:val="28AA0CC0"/>
    <w:rsid w:val="2A21651D"/>
    <w:rsid w:val="3005302E"/>
    <w:rsid w:val="30CB2040"/>
    <w:rsid w:val="30F71D86"/>
    <w:rsid w:val="312E32CE"/>
    <w:rsid w:val="3138414C"/>
    <w:rsid w:val="32F01183"/>
    <w:rsid w:val="333A0650"/>
    <w:rsid w:val="37164F30"/>
    <w:rsid w:val="389651C3"/>
    <w:rsid w:val="3B0D4B34"/>
    <w:rsid w:val="3E344619"/>
    <w:rsid w:val="409A0980"/>
    <w:rsid w:val="418E0823"/>
    <w:rsid w:val="438A0837"/>
    <w:rsid w:val="449A0F4E"/>
    <w:rsid w:val="47FE35A2"/>
    <w:rsid w:val="48513B2C"/>
    <w:rsid w:val="4A225C6E"/>
    <w:rsid w:val="4A2D21BC"/>
    <w:rsid w:val="4B38501D"/>
    <w:rsid w:val="4CDB1F49"/>
    <w:rsid w:val="4E0538DC"/>
    <w:rsid w:val="508F3931"/>
    <w:rsid w:val="50D21A70"/>
    <w:rsid w:val="525A1C21"/>
    <w:rsid w:val="530C1FE7"/>
    <w:rsid w:val="534A3B3F"/>
    <w:rsid w:val="54A454D1"/>
    <w:rsid w:val="550A17D8"/>
    <w:rsid w:val="55BE52A4"/>
    <w:rsid w:val="55FF6494"/>
    <w:rsid w:val="58327CB8"/>
    <w:rsid w:val="597C6A1D"/>
    <w:rsid w:val="59D95C1D"/>
    <w:rsid w:val="5AE20B01"/>
    <w:rsid w:val="5BEB082C"/>
    <w:rsid w:val="5C0F2E1E"/>
    <w:rsid w:val="5D956F7D"/>
    <w:rsid w:val="5E413D91"/>
    <w:rsid w:val="5F5D7942"/>
    <w:rsid w:val="607E307A"/>
    <w:rsid w:val="62A0335F"/>
    <w:rsid w:val="6A4E03BA"/>
    <w:rsid w:val="6AC41FD2"/>
    <w:rsid w:val="6B99520C"/>
    <w:rsid w:val="6BC229B5"/>
    <w:rsid w:val="6C051DF1"/>
    <w:rsid w:val="6DE73F1C"/>
    <w:rsid w:val="6EBC193D"/>
    <w:rsid w:val="6F122AF8"/>
    <w:rsid w:val="6F733D55"/>
    <w:rsid w:val="6FB10D76"/>
    <w:rsid w:val="6FC30AAA"/>
    <w:rsid w:val="6FE078AE"/>
    <w:rsid w:val="71031AA6"/>
    <w:rsid w:val="72021D5D"/>
    <w:rsid w:val="722241AD"/>
    <w:rsid w:val="73117D7E"/>
    <w:rsid w:val="75E83018"/>
    <w:rsid w:val="790F4D60"/>
    <w:rsid w:val="793547C6"/>
    <w:rsid w:val="79EF678B"/>
    <w:rsid w:val="7ABC4A73"/>
    <w:rsid w:val="7ADB314B"/>
    <w:rsid w:val="7CB2612E"/>
    <w:rsid w:val="7DA4016C"/>
    <w:rsid w:val="7EAB552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3342</Words>
  <Characters>3539</Characters>
  <Lines>29</Lines>
  <Paragraphs>8</Paragraphs>
  <TotalTime>0</TotalTime>
  <ScaleCrop>false</ScaleCrop>
  <LinksUpToDate>false</LinksUpToDate>
  <CharactersWithSpaces>4003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2025-07-08T06:30:00Z</dcterms:created>
  <dc:creator>Lenovo</dc:creator>
  <cp:lastModifiedBy>Administrator</cp:lastModifiedBy>
  <dcterms:modified xsi:type="dcterms:W3CDTF">2026-06-12T12:02:00Z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eyJoZGlkIjoiNjMxN2Y2MmM5MjJlNDY0N2QxZWUwY2JjYzM3OWVmYmIiLCJ1c2VySWQiOiI0MzIwMTAzOTUifQ==</vt:lpwstr>
  </property>
  <property fmtid="{D5CDD505-2E9C-101B-9397-08002B2CF9AE}" pid="4" name="ICV">
    <vt:lpwstr>D47BB786A8DE4BF98CEE4D917E80A159_13</vt:lpwstr>
  </property>
</Properties>
</file>