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版本号：SLZB-2026-2320260723001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校舍修缮改造项目弱电工程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SLZB-2026-23</w:t>
      </w:r>
      <w:r>
        <w:br/>
      </w:r>
      <w:r>
        <w:br/>
      </w:r>
      <w:r>
        <w:br/>
      </w:r>
    </w:p>
    <w:p>
      <w:pPr>
        <w:pStyle w:val="null3"/>
        <w:jc w:val="center"/>
        <w:outlineLvl w:val="2"/>
      </w:pPr>
      <w:r>
        <w:rPr>
          <w:rFonts w:ascii="仿宋_GB2312" w:hAnsi="仿宋_GB2312" w:cs="仿宋_GB2312" w:eastAsia="仿宋_GB2312"/>
          <w:sz w:val="28"/>
          <w:b/>
        </w:rPr>
        <w:t>商洛市小学</w:t>
      </w:r>
    </w:p>
    <w:p>
      <w:pPr>
        <w:pStyle w:val="null3"/>
        <w:jc w:val="center"/>
        <w:outlineLvl w:val="2"/>
      </w:pPr>
      <w:r>
        <w:rPr>
          <w:rFonts w:ascii="仿宋_GB2312" w:hAnsi="仿宋_GB2312" w:cs="仿宋_GB2312" w:eastAsia="仿宋_GB2312"/>
          <w:sz w:val="28"/>
          <w:b/>
        </w:rPr>
        <w:t>陕西上洛管理咨询有限公司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陕西上洛管理咨询有限公司</w:t>
      </w:r>
      <w:r>
        <w:rPr>
          <w:rFonts w:ascii="仿宋_GB2312" w:hAnsi="仿宋_GB2312" w:cs="仿宋_GB2312" w:eastAsia="仿宋_GB2312"/>
        </w:rPr>
        <w:t>（以下简称“代理机构”）受</w:t>
      </w:r>
      <w:r>
        <w:rPr>
          <w:rFonts w:ascii="仿宋_GB2312" w:hAnsi="仿宋_GB2312" w:cs="仿宋_GB2312" w:eastAsia="仿宋_GB2312"/>
        </w:rPr>
        <w:t>商洛市小学</w:t>
      </w:r>
      <w:r>
        <w:rPr>
          <w:rFonts w:ascii="仿宋_GB2312" w:hAnsi="仿宋_GB2312" w:cs="仿宋_GB2312" w:eastAsia="仿宋_GB2312"/>
        </w:rPr>
        <w:t>委托，拟对</w:t>
      </w:r>
      <w:r>
        <w:rPr>
          <w:rFonts w:ascii="仿宋_GB2312" w:hAnsi="仿宋_GB2312" w:cs="仿宋_GB2312" w:eastAsia="仿宋_GB2312"/>
        </w:rPr>
        <w:t>校舍修缮改造项目弱电工程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SLZB-2026-23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校舍修缮改造项目弱电工程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商洛市小学校舍修缮改造项目（弱电工程）主 要为小学校区整体办公及教学楼弱电工程及录 像设备、 网络、广播末端及传输设备工程等内容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采购包1（校舍修缮改造项目弱电工程）：属于专门面向中小企业采购。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特殊资格要求：投标人须具备住房和城乡建设主管部门核发的电子与智能化工程专业承包二级及以上资质，同时持有有效的安全生产许可证；拟投入本项目的项目经理须为投标人本单位注册人员，具备机电工程专业二级及以上注册建造师执业证书、有效的建筑施工企业项目负责人安全生产考核合格证书（B 证），且未在其他在建建设工程项目中担任项目负责人。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商洛市商州区西关150号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18991435000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陕西上洛管理咨询有限公司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陕西省商洛市北新街西段黄沙桥十字西北角市投资控股集团6楼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杨万青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15229547755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采购包1：1,786,347.36元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台式计算机、液晶拼接监视器</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交换机、服务器、AP、摄像机、功放、存储等弱电设备</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台式计算机、服务器、交换机、显示器、打印机、多功能一体机、照明灯具</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代理服务费收费标准：参照国家计价格【2002】1980号文件规定的标准计取，在招标工作完成以后，发出中标通知书前，由中标单位一次性付清招标代理费用。</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商洛市小学</w:t>
      </w:r>
      <w:r>
        <w:rPr>
          <w:rFonts w:ascii="仿宋_GB2312" w:hAnsi="仿宋_GB2312" w:cs="仿宋_GB2312" w:eastAsia="仿宋_GB2312"/>
        </w:rPr>
        <w:t>和</w:t>
      </w:r>
      <w:r>
        <w:rPr>
          <w:rFonts w:ascii="仿宋_GB2312" w:hAnsi="仿宋_GB2312" w:cs="仿宋_GB2312" w:eastAsia="仿宋_GB2312"/>
        </w:rPr>
        <w:t>陕西上洛管理咨询有限公司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陕西上洛管理咨询有限公司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商洛市小学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陕西上洛管理咨询有限公司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著作权：因履行本项目所产生的所有图纸、设计、技术文档、软件、报告及其他作品的著作权，归甲方（建设单位）所有。乙方（施工方）可保留副本用于企业内部存档及展示业绩，但不得用于其他商业目的。 专利权： 因履行本项目所产生的任何发明创造，其专利申请权和专利权归甲方所有。乙方享有署名权，并享有在本企业后续项目中免费实施的权利。若甲方许可第三方实施该专利并产生收益，甲方应将收益的 [30%] 支付给乙方作为奖励。</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本项目验收标准以政府采购合同约定为准，同时符合国家法律法规及强制性标准要求。具体包括：（1）《智能建筑工程质量验收规范》（GB 50339-2013）；（2）《综合布线系统工程验收规范》（GB/T 50312）；（3）《建筑弱电工程施工及验收规范》（DB11/T 883-2023）等相关标准；（4）采购文件、投标（响应）文件及合同约定的技术、服务、安全标准。验收标准应包含所有客观、量化指标；不能明确客观标准、涉及主观判断的，可通过在采购人、使用人中开展问卷调查等方式，转化为客观、量化的验收标准。各项验收内容逐项核验，全部合格方判定为整体验收合格。</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联系人：杨万青</w:t>
      </w:r>
    </w:p>
    <w:p>
      <w:pPr>
        <w:pStyle w:val="null3"/>
      </w:pPr>
      <w:r>
        <w:rPr>
          <w:rFonts w:ascii="仿宋_GB2312" w:hAnsi="仿宋_GB2312" w:cs="仿宋_GB2312" w:eastAsia="仿宋_GB2312"/>
        </w:rPr>
        <w:t>联系电话：15229547755</w:t>
      </w:r>
    </w:p>
    <w:p>
      <w:pPr>
        <w:pStyle w:val="null3"/>
      </w:pPr>
      <w:r>
        <w:rPr>
          <w:rFonts w:ascii="仿宋_GB2312" w:hAnsi="仿宋_GB2312" w:cs="仿宋_GB2312" w:eastAsia="仿宋_GB2312"/>
        </w:rPr>
        <w:t>地址：陕西省商洛市商州区北新街西段黄沙桥十字西北角市投资控股集团6楼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1,786,347.36</w:t>
      </w:r>
    </w:p>
    <w:p>
      <w:pPr>
        <w:pStyle w:val="null3"/>
      </w:pPr>
      <w:r>
        <w:rPr>
          <w:rFonts w:ascii="仿宋_GB2312" w:hAnsi="仿宋_GB2312" w:cs="仿宋_GB2312" w:eastAsia="仿宋_GB2312"/>
        </w:rPr>
        <w:t>采购包最高限价（元）: 1,786,347.36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商洛市小学校舍修缮改造项目弱电工程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1,786,347.36</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标的名称：商洛市小学校舍修缮改造项目弱电工程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建设工程施工质量合格率100%标准，按照有关国家现行相关专业验收规范的规定，经有关部门核验，质量必须达到合格等级标准，无任何工程质量事故和工程质量缺陷。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本项目所有施工内容、设备供货、安装调试及系统集成工作，须严格遵守国家、行业现行有效的法律法规、技术规范、施工规程及质量验收标准，全面满足项目设计图纸及招标文件全部技术要求。施工全过程严格执行工程建设强制性条文，规范施工工序、质量管控、安全文明施工及验收流程，确保工程质量、系统性能、安全指标、节能环保标准全部达标，最终一次性通过相关部门及建设单位竣工验收，整体工程质量达到合格及以上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供应商须全面提供本项目深化设计、现场技术指导、技术交底、竣工全套图纸及设备技术资料交付、采购人运维操作人员免费实操培训、系统对接调试、配合分阶段及竣工验收等全流程技术服务；质保期内提供 7×24 小时远程技术支持、限时上门故障维修、定期设备巡检校准及免费软件固件升级服务，项目全生命周期无偿提供技术咨询，对验收过程中提出的技术问题及时完成整改，确保整套系统稳定可靠运行。</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对于工程结算的约定：1.对于投标报价中清单单价的不平衡报价，其报价高于或低于招标上限控制价中清单综合单价的 5%时，工程结算执行招标上限控制价中清单综合单价。拦标价与中标价之间的差额部分由中标人承担。 2.工程竣工结算时，工程量清单项目工程量的变化幅度在10%以内的，其综合单价不做调整，执行原有综合单价；工程量清单项目工程量的变化幅度在 10%以外的，且其影响分部分项工程费超过0.1%的，其综合单价以及对应的措施费(如有)均应做调整。调整的方法是由中标企业对增加的工程量或减少后剩余的工程量提出新的综合单价和措施项目费，经建设单位确认并由建设单位报市财政局审定后调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2024或2025年度经审计的财务报告（包含审计报告和审计报告中所涉及的财务报表和报表附注），②可提供截至资格预审申请文件提交截止日一年内银行出具的资信证明，③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特殊资格要求</w:t>
            </w:r>
          </w:p>
        </w:tc>
        <w:tc>
          <w:tcPr>
            <w:tcW w:type="dxa" w:w="3322"/>
          </w:tcPr>
          <w:p>
            <w:pPr>
              <w:pStyle w:val="null3"/>
            </w:pPr>
            <w:r>
              <w:rPr>
                <w:rFonts w:ascii="仿宋_GB2312" w:hAnsi="仿宋_GB2312" w:cs="仿宋_GB2312" w:eastAsia="仿宋_GB2312"/>
              </w:rPr>
              <w:t>投标人须具备住房和城乡建设主管部门核发的电子与智能化工程专业承包二级及以上资质，同时持有有效的安全生产许可证；拟投入本项目的项目经理须为投标人本单位注册人员，具备机电工程专业二级及以上注册建造师执业证书、有效的建筑施工企业项目负责人安全生产考核合格证书（B 证），且未在其他在建建设工程项目中担任项目负责人。</w:t>
            </w:r>
          </w:p>
        </w:tc>
        <w:tc>
          <w:tcPr>
            <w:tcW w:type="dxa" w:w="1661"/>
          </w:tcPr>
          <w:p>
            <w:pPr>
              <w:pStyle w:val="null3"/>
            </w:pPr>
            <w:r>
              <w:rPr>
                <w:rFonts w:ascii="仿宋_GB2312" w:hAnsi="仿宋_GB2312" w:cs="仿宋_GB2312" w:eastAsia="仿宋_GB2312"/>
              </w:rPr>
              <w:t>供应商应提交的相关资格证明材料 主要人员简历表</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依据招标文件规定，从招标文件的有效性、完整性和对响应文件的响应程度进行审查。出现下列情况之一者，不得进入最终评审环节：（1）供应商的投标报价超过采购预 算或最高限价的；（2）投标文件是否按招标文件要求的数量、语言、计量单位、报价货币及签字盖章；（3）无投标有效期或有效期达不到招标文件要求的；（4）投标文件附加了采购人难以接受的条件或条款的；（5）投标文件未实质性响应招标文件要求的；（6）不符合法律、法规和招标文件中规定的其他实质性要求的。</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类似项目业绩</w:t>
            </w:r>
          </w:p>
        </w:tc>
        <w:tc>
          <w:tcPr>
            <w:tcW w:type="dxa" w:w="2492"/>
          </w:tcPr>
          <w:p>
            <w:pPr>
              <w:pStyle w:val="null3"/>
            </w:pPr>
            <w:r>
              <w:rPr>
                <w:rFonts w:ascii="仿宋_GB2312" w:hAnsi="仿宋_GB2312" w:cs="仿宋_GB2312" w:eastAsia="仿宋_GB2312"/>
              </w:rPr>
              <w:t>供应商自2021 年 1 月 1 日至投标截止之日（以合同签订时间为准）承接的同类业绩（电子与智能化或安防监控或楼宇弱电或智慧园区系统集成类或校园智能化安防施工等项目为同类业绩）；每提供 1 项有效业绩得 5 分，本项最高 10 分。以中标通知书或合同复印件为准。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项目经理（10分）： 具备机电工程专业二级及以上注册建造师资格及有效的安全生产考核合格证书（B类），得6分； 同时具备与本项目相关专业(机电类、信息化类、电子工程类等)中级及以上技术职称的，得10分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技术负责人</w:t>
            </w:r>
          </w:p>
        </w:tc>
        <w:tc>
          <w:tcPr>
            <w:tcW w:type="dxa" w:w="2492"/>
          </w:tcPr>
          <w:p>
            <w:pPr>
              <w:pStyle w:val="null3"/>
            </w:pPr>
            <w:r>
              <w:rPr>
                <w:rFonts w:ascii="仿宋_GB2312" w:hAnsi="仿宋_GB2312" w:cs="仿宋_GB2312" w:eastAsia="仿宋_GB2312"/>
              </w:rPr>
              <w:t>提供本项目技术负责人，得4分；技术负责人具有中级以上职称得6分； 具备与本项目相关专业(机电类、信息化类、电子工程类等)中级及以上技术职称的，得10分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根据项⽬实际需求，提供完整详细的项⽬实施⽅案。内容包含：①项⽬总进度计划②供货组织安排③运输⽅案④安装调试⽅案⑤物⼒调配及保障措施⑥应急保障⽅案。 ⼆、评审标准 1、完整性：⽅案须全⾯，对评审内容中的各项要求有详细描述； 2、可实施性：切合本项⽬实际情况，实施步骤清晰、合理。 三、赋分依据（针对每条评审标准，如存在不合理的⽅⾯扣1分） ①项⽬总进度计划：每完全满⾜⼀个评审标准得1分，满分2分； ②供货组织安排:每完全满⾜⼀个评审标准得1分，满分2分； ③运输⽅案:每完全满⾜⼀个评审标准得1分，满分2分； ④安装调试⽅案:每完全满⾜⼀个评审标准得1分，满分2分； ⑤物⼒调配及保障措施：每完全满⾜⼀个评审标准得1分，满分2分； ⑥应急保障⽅案：每完全满⾜⼀个评审标准得1分，满分2分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关键工序技术措施</w:t>
            </w:r>
          </w:p>
        </w:tc>
        <w:tc>
          <w:tcPr>
            <w:tcW w:type="dxa" w:w="2492"/>
          </w:tcPr>
          <w:p>
            <w:pPr>
              <w:pStyle w:val="null3"/>
            </w:pPr>
            <w:r>
              <w:rPr>
                <w:rFonts w:ascii="仿宋_GB2312" w:hAnsi="仿宋_GB2312" w:cs="仿宋_GB2312" w:eastAsia="仿宋_GB2312"/>
              </w:rPr>
              <w:t>根据关键工序技术措施打分， 针对本项目关键工序，技术方案先进、可靠，有详细的计算书、示意图纸和工艺流程，措施具体且有针对性，得8-10分； 技术方案基本可行，但深度一般，措施针对性不强，得5-7.9分； 方案简单、笼统，缺乏关键技术参数，无法保证工程质量和安全，得2-4.9分； 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⼀、评审内容 根据项⽬实际需求，提供 质量保证⽅案。内容包含： ①产品配套资料及产品性能②质量管理体系及保证措施 ⼆、评审标准 1、完整性：⽅案须全⾯，对评审内容中的各项要求有详细描述； 2、可实施性：切合本项⽬实际情况，实施步骤清晰、合理； 3、针对性：⽅案能够紧扣项⽬实际情况，内容科学合理。 三、赋分依据（针对每条评审标准，如存在不合理的⽅⾯扣0.5分） ①产品配套资料及产品性能：每完全满⾜⼀个评审标准得1.5分，满分4.5分； ②质量管理体系及保证措施:每完全满⾜⼀个评审标准得1.5分，满分4.5分。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施工进度计划与保障及后续维保方案</w:t>
            </w:r>
          </w:p>
        </w:tc>
        <w:tc>
          <w:tcPr>
            <w:tcW w:type="dxa" w:w="2492"/>
          </w:tcPr>
          <w:p>
            <w:pPr>
              <w:pStyle w:val="null3"/>
            </w:pPr>
            <w:r>
              <w:rPr>
                <w:rFonts w:ascii="仿宋_GB2312" w:hAnsi="仿宋_GB2312" w:cs="仿宋_GB2312" w:eastAsia="仿宋_GB2312"/>
              </w:rPr>
              <w:t>施工进度计划与保障及后续维保方案 ：网络图或横道图清晰，关键线路明确，工序衔接紧密，工期保障措施（人力、设备、材料）具体可靠；针对生态修复工程的养护期，提出了具体、量化的养护方案、人员配备和响应机制，承诺内容优于招标文件要求。得7-9分； 计划基本合理，基本的维保承诺，但方案不够具体、保障措施一般，得4-6.9分； 计划不合理，或缺乏有效的保障措施得1-3.9分。 缺项得0分。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以有效投标报价的最低报价为评标基准价，价格为满分30分。其他供应商的价格分统一按照下列公式计算：投标报价得分=（评标基准价/投标总报价）×30（保留两位小数） 报价大于或等于最高限价的按无效标处理。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