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版本号：SXLZ-2026-12720260713001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陕西省2026年中省水利发展资金绩效评价项目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SXLZ-2026-127</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陕西省2026年中省水利发展资金绩效评价项目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陕西省2026年中省水利发展资金绩效评价项目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开展2025年度水利发展资金预算执行、项目决策、项目管理、项目产出、项目效果等方面绩效评估工作。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1、信用查询截图：供应商未被列入信用中国网站(www.creditchina.gov.cn)“重大税收违法失信主体”；未被列入中国执行信息公开网(https://zxgk.court.gov.cn)“失信被执行人”；不处于中国政府采购网(www.ccgp.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p>
      <w:pPr>
        <w:pStyle w:val="null3"/>
      </w:pPr>
      <w:r>
        <w:rPr>
          <w:rFonts w:ascii="仿宋_GB2312" w:hAnsi="仿宋_GB2312" w:cs="仿宋_GB2312" w:eastAsia="仿宋_GB2312"/>
        </w:rPr>
        <w:t>2、法定代表人证明书或授权委托书：提供法定代表人授权书（附法定代表人、被授权人身份证复印件），法定代表人直接参加磋商，须提供法定代表人身份证明及身份证复印件）。</w:t>
      </w:r>
    </w:p>
    <w:p>
      <w:pPr>
        <w:pStyle w:val="null3"/>
      </w:pPr>
      <w:r>
        <w:rPr>
          <w:rFonts w:ascii="仿宋_GB2312" w:hAnsi="仿宋_GB2312" w:cs="仿宋_GB2312" w:eastAsia="仿宋_GB2312"/>
        </w:rPr>
        <w:t>3、非联合体投标：本项目不接受联合体投标，提供非联合体投标声明。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029-61835126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15309270789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经与采购单位协商，根据成交⾦额，参照国家计委颁发的《招标代理服务收费管理暂⾏办法》(计价格〔2002〕1980号)、国家发展和改⾰委员会办公厅颁发的《关于招标代理服务费收费有关问题的通知》及《调整后的招标代理服务收费标准》(发改价格〔2011〕〕534号)规定的95%计取。2.采购代理服务费由成交供应商⽀付，成交供应商领取成交通知书时，须⼀次性向采购代理机构交纳采购代理服务费。3.采购代理服务费账户：公司名称：陕西⻰泽项⽬咨询管理有限公司；账号: 61050111583800000087；开户⾏：中国建设银⾏股份有限公司西安雁塔南路南段⽀⾏。</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2.供应商将在采购项⽬实施过程中采⽤⾃有或者第三⽅知识成果的，使⽤该知识成果后，供应商需提供开发接⼝和开发⼿册等技术资料，并承诺提供⽆限期⽀持，采购⼈享有使⽤权（含采购⼈委托第三⽅在该项⽬后续开发的使⽤权）。3.如采⽤供应商所不拥有的知识产权，则在报价中必须包括合法使⽤该知识产权的相关费⽤。4.构成本采购⽂件的各组成部分，未经采购⼈书⾯同意，供应商不得擅⾃复印或⽤于⾮本采购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联系电话：15309270789</w:t>
      </w:r>
    </w:p>
    <w:p>
      <w:pPr>
        <w:pStyle w:val="null3"/>
      </w:pPr>
      <w:r>
        <w:rPr>
          <w:rFonts w:ascii="仿宋_GB2312" w:hAnsi="仿宋_GB2312" w:cs="仿宋_GB2312" w:eastAsia="仿宋_GB2312"/>
        </w:rPr>
        <w:t>地址：陕西省西安市国家⺠⽤航天产业基地神⾈五路与东⻓安街交汇处东南⻆航天城中⼼⼴场1号楼708</w:t>
      </w:r>
    </w:p>
    <w:p>
      <w:pPr>
        <w:pStyle w:val="null3"/>
      </w:pPr>
      <w:r>
        <w:rPr>
          <w:rFonts w:ascii="仿宋_GB2312" w:hAnsi="仿宋_GB2312" w:cs="仿宋_GB2312" w:eastAsia="仿宋_GB2312"/>
        </w:rPr>
        <w:t>邮编：710100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开展2025年度水利发展资金预算执行、项目决策、项目管理、项目产出、项目效果等方面绩效评估工作。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2,450,000.00</w:t>
      </w:r>
    </w:p>
    <w:p>
      <w:pPr>
        <w:pStyle w:val="null3"/>
      </w:pPr>
      <w:r>
        <w:rPr>
          <w:rFonts w:ascii="仿宋_GB2312" w:hAnsi="仿宋_GB2312" w:cs="仿宋_GB2312" w:eastAsia="仿宋_GB2312"/>
        </w:rPr>
        <w:t>采购包最高限价（元）: 2,450,000.00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陕西省2026年中省水利发展资金绩效评价项目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标的名称：陕西省2026年中省水利发展资金绩效评价项目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1"/>
                <w:b/>
              </w:rPr>
              <w:t>一、服务范围</w:t>
            </w:r>
          </w:p>
          <w:p>
            <w:pPr>
              <w:pStyle w:val="null3"/>
              <w:ind w:firstLine="480"/>
              <w:jc w:val="both"/>
            </w:pPr>
            <w:r>
              <w:rPr>
                <w:rFonts w:ascii="仿宋_GB2312" w:hAnsi="仿宋_GB2312" w:cs="仿宋_GB2312" w:eastAsia="仿宋_GB2312"/>
                <w:sz w:val="21"/>
              </w:rPr>
              <w:t>依据技术标准的指引，结合陕西省具体情况，开展</w:t>
            </w:r>
            <w:r>
              <w:rPr>
                <w:rFonts w:ascii="仿宋_GB2312" w:hAnsi="仿宋_GB2312" w:cs="仿宋_GB2312" w:eastAsia="仿宋_GB2312"/>
                <w:sz w:val="21"/>
              </w:rPr>
              <w:t>2025年度水利发展资金预算执行、项目决策、项目管理、项目产出、项目效果等方面绩效评估工作，对2026年水利发展资金项目进行全方位、全覆盖、全过程的绩效监控辅助评价工作，包括并不限于对各市（区）及厅属单位的水利发展资金项目进行全过程绩效监控及评价（包含项目前期绩效目标分析、项目实施中绩效监控、项目执行中问题分析、自评材料汇总、研判、复核、后期工作支撑及综合分析评价）。具体工作内容如下：</w:t>
            </w:r>
          </w:p>
          <w:p>
            <w:pPr>
              <w:pStyle w:val="null3"/>
              <w:ind w:firstLine="480"/>
              <w:jc w:val="both"/>
            </w:pPr>
            <w:r>
              <w:rPr>
                <w:rFonts w:ascii="仿宋_GB2312" w:hAnsi="仿宋_GB2312" w:cs="仿宋_GB2312" w:eastAsia="仿宋_GB2312"/>
                <w:sz w:val="21"/>
              </w:rPr>
              <w:t>1、中央水利发展资金绩效评价，与中央水利发展资金共同投入到同一项目或政策的地方各级财政资金和其他资金，一并纳入绩效评价范围。</w:t>
            </w:r>
          </w:p>
          <w:p>
            <w:pPr>
              <w:pStyle w:val="null3"/>
              <w:ind w:firstLine="480"/>
              <w:jc w:val="both"/>
            </w:pPr>
            <w:r>
              <w:rPr>
                <w:rFonts w:ascii="仿宋_GB2312" w:hAnsi="仿宋_GB2312" w:cs="仿宋_GB2312" w:eastAsia="仿宋_GB2312"/>
                <w:sz w:val="21"/>
              </w:rPr>
              <w:t>2、省级水利发展资金绩效评价，与省级水利发展资金共同投入到同一项目或政策的地方各级财政资金和其他资金，一并纳入绩效评价范围。</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1"/>
                <w:b/>
              </w:rPr>
              <w:t>二、服务要求</w:t>
            </w:r>
          </w:p>
          <w:p>
            <w:pPr>
              <w:pStyle w:val="null3"/>
              <w:ind w:firstLine="480"/>
              <w:jc w:val="both"/>
            </w:pPr>
            <w:r>
              <w:rPr>
                <w:rFonts w:ascii="仿宋_GB2312" w:hAnsi="仿宋_GB2312" w:cs="仿宋_GB2312" w:eastAsia="仿宋_GB2312"/>
                <w:sz w:val="21"/>
              </w:rPr>
              <w:t>重点工作依据技术标准的指引，结合陕西省具体情况，将本次陕西水利发展资金绩效评价工作中的重要工作内容或环节概括如下：</w:t>
            </w:r>
          </w:p>
          <w:p>
            <w:pPr>
              <w:pStyle w:val="null3"/>
              <w:ind w:firstLine="480"/>
              <w:jc w:val="both"/>
            </w:pPr>
            <w:r>
              <w:rPr>
                <w:rFonts w:ascii="仿宋_GB2312" w:hAnsi="仿宋_GB2312" w:cs="仿宋_GB2312" w:eastAsia="仿宋_GB2312"/>
                <w:sz w:val="21"/>
              </w:rPr>
              <w:t>1、资料收集分析。一是收集整理分析财政部、水利部以及陕西省财政、水利部门省级水利发展资金、任务量相关下达文件和资料，批复的省市县级绩效目标，以省级水利发展资金为主要资金渠道的有关规划或实施方案。二是收集整理省市县级水利建设实施完成情况，预算绩效管理相关文件等，预算绩效管理工作开展情况等。三是收集整理相关检查、考核等资料。</w:t>
            </w:r>
          </w:p>
          <w:p>
            <w:pPr>
              <w:pStyle w:val="null3"/>
              <w:ind w:firstLine="480"/>
              <w:jc w:val="both"/>
            </w:pPr>
            <w:r>
              <w:rPr>
                <w:rFonts w:ascii="仿宋_GB2312" w:hAnsi="仿宋_GB2312" w:cs="仿宋_GB2312" w:eastAsia="仿宋_GB2312"/>
                <w:sz w:val="21"/>
              </w:rPr>
              <w:t>2、自评材料复核。由陕西省水利厅、财政厅及第三方公司组成评价工作组，对省本级及各市县绩效自评材料开展复核，主要包括绩效自评材料内业复核和抽查县现场复核。</w:t>
            </w:r>
          </w:p>
          <w:p>
            <w:pPr>
              <w:pStyle w:val="null3"/>
              <w:ind w:firstLine="480"/>
              <w:jc w:val="both"/>
            </w:pPr>
            <w:r>
              <w:rPr>
                <w:rFonts w:ascii="仿宋_GB2312" w:hAnsi="仿宋_GB2312" w:cs="仿宋_GB2312" w:eastAsia="仿宋_GB2312"/>
                <w:sz w:val="21"/>
              </w:rPr>
              <w:t>3、后期工作支撑。按照内业复核和抽查县现场复核结合，形成并下发水利厅各业务处室“一处一单”，以及市县两级的“一市一单”和“一县一单”，在各处室、市县水利局反馈后，完善相关评价结果。</w:t>
            </w:r>
          </w:p>
          <w:p>
            <w:pPr>
              <w:pStyle w:val="null3"/>
              <w:ind w:firstLine="480"/>
              <w:jc w:val="both"/>
            </w:pPr>
            <w:r>
              <w:rPr>
                <w:rFonts w:ascii="仿宋_GB2312" w:hAnsi="仿宋_GB2312" w:cs="仿宋_GB2312" w:eastAsia="仿宋_GB2312"/>
                <w:sz w:val="21"/>
              </w:rPr>
              <w:t>4、综合分析评价。根据内业复核、现场复核以及各单位反馈后掌握的情况，对省级水利发展资金绩效情况进行全面的定量、定性分析和综合评价，按照绩效评价指标体系及评分标准，统一标准，量化打分，形成省级综合评价结论，并逐一复核省级最终得分，形成陕西省年度省级水利发展资金绩效自评报告、绩效自评表及项目实施情况汇总表、相关证明材料等绩效自评材料。</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sz w:val="21"/>
                <w:b/>
              </w:rPr>
              <w:t>三、服务标准</w:t>
            </w:r>
          </w:p>
          <w:p>
            <w:pPr>
              <w:pStyle w:val="null3"/>
              <w:ind w:firstLine="480"/>
              <w:jc w:val="both"/>
            </w:pPr>
            <w:r>
              <w:rPr>
                <w:rFonts w:ascii="仿宋_GB2312" w:hAnsi="仿宋_GB2312" w:cs="仿宋_GB2312" w:eastAsia="仿宋_GB2312"/>
                <w:sz w:val="21"/>
              </w:rPr>
              <w:t>满足国家、行业相关规定、规范，并通过采购人组织的验收。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满⾜磋商⽂件及采购⼈要求。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应负责在项目验收前将项目过程中产生的全部资料整理归档，并提交至采购方。2、对整个项目的验收包括是否实现了采购人在响应文件中所要求的服务内容，是否与成交单位提出的解决方案完全一致。3、本项目的最终验收由采购人、成交单位共同进行。4、验收依据：合同文本及合同补充文件（条款）；竞争性磋商文件；竞争性磋商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进度款，提交初步成果并通过初验后，达到付款条件起10个工作日内，支付合同总金额的60.0%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未按照合同要求提供服务或服务质量不能满足服务要求和标准，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根据采购⽂件要求及合同约定执⾏；事业单位参与投标时，可不提供社会保障资⾦和税收缴纳证明；依法免税或不需要缴纳社会保障资⾦的供应商，应提供相应证明⽂件，证明其依法免税或不需要缴纳社会保障资⾦；⾃然⼈（仅限中国公⺠）参与投标时，只须提供⾝份证复印件。2.为顺利推进政府采购电⼦化交易平台应⽤⼯作，供应商需要在线提交所有通过电⼦化交易平台实施的政府采购项⽬的响应⽂件，确定成交后，根据采购⼈要求，成交供应商向代理机构提交纸质版磋商响应⽂件⽤于项⽬存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 应提供其有效的登记证书复印件；（5）供应商是个体工商户的，应提供其有效的“营业执照”复印件；（6）供应商是自然人的，应提供其有效的自然人身份证明复印件。 2、提供可满足履行合同所需设备和专业技术能力的证明材料或承诺。 3、提供响应文件递交截止时间前六个月内至少一个月的纳税证明或完税证明，依法免税的单位应提供相关证明材料；时间以税款所属时期为准。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②无论开具银行是否标明“复印无效”，供应商提供的复印件在本次投标中予以认可 (即不因 “复印无效”字样而认定资信证明复印件无效）。③银行出具的存款证明不能替代银行资信证明。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信用查询截图</w:t>
            </w:r>
          </w:p>
        </w:tc>
        <w:tc>
          <w:tcPr>
            <w:tcW w:type="dxa" w:w="3322"/>
          </w:tcPr>
          <w:p>
            <w:pPr>
              <w:pStyle w:val="null3"/>
            </w:pPr>
            <w:r>
              <w:rPr>
                <w:rFonts w:ascii="仿宋_GB2312" w:hAnsi="仿宋_GB2312" w:cs="仿宋_GB2312" w:eastAsia="仿宋_GB2312"/>
              </w:rPr>
              <w:t>供应商未被列入信用中国网站(www.creditchina.gov.cn)“重大税收违法失信主体”；未被列入中国执行信息公开网(https://zxgk.court.gov.cn)“失信被执行人”；不处于中国政府采购网(www.ccgp. gov.cn)“政府采购严重违法失信行为信息记录”中的禁止参加政府采购活动期间。</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磋商响应⽂件格式</w:t>
            </w:r>
          </w:p>
        </w:tc>
        <w:tc>
          <w:tcPr>
            <w:tcW w:type="dxa" w:w="3322"/>
          </w:tcPr>
          <w:p>
            <w:pPr>
              <w:pStyle w:val="null3"/>
            </w:pPr>
            <w:r>
              <w:rPr>
                <w:rFonts w:ascii="仿宋_GB2312" w:hAnsi="仿宋_GB2312" w:cs="仿宋_GB2312" w:eastAsia="仿宋_GB2312"/>
              </w:rPr>
              <w:t>应符合“竞争性磋商响应⽂件格式”要求（不得因⽂件排序限制和影响供应商响应）。</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磋商响应⽂件的签署盖章应符合竞争性磋商响应⽂件要求。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磋商报价符合唯⼀性要求、响应报价表填写符合要求、报价货币符合磋商⽂件要求、报价数量与要求符合并未出现漏项、未超出采购预算和磋商⽂件规定的各分项最⾼限价；只能有⼀个有效报价，不得提交选择性报价，按要求提交⼆次或多次报价，且每轮报价不超过采购预算⾦额或最⾼限价或磋商⼩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磋商响应⽂件内容</w:t>
            </w:r>
          </w:p>
        </w:tc>
        <w:tc>
          <w:tcPr>
            <w:tcW w:type="dxa" w:w="3322"/>
          </w:tcPr>
          <w:p>
            <w:pPr>
              <w:pStyle w:val="null3"/>
            </w:pPr>
            <w:r>
              <w:rPr>
                <w:rFonts w:ascii="仿宋_GB2312" w:hAnsi="仿宋_GB2312" w:cs="仿宋_GB2312" w:eastAsia="仿宋_GB2312"/>
              </w:rPr>
              <w:t>磋商响应⽂件内容符合磋商⽂件要求；磋商响应⽂件中项⽬名称、项⽬编号与本项⽬⼀致；磋商响应⽂件⾄少包括：（1）响应函、（2）响应报价表、（3）供应商资格证明、（4）采购需求偏离表、（5）供应商承诺书。</w:t>
            </w:r>
          </w:p>
        </w:tc>
        <w:tc>
          <w:tcPr>
            <w:tcW w:type="dxa" w:w="1661"/>
          </w:tcPr>
          <w:p>
            <w:pPr>
              <w:pStyle w:val="null3"/>
            </w:pPr>
            <w:r>
              <w:rPr>
                <w:rFonts w:ascii="仿宋_GB2312" w:hAnsi="仿宋_GB2312" w:cs="仿宋_GB2312" w:eastAsia="仿宋_GB2312"/>
              </w:rPr>
              <w:t>采购需求偏离表.pdf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应满⾜磋商⽂件中的规定。</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应满⾜磋商⽂件中要求的服务期限。</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对磋商⽂件条款响应</w:t>
            </w:r>
          </w:p>
        </w:tc>
        <w:tc>
          <w:tcPr>
            <w:tcW w:type="dxa" w:w="3322"/>
          </w:tcPr>
          <w:p>
            <w:pPr>
              <w:pStyle w:val="null3"/>
            </w:pPr>
            <w:r>
              <w:rPr>
                <w:rFonts w:ascii="仿宋_GB2312" w:hAnsi="仿宋_GB2312" w:cs="仿宋_GB2312" w:eastAsia="仿宋_GB2312"/>
              </w:rPr>
              <w:t>要求实质性条款全部响应，不能有采购⼈不能接受的附加条件，未有负偏离且响应的内容未含有采购⼈不能接受的附加条件。</w:t>
            </w:r>
          </w:p>
        </w:tc>
        <w:tc>
          <w:tcPr>
            <w:tcW w:type="dxa" w:w="1661"/>
          </w:tcPr>
          <w:p>
            <w:pPr>
              <w:pStyle w:val="null3"/>
            </w:pPr>
            <w:r>
              <w:rPr>
                <w:rFonts w:ascii="仿宋_GB2312" w:hAnsi="仿宋_GB2312" w:cs="仿宋_GB2312" w:eastAsia="仿宋_GB2312"/>
              </w:rPr>
              <w:t>采购需求偏离表.pdf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供应商根据采购需求编制对本项目的理解及认识方案，内容包含：①项目背景分析；②项目基本情况；③项目重难点分析；④项目目标的理解。以上内容专门针对本项目且符合本项目实际需求的得8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供应商针对本项目工作方案及内容，内容包含： ①工作思路；②工作依据及原则；③工作范围；④工作方法；⑤主要工作内容。以上内容专门针对本项目且符合本项目实际需求的得15分，每缺一项内容扣3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供应商提供针对本项目的质量保障措施方案，内容包括但不限于：①质量管理体系；②质量保障措施；③成果保障措施等。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供应商提供针对本项目的项目进度及保障措施，内容包括但不限于：①项目实施进度目标分析；②提供合理的工作计划及时间节点；③项目进度保障措施等。 以上内容专门针对本项目且符合本项目实际需求的得6分，每缺一项内容扣2分，若上述内容存在瑕疵，每存在1处瑕疵扣1分，扣完为止。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根据本项目采购需求编制针对性保密措施方案，有相应的保障细则，内容包含：①保密范围；②保密方式；③措施；④保密工作制度。以上内容专门针对本项目且符合本项目实际需求的得4分，每缺一项内容扣1分，若上述内容存在瑕疵，每存在1处瑕疵扣0.5分，扣完为止。 【注：“瑕疵”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具备相关专业高级职称的得4分，中级职称得2分，其余不得分。 【注：(1)响应文件中须提供项目负责人职称证书等复印件并加盖单位公章。（2）相关专业包括但不限于水利类（水利水电、水利工程、水文水资源）、财务审计经济类中的任意一种。】</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团队服务人员（除项目负责人）具备与本项目相关专业高级技术职称证书，每提供1人得2分；具备与本项目相关专业中级技术职称证书，每提供1人得1分，满分10分。 【注：（1）响应文件中须提供项目团队人员职称证书等复印件并加盖单位公章。（2）相关专业包括但不限于水利类（水利水电、水利工程、水文水资源）、财务审计经济类中的任意一种，同一人员不重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服务响应保障</w:t>
            </w:r>
          </w:p>
        </w:tc>
        <w:tc>
          <w:tcPr>
            <w:tcW w:type="dxa" w:w="2492"/>
          </w:tcPr>
          <w:p>
            <w:pPr>
              <w:pStyle w:val="null3"/>
            </w:pPr>
            <w:r>
              <w:rPr>
                <w:rFonts w:ascii="仿宋_GB2312" w:hAnsi="仿宋_GB2312" w:cs="仿宋_GB2312" w:eastAsia="仿宋_GB2312"/>
              </w:rPr>
              <w:t>供应商针对本项目提供正式有效的售后服务响应机制承诺，明确承诺：1.紧急技术问题（成果文件错漏、专家评审在即、行政主管部门核查）（4分）：承诺1小时内专人对接响应，提供7×12小时联络热线、项目专属工作群，满足得满分4分；仅承诺2小时及以内响应得50%分值2分；承诺超过2小时不得分；未提供固定联络渠道证明扣全部分值。2.一般咨询、资料修正需求（2分）：承诺2小时内出具修改思路/回复意见得满分2分；承诺4小时及以内得50%分值1分，超出4小时不得分。3.现场技术支撑服务（2分）：承诺市区4小时、县域12小时技术人员到场服务，满足得满分2分；到场时限标准放宽得1分；未承诺现场应急服务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售后闭环管理</w:t>
            </w:r>
          </w:p>
        </w:tc>
        <w:tc>
          <w:tcPr>
            <w:tcW w:type="dxa" w:w="2492"/>
          </w:tcPr>
          <w:p>
            <w:pPr>
              <w:pStyle w:val="null3"/>
            </w:pPr>
            <w:r>
              <w:rPr>
                <w:rFonts w:ascii="仿宋_GB2312" w:hAnsi="仿宋_GB2312" w:cs="仿宋_GB2312" w:eastAsia="仿宋_GB2312"/>
              </w:rPr>
              <w:t>承诺建立标准化售后服务台账，完整记录时间、问题内容、处置人员、整改结果、甲方确认记录，资料统一归档留存备查，提供台账模板、档案管理制度得满分6分；无台账扣3分，无归档制度扣3分。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1.服务质量目标承诺（3分）：供应商提供针对本项目的服务质量管控标准、质量目标、质量验收、整改保障等专项承诺，承诺完整并加盖公章得3分，未提供或不完整不得分。2. 服务进度目标承诺（3分）：供应商提供针对本项目的服务服务期限节点、进度管控、进度保障、逾期补救措施等专项承诺，承诺完整并加盖公章得3分，未提供或不完整不得分。 3. 服务安全目标承诺（2分）：投标人提供针对本项目的作业安全、人员安全、风险防控等专项承诺，承诺完整并加盖公章得2分，未提供或不完整不得分。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 2021 年 1 月 1 日至响应文件递交截止之日供应商完成的类似项目，每提供一份得2分，满分10分。 【注：以合同协议书关键页或中标通知书证明为准，提供扫描件并加盖鲜章。】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 2.满足磋商文件要求且投标报价最低的为评标基准价，其价格分为满分。 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详见附件：采购需求偏离表.pdf</w:t>
      </w:r>
    </w:p>
    <w:p>
      <w:pPr>
        <w:pStyle w:val="null3"/>
        <w:ind w:firstLine="960"/>
      </w:pPr>
      <w:r>
        <w:rPr>
          <w:rFonts w:ascii="仿宋_GB2312" w:hAnsi="仿宋_GB2312" w:cs="仿宋_GB2312" w:eastAsia="仿宋_GB2312"/>
        </w:rPr>
        <w:t>详见附件：磋商方案.pdf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