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87B28">
      <w:pPr>
        <w:spacing w:after="120"/>
        <w:jc w:val="center"/>
        <w:rPr>
          <w:rFonts w:hint="eastAsia" w:ascii="宋体" w:hAnsi="宋体" w:eastAsia="宋体" w:cs="宋体"/>
          <w:color w:val="333333"/>
          <w:kern w:val="0"/>
          <w:sz w:val="24"/>
          <w:shd w:val="clear" w:color="auto" w:fill="FFFFFF"/>
          <w:lang w:eastAsia="zh-CN" w:bidi="ar"/>
        </w:rPr>
      </w:pPr>
      <w:r>
        <w:rPr>
          <w:rFonts w:hint="eastAsia" w:ascii="宋体" w:hAnsi="宋体" w:eastAsia="宋体" w:cs="宋体"/>
          <w:b/>
          <w:bCs/>
          <w:color w:val="333333"/>
          <w:kern w:val="0"/>
          <w:sz w:val="36"/>
          <w:szCs w:val="36"/>
          <w:shd w:val="clear" w:color="auto" w:fill="FFFFFF"/>
          <w:lang w:bidi="ar"/>
        </w:rPr>
        <w:t>服务应答表</w:t>
      </w:r>
    </w:p>
    <w:p w14:paraId="5EB137F9">
      <w:pPr>
        <w:spacing w:line="480" w:lineRule="auto"/>
        <w:jc w:val="left"/>
        <w:rPr>
          <w:rFonts w:hint="default" w:ascii="宋体" w:hAnsi="宋体" w:eastAsia="宋体" w:cs="宋体"/>
          <w:sz w:val="24"/>
          <w:u w:val="single"/>
          <w:lang w:val="en-US" w:eastAsia="zh-CN"/>
        </w:rPr>
      </w:pPr>
      <w:r>
        <w:rPr>
          <w:rFonts w:hint="eastAsia" w:ascii="宋体" w:hAnsi="宋体" w:eastAsia="宋体" w:cs="宋体"/>
          <w:sz w:val="24"/>
        </w:rPr>
        <w:t>项目名称：</w:t>
      </w:r>
      <w:r>
        <w:rPr>
          <w:rFonts w:hint="eastAsia" w:ascii="宋体" w:hAnsi="宋体" w:eastAsia="宋体" w:cs="宋体"/>
          <w:sz w:val="24"/>
          <w:u w:val="single"/>
          <w:lang w:val="en-US" w:eastAsia="zh-CN"/>
        </w:rPr>
        <w:t xml:space="preserve">                                    </w:t>
      </w:r>
    </w:p>
    <w:p w14:paraId="37EC9D9E">
      <w:pPr>
        <w:spacing w:after="120"/>
        <w:rPr>
          <w:rFonts w:hint="eastAsia" w:ascii="宋体" w:hAnsi="宋体" w:eastAsia="宋体" w:cs="宋体"/>
          <w:sz w:val="24"/>
          <w:szCs w:val="24"/>
          <w:lang w:eastAsia="zh-CN"/>
        </w:rPr>
      </w:pP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p>
    <w:tbl>
      <w:tblPr>
        <w:tblStyle w:val="4"/>
        <w:tblpPr w:leftFromText="180" w:rightFromText="180" w:vertAnchor="text" w:horzAnchor="page" w:tblpX="1687" w:tblpY="418"/>
        <w:tblOverlap w:val="never"/>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3405"/>
        <w:gridCol w:w="2485"/>
        <w:gridCol w:w="1312"/>
        <w:gridCol w:w="902"/>
      </w:tblGrid>
      <w:tr w14:paraId="1C81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899" w:type="dxa"/>
            <w:vAlign w:val="center"/>
          </w:tcPr>
          <w:p w14:paraId="7E33CA10">
            <w:pPr>
              <w:pStyle w:val="2"/>
              <w:tabs>
                <w:tab w:val="left" w:pos="6880"/>
              </w:tabs>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序号</w:t>
            </w:r>
          </w:p>
        </w:tc>
        <w:tc>
          <w:tcPr>
            <w:tcW w:w="3405" w:type="dxa"/>
            <w:vAlign w:val="center"/>
          </w:tcPr>
          <w:p w14:paraId="2C5EED33">
            <w:pPr>
              <w:pStyle w:val="2"/>
              <w:tabs>
                <w:tab w:val="left" w:pos="6880"/>
              </w:tabs>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磋商文件要求</w:t>
            </w:r>
          </w:p>
        </w:tc>
        <w:tc>
          <w:tcPr>
            <w:tcW w:w="2485" w:type="dxa"/>
            <w:vAlign w:val="center"/>
          </w:tcPr>
          <w:p w14:paraId="0D1A4915">
            <w:pPr>
              <w:pStyle w:val="2"/>
              <w:tabs>
                <w:tab w:val="left" w:pos="6880"/>
              </w:tabs>
              <w:spacing w:line="360" w:lineRule="auto"/>
              <w:ind w:firstLine="110" w:firstLineChars="50"/>
              <w:jc w:val="center"/>
              <w:rPr>
                <w:rFonts w:hint="eastAsia" w:ascii="宋体" w:hAnsi="宋体" w:eastAsia="宋体" w:cs="宋体"/>
                <w:kern w:val="0"/>
                <w:sz w:val="22"/>
                <w:szCs w:val="22"/>
              </w:rPr>
            </w:pPr>
            <w:r>
              <w:rPr>
                <w:rFonts w:hint="eastAsia" w:ascii="宋体" w:hAnsi="宋体" w:eastAsia="宋体" w:cs="宋体"/>
                <w:kern w:val="0"/>
                <w:sz w:val="22"/>
                <w:szCs w:val="22"/>
              </w:rPr>
              <w:t>磋商响应文件的应答</w:t>
            </w:r>
          </w:p>
        </w:tc>
        <w:tc>
          <w:tcPr>
            <w:tcW w:w="1312" w:type="dxa"/>
            <w:vAlign w:val="center"/>
          </w:tcPr>
          <w:p w14:paraId="1EA320F1">
            <w:pPr>
              <w:pStyle w:val="2"/>
              <w:tabs>
                <w:tab w:val="left" w:pos="6880"/>
              </w:tabs>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响应/偏离</w:t>
            </w:r>
          </w:p>
        </w:tc>
        <w:tc>
          <w:tcPr>
            <w:tcW w:w="902" w:type="dxa"/>
            <w:vAlign w:val="center"/>
          </w:tcPr>
          <w:p w14:paraId="76AB0553">
            <w:pPr>
              <w:pStyle w:val="2"/>
              <w:tabs>
                <w:tab w:val="left" w:pos="6880"/>
              </w:tabs>
              <w:spacing w:line="360" w:lineRule="auto"/>
              <w:ind w:firstLine="0" w:firstLineChars="0"/>
              <w:jc w:val="center"/>
              <w:rPr>
                <w:rFonts w:hint="eastAsia" w:ascii="宋体" w:hAnsi="宋体" w:eastAsia="宋体" w:cs="宋体"/>
                <w:kern w:val="0"/>
                <w:sz w:val="22"/>
                <w:szCs w:val="22"/>
              </w:rPr>
            </w:pPr>
            <w:r>
              <w:rPr>
                <w:rFonts w:hint="eastAsia" w:ascii="宋体" w:hAnsi="宋体" w:eastAsia="宋体" w:cs="宋体"/>
                <w:kern w:val="0"/>
                <w:sz w:val="22"/>
                <w:szCs w:val="22"/>
              </w:rPr>
              <w:t>备注</w:t>
            </w:r>
          </w:p>
        </w:tc>
      </w:tr>
      <w:tr w14:paraId="4E2D4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899" w:type="dxa"/>
            <w:vAlign w:val="center"/>
          </w:tcPr>
          <w:p w14:paraId="546E93E7">
            <w:pPr>
              <w:pStyle w:val="2"/>
              <w:tabs>
                <w:tab w:val="left" w:pos="34"/>
              </w:tabs>
              <w:spacing w:line="360" w:lineRule="auto"/>
              <w:ind w:left="-108" w:firstLine="0" w:firstLineChars="0"/>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w:t>
            </w:r>
          </w:p>
        </w:tc>
        <w:tc>
          <w:tcPr>
            <w:tcW w:w="3405" w:type="dxa"/>
            <w:vAlign w:val="center"/>
          </w:tcPr>
          <w:p w14:paraId="216B54C3">
            <w:pPr>
              <w:pStyle w:val="2"/>
              <w:tabs>
                <w:tab w:val="left" w:pos="6880"/>
              </w:tabs>
              <w:spacing w:line="240" w:lineRule="auto"/>
              <w:ind w:left="0" w:leftChars="0" w:firstLine="0" w:firstLineChars="0"/>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一、项目概况</w:t>
            </w:r>
          </w:p>
          <w:p w14:paraId="13EFE20C">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highlight w:val="none"/>
                <w:lang w:val="en-US" w:eastAsia="zh-CN"/>
              </w:rPr>
              <w:t>采购项目服务区域：蓝田县人民法院机关、4个人民法庭（蓝关人民法庭、鹿塬人民法庭、玉山人民法庭、汤峪人民法庭）。</w:t>
            </w:r>
          </w:p>
        </w:tc>
        <w:tc>
          <w:tcPr>
            <w:tcW w:w="2485" w:type="dxa"/>
            <w:vAlign w:val="center"/>
          </w:tcPr>
          <w:p w14:paraId="2AB59114">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5DF5D6AE">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25DDC06D">
            <w:pPr>
              <w:pStyle w:val="2"/>
              <w:tabs>
                <w:tab w:val="left" w:pos="6880"/>
              </w:tabs>
              <w:spacing w:line="360" w:lineRule="auto"/>
              <w:ind w:firstLine="480"/>
              <w:rPr>
                <w:rFonts w:hint="eastAsia" w:ascii="宋体" w:hAnsi="宋体" w:eastAsia="宋体" w:cs="宋体"/>
                <w:kern w:val="0"/>
                <w:sz w:val="22"/>
                <w:szCs w:val="22"/>
              </w:rPr>
            </w:pPr>
          </w:p>
        </w:tc>
      </w:tr>
      <w:tr w14:paraId="3A0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899" w:type="dxa"/>
            <w:vAlign w:val="center"/>
          </w:tcPr>
          <w:p w14:paraId="1D4059A6">
            <w:pPr>
              <w:pStyle w:val="2"/>
              <w:tabs>
                <w:tab w:val="left" w:pos="34"/>
              </w:tabs>
              <w:spacing w:line="360" w:lineRule="auto"/>
              <w:ind w:left="-108" w:firstLine="0" w:firstLineChars="0"/>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w:t>
            </w:r>
          </w:p>
        </w:tc>
        <w:tc>
          <w:tcPr>
            <w:tcW w:w="3405" w:type="dxa"/>
            <w:vAlign w:val="top"/>
          </w:tcPr>
          <w:p w14:paraId="2631ED51">
            <w:pPr>
              <w:pStyle w:val="6"/>
              <w:spacing w:line="360" w:lineRule="auto"/>
              <w:jc w:val="both"/>
              <w:rPr>
                <w:rFonts w:hint="eastAsia" w:ascii="宋体" w:hAnsi="宋体" w:eastAsia="宋体" w:cs="宋体"/>
                <w:b/>
                <w:bCs/>
                <w:sz w:val="22"/>
                <w:szCs w:val="22"/>
                <w:highlight w:val="none"/>
                <w:lang w:eastAsia="zh-CN"/>
              </w:rPr>
            </w:pPr>
            <w:r>
              <w:rPr>
                <w:rFonts w:hint="eastAsia" w:ascii="宋体" w:hAnsi="宋体" w:eastAsia="宋体" w:cs="宋体"/>
                <w:b/>
                <w:bCs/>
                <w:sz w:val="22"/>
                <w:szCs w:val="22"/>
                <w:highlight w:val="none"/>
                <w:lang w:eastAsia="zh-CN"/>
              </w:rPr>
              <w:t>二、服务内容</w:t>
            </w:r>
          </w:p>
          <w:p w14:paraId="752B87C2">
            <w:pPr>
              <w:pStyle w:val="6"/>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sz w:val="22"/>
                <w:szCs w:val="22"/>
                <w:highlight w:val="none"/>
              </w:rPr>
            </w:pPr>
            <w:r>
              <w:rPr>
                <w:rFonts w:hint="eastAsia" w:ascii="宋体" w:hAnsi="宋体" w:eastAsia="宋体" w:cs="宋体"/>
                <w:sz w:val="22"/>
                <w:szCs w:val="22"/>
                <w:highlight w:val="none"/>
              </w:rPr>
              <w:t>本项目采购内容为</w:t>
            </w:r>
            <w:r>
              <w:rPr>
                <w:rFonts w:hint="eastAsia" w:ascii="宋体" w:hAnsi="宋体" w:eastAsia="宋体" w:cs="宋体"/>
                <w:sz w:val="22"/>
                <w:szCs w:val="22"/>
                <w:highlight w:val="none"/>
                <w:lang w:eastAsia="zh-CN"/>
              </w:rPr>
              <w:t>蓝田法院案件</w:t>
            </w:r>
            <w:r>
              <w:rPr>
                <w:rFonts w:hint="eastAsia" w:ascii="宋体" w:hAnsi="宋体" w:eastAsia="宋体" w:cs="宋体"/>
                <w:sz w:val="22"/>
                <w:szCs w:val="22"/>
                <w:highlight w:val="none"/>
              </w:rPr>
              <w:t>全流程电子卷宗随案同步</w:t>
            </w:r>
            <w:r>
              <w:rPr>
                <w:rFonts w:hint="eastAsia" w:ascii="宋体" w:hAnsi="宋体" w:eastAsia="宋体" w:cs="宋体"/>
                <w:sz w:val="22"/>
                <w:szCs w:val="22"/>
                <w:highlight w:val="none"/>
                <w:lang w:eastAsia="zh-CN"/>
              </w:rPr>
              <w:t>服务</w:t>
            </w:r>
            <w:r>
              <w:rPr>
                <w:rFonts w:hint="eastAsia" w:ascii="宋体" w:hAnsi="宋体" w:eastAsia="宋体" w:cs="宋体"/>
                <w:sz w:val="22"/>
                <w:szCs w:val="22"/>
                <w:highlight w:val="none"/>
              </w:rPr>
              <w:t>，需要按照省</w:t>
            </w:r>
            <w:r>
              <w:rPr>
                <w:rFonts w:hint="eastAsia" w:ascii="宋体" w:hAnsi="宋体" w:eastAsia="宋体" w:cs="宋体"/>
                <w:sz w:val="22"/>
                <w:szCs w:val="22"/>
                <w:highlight w:val="none"/>
                <w:lang w:eastAsia="zh-CN"/>
              </w:rPr>
              <w:t>高院相关工作整体要求，</w:t>
            </w:r>
            <w:r>
              <w:rPr>
                <w:rFonts w:hint="eastAsia" w:ascii="宋体" w:hAnsi="宋体" w:eastAsia="宋体" w:cs="宋体"/>
                <w:sz w:val="22"/>
                <w:szCs w:val="22"/>
                <w:highlight w:val="none"/>
              </w:rPr>
              <w:t>在新建成</w:t>
            </w:r>
            <w:r>
              <w:rPr>
                <w:rFonts w:hint="eastAsia" w:ascii="宋体" w:hAnsi="宋体" w:eastAsia="宋体" w:cs="宋体"/>
                <w:sz w:val="22"/>
                <w:szCs w:val="22"/>
                <w:highlight w:val="none"/>
                <w:lang w:eastAsia="zh-CN"/>
              </w:rPr>
              <w:t>的全国法院办案办公平台</w:t>
            </w:r>
            <w:r>
              <w:rPr>
                <w:rFonts w:hint="eastAsia" w:ascii="宋体" w:hAnsi="宋体" w:eastAsia="宋体" w:cs="宋体"/>
                <w:sz w:val="22"/>
                <w:szCs w:val="22"/>
                <w:highlight w:val="none"/>
                <w:lang w:val="en-US" w:eastAsia="zh-CN"/>
              </w:rPr>
              <w:t>（以下简称“一张网”办案办公平台）</w:t>
            </w:r>
            <w:r>
              <w:rPr>
                <w:rFonts w:hint="eastAsia" w:ascii="宋体" w:hAnsi="宋体" w:eastAsia="宋体" w:cs="宋体"/>
                <w:sz w:val="22"/>
                <w:szCs w:val="22"/>
                <w:highlight w:val="none"/>
              </w:rPr>
              <w:t>中完成案件档案随案同步服务</w:t>
            </w:r>
            <w:r>
              <w:rPr>
                <w:rFonts w:hint="eastAsia" w:ascii="宋体" w:hAnsi="宋体" w:eastAsia="宋体" w:cs="宋体"/>
                <w:sz w:val="22"/>
                <w:szCs w:val="22"/>
                <w:highlight w:val="none"/>
                <w:lang w:eastAsia="zh-CN"/>
              </w:rPr>
              <w:t>工作</w:t>
            </w:r>
            <w:r>
              <w:rPr>
                <w:rFonts w:hint="eastAsia" w:ascii="宋体" w:hAnsi="宋体" w:eastAsia="宋体" w:cs="宋体"/>
                <w:sz w:val="22"/>
                <w:szCs w:val="22"/>
                <w:highlight w:val="none"/>
              </w:rPr>
              <w:t>，提高办案效率</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lang w:val="en-US" w:eastAsia="zh-CN"/>
              </w:rPr>
              <w:t>为单套制归档和智审系统应用奠定基础。</w:t>
            </w:r>
            <w:r>
              <w:rPr>
                <w:rFonts w:hint="eastAsia" w:ascii="宋体" w:hAnsi="宋体" w:eastAsia="宋体" w:cs="宋体"/>
                <w:sz w:val="22"/>
                <w:szCs w:val="22"/>
                <w:highlight w:val="none"/>
              </w:rPr>
              <w:t>。</w:t>
            </w:r>
            <w:r>
              <w:rPr>
                <w:rFonts w:hint="eastAsia" w:ascii="宋体" w:hAnsi="宋体" w:eastAsia="宋体" w:cs="宋体"/>
                <w:sz w:val="22"/>
                <w:szCs w:val="22"/>
                <w:highlight w:val="none"/>
                <w:lang w:eastAsia="zh-CN"/>
              </w:rPr>
              <w:t>本项目的主要工作是对蓝田法院院机关</w:t>
            </w:r>
            <w:r>
              <w:rPr>
                <w:rFonts w:hint="eastAsia" w:ascii="宋体" w:hAnsi="宋体" w:eastAsia="宋体" w:cs="宋体"/>
                <w:sz w:val="22"/>
                <w:szCs w:val="22"/>
                <w:highlight w:val="none"/>
              </w:rPr>
              <w:t>及</w:t>
            </w:r>
            <w:r>
              <w:rPr>
                <w:rFonts w:hint="eastAsia" w:ascii="宋体" w:hAnsi="宋体" w:eastAsia="宋体" w:cs="宋体"/>
                <w:sz w:val="22"/>
                <w:szCs w:val="22"/>
                <w:highlight w:val="none"/>
                <w:lang w:eastAsia="zh-CN"/>
              </w:rPr>
              <w:t>下设</w:t>
            </w:r>
            <w:r>
              <w:rPr>
                <w:rFonts w:hint="eastAsia" w:ascii="宋体" w:hAnsi="宋体" w:eastAsia="宋体" w:cs="宋体"/>
                <w:sz w:val="22"/>
                <w:szCs w:val="22"/>
                <w:highlight w:val="none"/>
              </w:rPr>
              <w:t>4个派出法庭的民商事案卷</w:t>
            </w:r>
            <w:r>
              <w:rPr>
                <w:rFonts w:hint="eastAsia" w:ascii="宋体" w:hAnsi="宋体" w:eastAsia="宋体" w:cs="宋体"/>
                <w:sz w:val="22"/>
                <w:szCs w:val="22"/>
                <w:highlight w:val="none"/>
                <w:lang w:eastAsia="zh-CN"/>
              </w:rPr>
              <w:t>审判过程</w:t>
            </w:r>
            <w:r>
              <w:rPr>
                <w:rFonts w:hint="eastAsia" w:ascii="宋体" w:hAnsi="宋体" w:eastAsia="宋体" w:cs="宋体"/>
                <w:sz w:val="22"/>
                <w:szCs w:val="22"/>
                <w:highlight w:val="none"/>
                <w:lang w:val="en-US" w:eastAsia="zh-CN"/>
              </w:rPr>
              <w:t>（含立案阶段、审理阶段等）</w:t>
            </w:r>
            <w:r>
              <w:rPr>
                <w:rFonts w:hint="eastAsia" w:ascii="宋体" w:hAnsi="宋体" w:eastAsia="宋体" w:cs="宋体"/>
                <w:sz w:val="22"/>
                <w:szCs w:val="22"/>
                <w:highlight w:val="none"/>
                <w:lang w:eastAsia="zh-CN"/>
              </w:rPr>
              <w:t>材料进行</w:t>
            </w:r>
            <w:r>
              <w:rPr>
                <w:rFonts w:hint="eastAsia" w:ascii="宋体" w:hAnsi="宋体" w:eastAsia="宋体" w:cs="宋体"/>
                <w:sz w:val="22"/>
                <w:szCs w:val="22"/>
                <w:highlight w:val="none"/>
              </w:rPr>
              <w:t>随案</w:t>
            </w:r>
            <w:r>
              <w:rPr>
                <w:rFonts w:hint="eastAsia" w:ascii="宋体" w:hAnsi="宋体" w:eastAsia="宋体" w:cs="宋体"/>
                <w:sz w:val="22"/>
                <w:szCs w:val="22"/>
                <w:highlight w:val="none"/>
                <w:lang w:eastAsia="zh-CN"/>
              </w:rPr>
              <w:t>生成扫描及全院刑事和执行案件的档案数字化服务</w:t>
            </w:r>
            <w:r>
              <w:rPr>
                <w:rFonts w:hint="eastAsia" w:ascii="宋体" w:hAnsi="宋体" w:eastAsia="宋体" w:cs="宋体"/>
                <w:sz w:val="22"/>
                <w:szCs w:val="22"/>
                <w:highlight w:val="none"/>
                <w:lang w:val="en-US" w:eastAsia="zh-CN"/>
              </w:rPr>
              <w:t>，</w:t>
            </w:r>
            <w:r>
              <w:rPr>
                <w:rFonts w:hint="eastAsia" w:ascii="宋体" w:hAnsi="宋体" w:eastAsia="宋体" w:cs="宋体"/>
                <w:sz w:val="22"/>
                <w:szCs w:val="22"/>
                <w:highlight w:val="none"/>
              </w:rPr>
              <w:t>包括电子卷宗、电子档案生成上传、纸质案卷的卷内整理、</w:t>
            </w:r>
            <w:r>
              <w:rPr>
                <w:rFonts w:hint="eastAsia" w:ascii="宋体" w:hAnsi="宋体" w:eastAsia="宋体" w:cs="宋体"/>
                <w:sz w:val="22"/>
                <w:szCs w:val="22"/>
                <w:highlight w:val="none"/>
                <w:lang w:eastAsia="zh-CN"/>
              </w:rPr>
              <w:t>借阅</w:t>
            </w:r>
            <w:r>
              <w:rPr>
                <w:rFonts w:hint="eastAsia" w:ascii="宋体" w:hAnsi="宋体" w:eastAsia="宋体" w:cs="宋体"/>
                <w:sz w:val="22"/>
                <w:szCs w:val="22"/>
                <w:highlight w:val="none"/>
              </w:rPr>
              <w:t>管理、</w:t>
            </w:r>
            <w:r>
              <w:rPr>
                <w:rFonts w:hint="eastAsia" w:ascii="宋体" w:hAnsi="宋体" w:eastAsia="宋体" w:cs="宋体"/>
                <w:sz w:val="22"/>
                <w:szCs w:val="22"/>
                <w:highlight w:val="none"/>
                <w:lang w:eastAsia="zh-CN"/>
              </w:rPr>
              <w:t>装订</w:t>
            </w:r>
            <w:r>
              <w:rPr>
                <w:rFonts w:hint="eastAsia" w:ascii="宋体" w:hAnsi="宋体" w:eastAsia="宋体" w:cs="宋体"/>
                <w:sz w:val="22"/>
                <w:szCs w:val="22"/>
                <w:highlight w:val="none"/>
              </w:rPr>
              <w:t>归档以及审判执行工作中的同步辅助性工作内容。</w:t>
            </w:r>
            <w:r>
              <w:rPr>
                <w:rFonts w:hint="eastAsia" w:ascii="宋体" w:hAnsi="宋体" w:eastAsia="宋体" w:cs="宋体"/>
                <w:sz w:val="22"/>
                <w:szCs w:val="22"/>
                <w:highlight w:val="none"/>
                <w:lang w:val="en-US" w:eastAsia="zh-CN"/>
              </w:rPr>
              <w:t>工作内容贯穿立案、庭审、结案、归档四个阶段。</w:t>
            </w:r>
          </w:p>
          <w:p w14:paraId="13801961">
            <w:pPr>
              <w:pStyle w:val="6"/>
              <w:spacing w:line="360" w:lineRule="auto"/>
              <w:jc w:val="both"/>
              <w:rPr>
                <w:rFonts w:hint="eastAsia" w:ascii="宋体" w:hAnsi="宋体" w:eastAsia="宋体" w:cs="宋体"/>
                <w:b/>
                <w:bCs/>
                <w:sz w:val="22"/>
                <w:szCs w:val="22"/>
                <w:highlight w:val="none"/>
              </w:rPr>
            </w:pPr>
            <w:r>
              <w:rPr>
                <w:rFonts w:hint="eastAsia" w:ascii="宋体" w:hAnsi="宋体" w:eastAsia="宋体" w:cs="宋体"/>
                <w:b/>
                <w:bCs/>
                <w:sz w:val="22"/>
                <w:szCs w:val="22"/>
                <w:highlight w:val="none"/>
              </w:rPr>
              <w:t>具体工作内容如下：</w:t>
            </w:r>
          </w:p>
          <w:p w14:paraId="28AE06B8">
            <w:pPr>
              <w:pStyle w:val="6"/>
              <w:spacing w:line="360" w:lineRule="auto"/>
              <w:jc w:val="both"/>
              <w:rPr>
                <w:rFonts w:hint="eastAsia" w:ascii="宋体" w:hAnsi="宋体" w:eastAsia="宋体" w:cs="宋体"/>
                <w:b/>
                <w:bCs/>
                <w:sz w:val="22"/>
                <w:szCs w:val="22"/>
                <w:highlight w:val="none"/>
                <w:lang w:val="en-US" w:eastAsia="zh-CN"/>
              </w:rPr>
            </w:pPr>
            <w:r>
              <w:rPr>
                <w:rFonts w:hint="eastAsia" w:ascii="宋体" w:hAnsi="宋体" w:eastAsia="宋体" w:cs="宋体"/>
                <w:b/>
                <w:bCs/>
                <w:sz w:val="22"/>
                <w:szCs w:val="22"/>
                <w:highlight w:val="none"/>
                <w:lang w:val="en-US" w:eastAsia="zh-CN"/>
              </w:rPr>
              <w:t>（一）民商事案件电子卷宗随案同步生成服务</w:t>
            </w:r>
          </w:p>
          <w:p w14:paraId="6F00DECB">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1.立案回填：包括采购单位在接收立案资料初审后交服务商对材料进行整理、系统填报及其他立案辅助性工作；</w:t>
            </w:r>
          </w:p>
          <w:p w14:paraId="07FDE50F">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（1）将诉讼材料（起诉书或起诉状）扫描上传至</w:t>
            </w:r>
            <w:r>
              <w:rPr>
                <w:rFonts w:hint="eastAsia" w:ascii="宋体" w:hAnsi="宋体" w:eastAsia="宋体" w:cs="宋体"/>
                <w:sz w:val="22"/>
                <w:szCs w:val="22"/>
                <w:highlight w:val="none"/>
                <w:lang w:eastAsia="zh-CN"/>
              </w:rPr>
              <w:t>“一张网”办案办公平台</w:t>
            </w:r>
            <w:r>
              <w:rPr>
                <w:rFonts w:hint="eastAsia" w:ascii="宋体" w:hAnsi="宋体" w:eastAsia="宋体" w:cs="宋体"/>
                <w:sz w:val="22"/>
                <w:szCs w:val="22"/>
                <w:highlight w:val="none"/>
              </w:rPr>
              <w:t>并通过OCR识别进行自动读取，实现收案信息的智能回填工作；</w:t>
            </w:r>
          </w:p>
          <w:p w14:paraId="5F128103">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（2）辅助案件审核及信息校验；</w:t>
            </w:r>
          </w:p>
          <w:p w14:paraId="303D089D">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（3）风险审查、识别；</w:t>
            </w:r>
          </w:p>
          <w:p w14:paraId="2F008586">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（4）提交立案审批。</w:t>
            </w:r>
          </w:p>
          <w:p w14:paraId="2DA691A5">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2.数字化扫描：包括纸质材料的接卷、整理、质检、扫描、结案上传、装订等内容；</w:t>
            </w:r>
          </w:p>
          <w:p w14:paraId="3D01BC3E">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（1）接卷：每个阶段的案件材料按时间节点移送至服务商电子卷宗随案生成中心，由双方负责人案件核查、签字确认；</w:t>
            </w:r>
          </w:p>
          <w:p w14:paraId="05818D04">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（2）整理：排序、编码、打印目录、写卷皮、填写备考表；</w:t>
            </w:r>
          </w:p>
          <w:p w14:paraId="7640D963">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（3）质检：由电子卷宗随案生成中心负责人针对整理材料进行核准、审查相关工作，保证纸质材料的完整性；</w:t>
            </w:r>
          </w:p>
          <w:p w14:paraId="073153F6">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（4）扫描：针对案卷材料进行图片的纠偏、去污、拆边、图片旋转等处理，扫描后的原始图像应进行优化处理，使得成品图像清晰、端正；</w:t>
            </w:r>
          </w:p>
          <w:p w14:paraId="255DBD5A">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（5）结案上传：在</w:t>
            </w:r>
            <w:r>
              <w:rPr>
                <w:rFonts w:hint="eastAsia" w:ascii="宋体" w:hAnsi="宋体" w:eastAsia="宋体" w:cs="宋体"/>
                <w:sz w:val="22"/>
                <w:szCs w:val="22"/>
                <w:highlight w:val="none"/>
                <w:lang w:eastAsia="zh-CN"/>
              </w:rPr>
              <w:t>“一张网”办案办公平台</w:t>
            </w:r>
            <w:r>
              <w:rPr>
                <w:rFonts w:hint="eastAsia" w:ascii="宋体" w:hAnsi="宋体" w:eastAsia="宋体" w:cs="宋体"/>
                <w:sz w:val="22"/>
                <w:szCs w:val="22"/>
                <w:highlight w:val="none"/>
              </w:rPr>
              <w:t>中，根据纸质档案进行精细化编目，点击批量上传，核对目录条是否与材料内容一一对应；</w:t>
            </w:r>
          </w:p>
          <w:p w14:paraId="29CE72C3">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（6）装订：案件资料应遵循“两对齐”、“三孔一线”的标准并进行封条盖章，完成装订工作。</w:t>
            </w:r>
          </w:p>
          <w:p w14:paraId="38797E3F">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3.电子卷宗：包括扫描、卷宗上传、质检、系统操作等内容；</w:t>
            </w:r>
          </w:p>
          <w:p w14:paraId="536F37AA">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（1）扫描：将各阶段案卷材料按照时间节点，进行图片的纠偏、去污、拆边、图片旋转等处理，扫描后的原始图像应进行优化处理，使得成品图像清晰、端正；</w:t>
            </w:r>
          </w:p>
          <w:p w14:paraId="599BE85C">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（2）卷宗上传：在</w:t>
            </w:r>
            <w:r>
              <w:rPr>
                <w:rFonts w:hint="eastAsia" w:ascii="宋体" w:hAnsi="宋体" w:eastAsia="宋体" w:cs="宋体"/>
                <w:sz w:val="22"/>
                <w:szCs w:val="22"/>
                <w:highlight w:val="none"/>
                <w:lang w:eastAsia="zh-CN"/>
              </w:rPr>
              <w:t>“一张网”办案办公平台</w:t>
            </w:r>
            <w:r>
              <w:rPr>
                <w:rFonts w:hint="eastAsia" w:ascii="宋体" w:hAnsi="宋体" w:eastAsia="宋体" w:cs="宋体"/>
                <w:sz w:val="22"/>
                <w:szCs w:val="22"/>
                <w:highlight w:val="none"/>
              </w:rPr>
              <w:t>中，将各阶段案卷材料按照时间节点，使用OCR识别、自动归目，完成上传；</w:t>
            </w:r>
          </w:p>
          <w:p w14:paraId="21E15948">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（3）质检：核对已上传的电子材料是否与目录条目、名称一一对应，保证材料纸电一致；</w:t>
            </w:r>
          </w:p>
          <w:p w14:paraId="66836615">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（4）系统操作：按照电子卷宗随案同步的考核标准，在</w:t>
            </w:r>
            <w:r>
              <w:rPr>
                <w:rFonts w:hint="eastAsia" w:ascii="宋体" w:hAnsi="宋体" w:eastAsia="宋体" w:cs="宋体"/>
                <w:sz w:val="22"/>
                <w:szCs w:val="22"/>
                <w:highlight w:val="none"/>
                <w:lang w:eastAsia="zh-CN"/>
              </w:rPr>
              <w:t>“一张网”办案办公平台</w:t>
            </w:r>
            <w:r>
              <w:rPr>
                <w:rFonts w:hint="eastAsia" w:ascii="宋体" w:hAnsi="宋体" w:eastAsia="宋体" w:cs="宋体"/>
                <w:sz w:val="22"/>
                <w:szCs w:val="22"/>
                <w:highlight w:val="none"/>
              </w:rPr>
              <w:t>中，完成各阶段系统挂接工作。</w:t>
            </w:r>
          </w:p>
          <w:p w14:paraId="606C3D8B">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4.案卷工作：包括纸质案卷的卷内材料整理、案卷整理、案卷管理及归档等内容。</w:t>
            </w:r>
          </w:p>
          <w:p w14:paraId="6F2455B1">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（1）卷内材料整理：将各阶段材料收集整合，同一案卷材料按照装订厚度要求进行分册，进行排序、编码、打印目录、写卷皮、填写备考表等；</w:t>
            </w:r>
          </w:p>
          <w:p w14:paraId="3B9A658E">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（2）案卷整理：对已经装订好的案卷进行贴侧标、盖档案数字章、档案封存章等；</w:t>
            </w:r>
          </w:p>
          <w:p w14:paraId="4DA491C7">
            <w:pPr>
              <w:pStyle w:val="6"/>
              <w:spacing w:line="36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（3）案卷管理及归档：对未归档案件纸质案卷管理，符合归档条件的案卷进行系统签收、归档验收，验收通过后，协助入库上架。</w:t>
            </w:r>
          </w:p>
          <w:p w14:paraId="30E94CB4">
            <w:pPr>
              <w:pStyle w:val="6"/>
              <w:spacing w:line="360" w:lineRule="auto"/>
              <w:jc w:val="both"/>
              <w:rPr>
                <w:rFonts w:hint="eastAsia" w:ascii="宋体" w:hAnsi="宋体" w:eastAsia="宋体" w:cs="宋体"/>
                <w:b/>
                <w:bCs/>
                <w:sz w:val="22"/>
                <w:szCs w:val="22"/>
                <w:highlight w:val="none"/>
                <w:lang w:eastAsia="zh-CN"/>
              </w:rPr>
            </w:pPr>
            <w:r>
              <w:rPr>
                <w:rFonts w:hint="eastAsia" w:ascii="宋体" w:hAnsi="宋体" w:eastAsia="宋体" w:cs="宋体"/>
                <w:b/>
                <w:bCs/>
                <w:sz w:val="22"/>
                <w:szCs w:val="22"/>
                <w:highlight w:val="none"/>
                <w:lang w:val="en-US" w:eastAsia="zh-CN"/>
              </w:rPr>
              <w:t>（二）刑事、执行案件</w:t>
            </w:r>
            <w:r>
              <w:rPr>
                <w:rFonts w:hint="eastAsia" w:ascii="宋体" w:hAnsi="宋体" w:eastAsia="宋体" w:cs="宋体"/>
                <w:b/>
                <w:bCs/>
                <w:sz w:val="22"/>
                <w:szCs w:val="22"/>
                <w:highlight w:val="none"/>
                <w:lang w:eastAsia="zh-CN"/>
              </w:rPr>
              <w:t>档案数字化服务</w:t>
            </w:r>
          </w:p>
          <w:p w14:paraId="29EFFFA5">
            <w:pPr>
              <w:pStyle w:val="6"/>
              <w:spacing w:line="360" w:lineRule="auto"/>
              <w:ind w:firstLine="440" w:firstLineChars="200"/>
              <w:jc w:val="both"/>
              <w:rPr>
                <w:rFonts w:hint="eastAsia" w:ascii="宋体" w:hAnsi="宋体" w:eastAsia="宋体" w:cs="宋体"/>
                <w:sz w:val="22"/>
                <w:szCs w:val="22"/>
                <w:highlight w:val="none"/>
                <w:lang w:val="en-US" w:eastAsia="zh-Hans"/>
              </w:rPr>
            </w:pPr>
            <w:r>
              <w:rPr>
                <w:rFonts w:hint="eastAsia" w:ascii="宋体" w:hAnsi="宋体" w:eastAsia="宋体" w:cs="宋体"/>
                <w:sz w:val="22"/>
                <w:szCs w:val="22"/>
                <w:highlight w:val="none"/>
                <w:lang w:val="en-US" w:eastAsia="zh-CN"/>
              </w:rPr>
              <w:t>对</w:t>
            </w:r>
            <w:r>
              <w:rPr>
                <w:rFonts w:hint="eastAsia" w:ascii="宋体" w:hAnsi="宋体" w:eastAsia="宋体" w:cs="宋体"/>
                <w:sz w:val="22"/>
                <w:szCs w:val="22"/>
                <w:highlight w:val="none"/>
                <w:lang w:val="en-US" w:eastAsia="zh-Hans"/>
              </w:rPr>
              <w:t>不适宜进行电子卷宗随案同步生成的刑事案件和执行案件，</w:t>
            </w:r>
            <w:r>
              <w:rPr>
                <w:rFonts w:hint="eastAsia" w:ascii="宋体" w:hAnsi="宋体" w:eastAsia="宋体" w:cs="宋体"/>
                <w:sz w:val="22"/>
                <w:szCs w:val="22"/>
                <w:highlight w:val="none"/>
                <w:lang w:val="en-US" w:eastAsia="zh-CN"/>
              </w:rPr>
              <w:t>在结案后，</w:t>
            </w:r>
            <w:r>
              <w:rPr>
                <w:rFonts w:hint="eastAsia" w:ascii="宋体" w:hAnsi="宋体" w:eastAsia="宋体" w:cs="宋体"/>
                <w:sz w:val="22"/>
                <w:szCs w:val="22"/>
                <w:highlight w:val="none"/>
                <w:lang w:val="en-US" w:eastAsia="zh-Hans"/>
              </w:rPr>
              <w:t>对卷宗进行集中数字化加工处理，形成符合档案归档要求的档案资料及电子数据扫描上传</w:t>
            </w:r>
            <w:r>
              <w:rPr>
                <w:rFonts w:hint="eastAsia" w:ascii="宋体" w:hAnsi="宋体" w:eastAsia="宋体" w:cs="宋体"/>
                <w:sz w:val="22"/>
                <w:szCs w:val="22"/>
                <w:highlight w:val="none"/>
                <w:lang w:val="en-US" w:eastAsia="zh-CN"/>
              </w:rPr>
              <w:t>至</w:t>
            </w:r>
            <w:r>
              <w:rPr>
                <w:rFonts w:hint="eastAsia" w:ascii="宋体" w:hAnsi="宋体" w:eastAsia="宋体" w:cs="宋体"/>
                <w:sz w:val="22"/>
                <w:szCs w:val="22"/>
                <w:highlight w:val="none"/>
                <w:lang w:eastAsia="zh-CN"/>
              </w:rPr>
              <w:t>“一张网”办案办公平台</w:t>
            </w:r>
            <w:r>
              <w:rPr>
                <w:rFonts w:hint="eastAsia" w:ascii="宋体" w:hAnsi="宋体" w:eastAsia="宋体" w:cs="宋体"/>
                <w:sz w:val="22"/>
                <w:szCs w:val="22"/>
                <w:highlight w:val="none"/>
                <w:lang w:val="en-US" w:eastAsia="zh-Hans"/>
              </w:rPr>
              <w:t>，完成档案数字化工作</w:t>
            </w:r>
            <w:r>
              <w:rPr>
                <w:rFonts w:hint="eastAsia" w:ascii="宋体" w:hAnsi="宋体" w:eastAsia="宋体" w:cs="宋体"/>
                <w:sz w:val="22"/>
                <w:szCs w:val="22"/>
                <w:highlight w:val="none"/>
                <w:lang w:val="en-US" w:eastAsia="zh-CN"/>
              </w:rPr>
              <w:t>，包括案卷材料的接卷、整理、扫描、上传、装订及归档等内容。</w:t>
            </w:r>
          </w:p>
          <w:p w14:paraId="1CE281FB">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45" w:rightChars="0"/>
              <w:jc w:val="left"/>
              <w:textAlignment w:val="auto"/>
              <w:rPr>
                <w:rFonts w:hint="eastAsia" w:ascii="宋体" w:hAnsi="宋体" w:eastAsia="宋体" w:cs="宋体"/>
                <w:b/>
                <w:bCs/>
                <w:sz w:val="22"/>
                <w:szCs w:val="22"/>
                <w:highlight w:val="none"/>
              </w:rPr>
            </w:pPr>
            <w:r>
              <w:rPr>
                <w:rFonts w:hint="eastAsia" w:ascii="宋体" w:hAnsi="宋体" w:eastAsia="宋体" w:cs="宋体"/>
                <w:b/>
                <w:bCs/>
                <w:sz w:val="22"/>
                <w:szCs w:val="22"/>
                <w:highlight w:val="none"/>
                <w:lang w:eastAsia="zh-CN"/>
              </w:rPr>
              <w:t>（三）</w:t>
            </w:r>
            <w:r>
              <w:rPr>
                <w:rFonts w:hint="eastAsia" w:ascii="宋体" w:hAnsi="宋体" w:eastAsia="宋体" w:cs="宋体"/>
                <w:b/>
                <w:bCs/>
                <w:sz w:val="22"/>
                <w:szCs w:val="22"/>
                <w:highlight w:val="none"/>
              </w:rPr>
              <w:t>其他审判执行辅助性工作</w:t>
            </w:r>
          </w:p>
          <w:p w14:paraId="3019534C">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right="45" w:rightChars="0"/>
              <w:jc w:val="left"/>
              <w:textAlignment w:val="auto"/>
              <w:rPr>
                <w:rFonts w:hint="eastAsia" w:ascii="宋体" w:hAnsi="宋体" w:eastAsia="宋体" w:cs="宋体"/>
                <w:sz w:val="22"/>
                <w:szCs w:val="22"/>
                <w:lang w:val="en-US" w:eastAsia="zh-CN"/>
              </w:rPr>
            </w:pPr>
            <w:r>
              <w:rPr>
                <w:rFonts w:hint="default" w:ascii="宋体" w:hAnsi="宋体" w:eastAsia="宋体" w:cs="宋体"/>
                <w:kern w:val="0"/>
                <w:sz w:val="22"/>
                <w:szCs w:val="22"/>
                <w:highlight w:val="none"/>
                <w:lang w:val="en-US" w:eastAsia="zh-CN"/>
              </w:rPr>
              <w:t>提供辅助服务不限于协助各环节工作人员的案卷接收、清点、数据备份，以及档案库房整理</w:t>
            </w:r>
            <w:r>
              <w:rPr>
                <w:rFonts w:hint="eastAsia" w:ascii="宋体" w:hAnsi="宋体" w:eastAsia="宋体" w:cs="宋体"/>
                <w:kern w:val="0"/>
                <w:sz w:val="22"/>
                <w:szCs w:val="22"/>
                <w:highlight w:val="none"/>
                <w:lang w:val="en-US" w:eastAsia="zh-CN"/>
              </w:rPr>
              <w:t>，协助档案协查</w:t>
            </w:r>
            <w:r>
              <w:rPr>
                <w:rFonts w:hint="default" w:ascii="宋体" w:hAnsi="宋体" w:eastAsia="宋体" w:cs="宋体"/>
                <w:kern w:val="0"/>
                <w:sz w:val="22"/>
                <w:szCs w:val="22"/>
                <w:highlight w:val="none"/>
                <w:lang w:val="en-US" w:eastAsia="zh-CN"/>
              </w:rPr>
              <w:t>等相关临时性事务。</w:t>
            </w:r>
          </w:p>
        </w:tc>
        <w:tc>
          <w:tcPr>
            <w:tcW w:w="2485" w:type="dxa"/>
            <w:vAlign w:val="center"/>
          </w:tcPr>
          <w:p w14:paraId="70BAD27C">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68A46240">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6CE8DD7F">
            <w:pPr>
              <w:pStyle w:val="2"/>
              <w:tabs>
                <w:tab w:val="left" w:pos="6880"/>
              </w:tabs>
              <w:spacing w:line="360" w:lineRule="auto"/>
              <w:ind w:firstLine="480"/>
              <w:rPr>
                <w:rFonts w:hint="eastAsia" w:ascii="宋体" w:hAnsi="宋体" w:eastAsia="宋体" w:cs="宋体"/>
                <w:kern w:val="0"/>
                <w:sz w:val="22"/>
                <w:szCs w:val="22"/>
              </w:rPr>
            </w:pPr>
          </w:p>
        </w:tc>
      </w:tr>
      <w:tr w14:paraId="40B0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899" w:type="dxa"/>
            <w:vAlign w:val="center"/>
          </w:tcPr>
          <w:p w14:paraId="59A4139D">
            <w:pPr>
              <w:pStyle w:val="2"/>
              <w:tabs>
                <w:tab w:val="left" w:pos="34"/>
              </w:tabs>
              <w:spacing w:line="360" w:lineRule="auto"/>
              <w:ind w:left="-108" w:firstLine="0" w:firstLineChars="0"/>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3</w:t>
            </w:r>
          </w:p>
        </w:tc>
        <w:tc>
          <w:tcPr>
            <w:tcW w:w="3405" w:type="dxa"/>
            <w:vAlign w:val="center"/>
          </w:tcPr>
          <w:p w14:paraId="39FB1B9B">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人员配置要求：</w:t>
            </w:r>
            <w:r>
              <w:rPr>
                <w:rFonts w:hint="eastAsia" w:ascii="宋体" w:hAnsi="宋体" w:eastAsia="宋体" w:cs="宋体"/>
                <w:sz w:val="22"/>
                <w:szCs w:val="22"/>
                <w:lang w:val="en-US" w:eastAsia="zh-CN"/>
              </w:rPr>
              <w:t>满足项目实施需求，确保采购项目顺利实施，具体要求如下：</w:t>
            </w:r>
          </w:p>
          <w:p w14:paraId="0A63EE84">
            <w:pPr>
              <w:pStyle w:val="2"/>
              <w:tabs>
                <w:tab w:val="left" w:pos="6880"/>
              </w:tabs>
              <w:spacing w:line="360" w:lineRule="auto"/>
              <w:ind w:left="0" w:leftChars="0" w:firstLine="0" w:firstLineChars="0"/>
              <w:rPr>
                <w:rFonts w:hint="eastAsia" w:ascii="宋体" w:hAnsi="宋体" w:eastAsia="宋体" w:cs="宋体"/>
                <w:sz w:val="22"/>
                <w:szCs w:val="22"/>
                <w:highlight w:val="yellow"/>
                <w:lang w:val="en-US" w:eastAsia="zh-CN"/>
              </w:rPr>
            </w:pPr>
            <w:r>
              <w:rPr>
                <w:rFonts w:hint="eastAsia" w:ascii="宋体" w:hAnsi="宋体" w:eastAsia="宋体" w:cs="宋体"/>
                <w:sz w:val="22"/>
                <w:szCs w:val="22"/>
                <w:lang w:val="en-US" w:eastAsia="zh-CN"/>
              </w:rPr>
              <w:t>（1）项目负责人须具备相关的专业能力，3年以上档案数字化相关项目管理经验(以类似业绩合同或投标供应商出具的委派函为准)，并提供档案培训等证书及本单位在职证明。</w:t>
            </w:r>
          </w:p>
          <w:p w14:paraId="08F2B5C5">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（2）项目团队人员数量配备充足，满足服务要求。根据供应商拟投入本项目人员情况表，能高效、按时、高质量、安全完成项目。</w:t>
            </w:r>
          </w:p>
          <w:p w14:paraId="32C7EEBE">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（3）项目实施过程中,供应商及派遣人员个人原因造成的伤亡事件,由供应商承担全部责任,与采购人无关。</w:t>
            </w:r>
          </w:p>
        </w:tc>
        <w:tc>
          <w:tcPr>
            <w:tcW w:w="2485" w:type="dxa"/>
            <w:vAlign w:val="center"/>
          </w:tcPr>
          <w:p w14:paraId="115BC7B7">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3A5B975F">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797633CD">
            <w:pPr>
              <w:pStyle w:val="2"/>
              <w:tabs>
                <w:tab w:val="left" w:pos="6880"/>
              </w:tabs>
              <w:spacing w:line="360" w:lineRule="auto"/>
              <w:ind w:firstLine="480"/>
              <w:rPr>
                <w:rFonts w:hint="eastAsia" w:ascii="宋体" w:hAnsi="宋体" w:eastAsia="宋体" w:cs="宋体"/>
                <w:kern w:val="0"/>
                <w:sz w:val="22"/>
                <w:szCs w:val="22"/>
              </w:rPr>
            </w:pPr>
          </w:p>
        </w:tc>
      </w:tr>
      <w:tr w14:paraId="1948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899" w:type="dxa"/>
            <w:vAlign w:val="center"/>
          </w:tcPr>
          <w:p w14:paraId="1A91E285">
            <w:pPr>
              <w:pStyle w:val="2"/>
              <w:tabs>
                <w:tab w:val="left" w:pos="34"/>
              </w:tabs>
              <w:spacing w:line="360" w:lineRule="auto"/>
              <w:ind w:left="-108" w:firstLine="0" w:firstLineChars="0"/>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w:t>
            </w:r>
          </w:p>
        </w:tc>
        <w:tc>
          <w:tcPr>
            <w:tcW w:w="3405" w:type="dxa"/>
            <w:vAlign w:val="center"/>
          </w:tcPr>
          <w:p w14:paraId="4E8B8AAA">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设施设备要求：</w:t>
            </w:r>
            <w:r>
              <w:rPr>
                <w:rFonts w:hint="eastAsia" w:ascii="宋体" w:hAnsi="宋体" w:eastAsia="宋体" w:cs="宋体"/>
                <w:sz w:val="22"/>
                <w:szCs w:val="22"/>
                <w:lang w:val="en-US" w:eastAsia="zh-CN"/>
              </w:rPr>
              <w:t>满足项目实施需求，确保采购项目顺利实施，具体要求如下：</w:t>
            </w:r>
          </w:p>
          <w:p w14:paraId="6BDD3229">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为实施本项目所需的加工设备及耗材(档案柜、硒鼓、A4打印纸、标签纸、装订线、印油、胶棒、封条、燕尾夹等)由中标单位自行提供，除有明显采购人标识的耗材由采购人提供外，其余耗材均由中标单位提供。</w:t>
            </w:r>
          </w:p>
          <w:p w14:paraId="69F27A48">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（2）中标单位参与电子卷宗随案同步加工的载体、信息系统、信息设备等必须符合国家相关标准，均要求为国产化。</w:t>
            </w:r>
          </w:p>
        </w:tc>
        <w:tc>
          <w:tcPr>
            <w:tcW w:w="2485" w:type="dxa"/>
            <w:vAlign w:val="center"/>
          </w:tcPr>
          <w:p w14:paraId="5B8866BA">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54FCE615">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5230F85D">
            <w:pPr>
              <w:pStyle w:val="2"/>
              <w:tabs>
                <w:tab w:val="left" w:pos="6880"/>
              </w:tabs>
              <w:spacing w:line="360" w:lineRule="auto"/>
              <w:ind w:firstLine="480"/>
              <w:rPr>
                <w:rFonts w:hint="eastAsia" w:ascii="宋体" w:hAnsi="宋体" w:eastAsia="宋体" w:cs="宋体"/>
                <w:kern w:val="0"/>
                <w:sz w:val="22"/>
                <w:szCs w:val="22"/>
              </w:rPr>
            </w:pPr>
          </w:p>
        </w:tc>
      </w:tr>
      <w:tr w14:paraId="1420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899" w:type="dxa"/>
            <w:vAlign w:val="center"/>
          </w:tcPr>
          <w:p w14:paraId="0CB733CB">
            <w:pPr>
              <w:pStyle w:val="2"/>
              <w:tabs>
                <w:tab w:val="left" w:pos="34"/>
              </w:tabs>
              <w:spacing w:line="360" w:lineRule="auto"/>
              <w:ind w:left="-108" w:firstLine="0" w:firstLineChars="0"/>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w:t>
            </w:r>
          </w:p>
        </w:tc>
        <w:tc>
          <w:tcPr>
            <w:tcW w:w="3405" w:type="dxa"/>
            <w:vAlign w:val="center"/>
          </w:tcPr>
          <w:p w14:paraId="5F137525">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其他要求：</w:t>
            </w:r>
            <w:r>
              <w:rPr>
                <w:rFonts w:hint="eastAsia" w:ascii="宋体" w:hAnsi="宋体" w:eastAsia="宋体" w:cs="宋体"/>
                <w:sz w:val="22"/>
                <w:szCs w:val="22"/>
                <w:lang w:val="en-US" w:eastAsia="zh-CN"/>
              </w:rPr>
              <w:t>满足项目实施需求，确保采购项目顺利实施。具体内容如下：</w:t>
            </w:r>
          </w:p>
          <w:p w14:paraId="7F2D16AE">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1、技术要求</w:t>
            </w:r>
          </w:p>
          <w:p w14:paraId="2F55F7BF">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（1）应保证电子卷宗随案同步生成的同步性和及时性，案件办理过程中收到以及生成的材料随收随扫、随录随传，确保立案、审判等各阶段的电子卷宗与纸质卷宗同步生成、内容一致。</w:t>
            </w:r>
          </w:p>
          <w:p w14:paraId="7A3FE4FD">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（2）要满足电子卷宗随案同步生成的时限要求，各阶段材料的扫描、上传均需在材料生成后或接收到材料后的3个工作日内完成。</w:t>
            </w:r>
          </w:p>
          <w:p w14:paraId="40261EE6">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（3）存储格式、分辨率、规格:JPEG，300DPI，彩色扫描。</w:t>
            </w:r>
          </w:p>
          <w:p w14:paraId="60E7CA0D">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（4）数据挂接:扫描图像处理后与条目信息准确对应。</w:t>
            </w:r>
          </w:p>
          <w:p w14:paraId="11128433">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2、保密要求</w:t>
            </w:r>
          </w:p>
          <w:p w14:paraId="684CCFA7">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中标单位应严格遵守相关保密安全规定，本项目必须在采购人指定的场所内进行，确保场所正常秩序和安全。不得遗失、损坏档案，如有违法者，将追究法律责任。双方签订合同后，乙方5日内应安排人员、设备进场，项目</w:t>
            </w:r>
            <w:bookmarkStart w:id="0" w:name="_GoBack"/>
            <w:bookmarkEnd w:id="0"/>
            <w:r>
              <w:rPr>
                <w:rFonts w:hint="eastAsia" w:ascii="宋体" w:hAnsi="宋体" w:eastAsia="宋体" w:cs="宋体"/>
                <w:sz w:val="22"/>
                <w:szCs w:val="22"/>
                <w:lang w:val="en-US" w:eastAsia="zh-CN"/>
              </w:rPr>
              <w:t>试运行期1个月，试运行期间乙方需及时响应甲方的随案同步工作案卷归档工作，如试运行期满乙方无法满足合同约定的工作内容，采购单位可终止合同并对因未及时归档造成办案流程受阻进行赔偿，乙方应做到如下要求：</w:t>
            </w:r>
          </w:p>
          <w:p w14:paraId="0693DEA5">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（1）与工作人员签订保密协议，加强对工作人员的保密教育。中标供应商负责对其聘用的工作人员进行身份登记备案和签订保密协议，并将相关材料提交采购人确认备案。</w:t>
            </w:r>
          </w:p>
          <w:p w14:paraId="0D2458BF">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（2）随案同步档案数字化处理后的各种影像、资料所有权归采购人所有，各种统计资料、影像资料、光盘资料、备份硬盘、纸质资料及各种清单等在项目结束时都必须完整移交。</w:t>
            </w:r>
          </w:p>
          <w:p w14:paraId="3A574FBE">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（3）中标单位保证不得以任何形式浏览和备份工作中接触到的采购人案卷文件,对采购人提供的业务需求、技术资料、信息、数据等负有无期限的保密义务。</w:t>
            </w:r>
          </w:p>
          <w:p w14:paraId="25479A27">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4）工作人员不得以任何形式将各项档案资料带出指定工作现场，不得以任何形式进行泄漏、传播；不得以任何方式非法向外人泄露档案所涉及的国家秘密、无故查看及讨论档案内容。否则按国家有关规定处理，情节严重的要承担相应的刑事责任。</w:t>
            </w:r>
          </w:p>
          <w:p w14:paraId="2F04A63D">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（5）加工完成，移交数据并验收合格后，中标供应商应在档案管理部门有关人员监督下，销毁所有存储介质的档案数据，并交由采购人保管。</w:t>
            </w:r>
          </w:p>
          <w:p w14:paraId="6DB9797B">
            <w:pPr>
              <w:pStyle w:val="2"/>
              <w:tabs>
                <w:tab w:val="left" w:pos="6880"/>
              </w:tabs>
              <w:spacing w:line="36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（6）扫描人员严格遵守档案管理的相关规定及档案部门的相关制度，认真做好随案同步服务的保密和保护工作。</w:t>
            </w:r>
          </w:p>
        </w:tc>
        <w:tc>
          <w:tcPr>
            <w:tcW w:w="2485" w:type="dxa"/>
            <w:vAlign w:val="center"/>
          </w:tcPr>
          <w:p w14:paraId="0AB33AF5">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7BE20845">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3A004CB1">
            <w:pPr>
              <w:pStyle w:val="2"/>
              <w:tabs>
                <w:tab w:val="left" w:pos="6880"/>
              </w:tabs>
              <w:spacing w:line="360" w:lineRule="auto"/>
              <w:ind w:firstLine="480"/>
              <w:rPr>
                <w:rFonts w:hint="eastAsia" w:ascii="宋体" w:hAnsi="宋体" w:eastAsia="宋体" w:cs="宋体"/>
                <w:kern w:val="0"/>
                <w:sz w:val="22"/>
                <w:szCs w:val="22"/>
              </w:rPr>
            </w:pPr>
          </w:p>
        </w:tc>
      </w:tr>
      <w:tr w14:paraId="3855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899" w:type="dxa"/>
            <w:vAlign w:val="center"/>
          </w:tcPr>
          <w:p w14:paraId="0ABE0B1B">
            <w:pPr>
              <w:pStyle w:val="2"/>
              <w:tabs>
                <w:tab w:val="left" w:pos="34"/>
              </w:tabs>
              <w:spacing w:line="360" w:lineRule="auto"/>
              <w:ind w:left="-108" w:firstLine="0" w:firstLineChars="0"/>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w:t>
            </w:r>
          </w:p>
        </w:tc>
        <w:tc>
          <w:tcPr>
            <w:tcW w:w="3405" w:type="dxa"/>
            <w:vAlign w:val="center"/>
          </w:tcPr>
          <w:p w14:paraId="2E518F09">
            <w:pPr>
              <w:pStyle w:val="2"/>
              <w:tabs>
                <w:tab w:val="left" w:pos="6880"/>
              </w:tabs>
              <w:spacing w:line="240" w:lineRule="auto"/>
              <w:ind w:left="0" w:leftChars="0" w:firstLine="0" w:firstLineChars="0"/>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w:t>
            </w:r>
          </w:p>
        </w:tc>
        <w:tc>
          <w:tcPr>
            <w:tcW w:w="2485" w:type="dxa"/>
            <w:vAlign w:val="center"/>
          </w:tcPr>
          <w:p w14:paraId="503AF6EC">
            <w:pPr>
              <w:pStyle w:val="2"/>
              <w:tabs>
                <w:tab w:val="left" w:pos="6880"/>
              </w:tabs>
              <w:spacing w:line="360" w:lineRule="auto"/>
              <w:ind w:firstLine="480"/>
              <w:rPr>
                <w:rFonts w:hint="eastAsia" w:ascii="宋体" w:hAnsi="宋体" w:eastAsia="宋体" w:cs="宋体"/>
                <w:kern w:val="0"/>
                <w:sz w:val="22"/>
                <w:szCs w:val="22"/>
              </w:rPr>
            </w:pPr>
          </w:p>
        </w:tc>
        <w:tc>
          <w:tcPr>
            <w:tcW w:w="1312" w:type="dxa"/>
            <w:vAlign w:val="center"/>
          </w:tcPr>
          <w:p w14:paraId="0C5B9289">
            <w:pPr>
              <w:pStyle w:val="2"/>
              <w:tabs>
                <w:tab w:val="left" w:pos="6880"/>
              </w:tabs>
              <w:spacing w:line="360" w:lineRule="auto"/>
              <w:ind w:firstLine="480"/>
              <w:rPr>
                <w:rFonts w:hint="eastAsia" w:ascii="宋体" w:hAnsi="宋体" w:eastAsia="宋体" w:cs="宋体"/>
                <w:kern w:val="0"/>
                <w:sz w:val="22"/>
                <w:szCs w:val="22"/>
              </w:rPr>
            </w:pPr>
          </w:p>
        </w:tc>
        <w:tc>
          <w:tcPr>
            <w:tcW w:w="902" w:type="dxa"/>
            <w:vAlign w:val="center"/>
          </w:tcPr>
          <w:p w14:paraId="3FA2ED90">
            <w:pPr>
              <w:pStyle w:val="2"/>
              <w:tabs>
                <w:tab w:val="left" w:pos="6880"/>
              </w:tabs>
              <w:spacing w:line="360" w:lineRule="auto"/>
              <w:ind w:firstLine="480"/>
              <w:rPr>
                <w:rFonts w:hint="eastAsia" w:ascii="宋体" w:hAnsi="宋体" w:eastAsia="宋体" w:cs="宋体"/>
                <w:kern w:val="0"/>
                <w:sz w:val="22"/>
                <w:szCs w:val="22"/>
              </w:rPr>
            </w:pPr>
          </w:p>
        </w:tc>
      </w:tr>
    </w:tbl>
    <w:p w14:paraId="3DD6E810">
      <w:pPr>
        <w:spacing w:after="120"/>
        <w:ind w:firstLine="120" w:firstLineChars="50"/>
        <w:rPr>
          <w:rFonts w:hint="eastAsia" w:ascii="宋体" w:hAnsi="宋体" w:eastAsia="宋体" w:cs="宋体"/>
          <w:sz w:val="24"/>
        </w:rPr>
      </w:pPr>
      <w:r>
        <w:rPr>
          <w:rFonts w:hint="eastAsia" w:ascii="宋体" w:hAnsi="宋体" w:eastAsia="宋体" w:cs="宋体"/>
          <w:sz w:val="24"/>
        </w:rPr>
        <w:t xml:space="preserve">                  </w:t>
      </w:r>
    </w:p>
    <w:p w14:paraId="041395CD">
      <w:pPr>
        <w:spacing w:line="280" w:lineRule="exact"/>
        <w:ind w:right="540" w:rightChars="257" w:firstLine="480" w:firstLineChars="200"/>
        <w:jc w:val="left"/>
        <w:rPr>
          <w:rFonts w:hint="eastAsia" w:ascii="宋体" w:hAnsi="宋体" w:eastAsia="宋体" w:cs="宋体"/>
          <w:sz w:val="24"/>
        </w:rPr>
      </w:pPr>
    </w:p>
    <w:p w14:paraId="0209B35B">
      <w:pPr>
        <w:spacing w:line="280" w:lineRule="exact"/>
        <w:ind w:right="540" w:rightChars="257" w:firstLine="480" w:firstLineChars="2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（加盖单位公章）      </w:t>
      </w:r>
    </w:p>
    <w:p w14:paraId="7ED25615">
      <w:pPr>
        <w:spacing w:line="280" w:lineRule="exact"/>
        <w:ind w:right="540" w:rightChars="257"/>
        <w:jc w:val="left"/>
        <w:rPr>
          <w:rFonts w:hint="eastAsia" w:ascii="宋体" w:hAnsi="宋体" w:eastAsia="宋体" w:cs="宋体"/>
          <w:sz w:val="24"/>
        </w:rPr>
      </w:pPr>
    </w:p>
    <w:p w14:paraId="55B9C801">
      <w:pPr>
        <w:spacing w:line="500" w:lineRule="exact"/>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法定代表人或被授权人：</w:t>
      </w:r>
      <w:r>
        <w:rPr>
          <w:rFonts w:hint="eastAsia" w:ascii="宋体" w:hAnsi="宋体" w:eastAsia="宋体" w:cs="宋体"/>
          <w:spacing w:val="4"/>
          <w:sz w:val="24"/>
          <w:u w:val="single"/>
        </w:rPr>
        <w:t xml:space="preserve">        </w:t>
      </w:r>
      <w:r>
        <w:rPr>
          <w:rFonts w:hint="eastAsia" w:ascii="宋体" w:hAnsi="宋体" w:eastAsia="宋体" w:cs="宋体"/>
          <w:spacing w:val="4"/>
          <w:sz w:val="24"/>
        </w:rPr>
        <w:t>（签字或盖章）</w:t>
      </w:r>
    </w:p>
    <w:p w14:paraId="3B4CE36D">
      <w:pPr>
        <w:spacing w:line="280" w:lineRule="exact"/>
        <w:ind w:right="540" w:rightChars="257"/>
        <w:jc w:val="left"/>
        <w:rPr>
          <w:rFonts w:hint="eastAsia" w:ascii="宋体" w:hAnsi="宋体" w:eastAsia="宋体" w:cs="宋体"/>
          <w:sz w:val="24"/>
        </w:rPr>
      </w:pPr>
    </w:p>
    <w:p w14:paraId="748AB889">
      <w:pPr>
        <w:spacing w:line="280" w:lineRule="exact"/>
        <w:ind w:right="540" w:rightChars="257" w:firstLine="480" w:firstLineChars="200"/>
        <w:rPr>
          <w:rFonts w:hint="eastAsia" w:ascii="宋体" w:hAnsi="宋体" w:eastAsia="宋体" w:cs="宋体"/>
          <w:sz w:val="24"/>
        </w:rPr>
      </w:pPr>
      <w:r>
        <w:rPr>
          <w:rFonts w:hint="eastAsia" w:ascii="宋体" w:hAnsi="宋体" w:eastAsia="宋体" w:cs="宋体"/>
          <w:sz w:val="24"/>
        </w:rPr>
        <w:t>日    期：     年     月     日</w:t>
      </w:r>
    </w:p>
    <w:p w14:paraId="608A2B80">
      <w:pPr>
        <w:spacing w:line="400" w:lineRule="exact"/>
        <w:rPr>
          <w:rFonts w:hint="eastAsia" w:ascii="宋体" w:hAnsi="宋体" w:eastAsia="宋体" w:cs="宋体"/>
          <w:sz w:val="24"/>
        </w:rPr>
      </w:pPr>
    </w:p>
    <w:p w14:paraId="683E0381">
      <w:pPr>
        <w:spacing w:line="400" w:lineRule="exact"/>
        <w:ind w:left="600" w:leftChars="57" w:hanging="480" w:hangingChars="200"/>
        <w:rPr>
          <w:rFonts w:hint="eastAsia" w:ascii="宋体" w:hAnsi="宋体" w:eastAsia="宋体" w:cs="宋体"/>
          <w:sz w:val="24"/>
        </w:rPr>
      </w:pPr>
      <w:r>
        <w:rPr>
          <w:rFonts w:hint="eastAsia" w:ascii="宋体" w:hAnsi="宋体" w:eastAsia="宋体" w:cs="宋体"/>
          <w:sz w:val="24"/>
        </w:rPr>
        <w:t>注：1、磋商文件要求：供应商必须将磋商文件中第三章3.2.2服务要求</w:t>
      </w:r>
      <w:r>
        <w:rPr>
          <w:rFonts w:hint="eastAsia" w:ascii="宋体" w:hAnsi="宋体" w:eastAsia="宋体" w:cs="宋体"/>
          <w:sz w:val="24"/>
          <w:lang w:eastAsia="zh-CN"/>
        </w:rPr>
        <w:t>、</w:t>
      </w:r>
      <w:r>
        <w:rPr>
          <w:rFonts w:hint="eastAsia" w:ascii="宋体" w:hAnsi="宋体" w:eastAsia="宋体" w:cs="宋体"/>
          <w:sz w:val="24"/>
          <w:lang w:val="en-US" w:eastAsia="zh-CN"/>
        </w:rPr>
        <w:t>3.2.3人员配置要求、3.2.4设施设备要求、3.2.5其他要求</w:t>
      </w:r>
      <w:r>
        <w:rPr>
          <w:rFonts w:hint="eastAsia" w:ascii="宋体" w:hAnsi="宋体" w:eastAsia="宋体" w:cs="宋体"/>
          <w:sz w:val="24"/>
        </w:rPr>
        <w:t>相关内容和标准要求事项列入此表。</w:t>
      </w:r>
    </w:p>
    <w:p w14:paraId="7E393014">
      <w:pPr>
        <w:spacing w:line="400" w:lineRule="exact"/>
        <w:ind w:firstLine="480" w:firstLineChars="200"/>
        <w:rPr>
          <w:rFonts w:hint="eastAsia" w:ascii="宋体" w:hAnsi="宋体" w:eastAsia="宋体" w:cs="宋体"/>
          <w:sz w:val="24"/>
        </w:rPr>
      </w:pPr>
      <w:r>
        <w:rPr>
          <w:rFonts w:hint="eastAsia" w:ascii="宋体" w:hAnsi="宋体" w:eastAsia="宋体" w:cs="宋体"/>
          <w:sz w:val="24"/>
        </w:rPr>
        <w:t>2、磋商响应文件的应答：按照磋商文件服务要求的顺序对应填写。</w:t>
      </w:r>
    </w:p>
    <w:p w14:paraId="4C07A12A">
      <w:pPr>
        <w:ind w:firstLine="480" w:firstLineChars="200"/>
      </w:pPr>
      <w:r>
        <w:rPr>
          <w:rFonts w:hint="eastAsia" w:ascii="宋体" w:hAnsi="宋体" w:eastAsia="宋体" w:cs="宋体"/>
          <w:kern w:val="2"/>
          <w:sz w:val="24"/>
          <w:szCs w:val="24"/>
          <w:lang w:val="en-US" w:eastAsia="zh-CN" w:bidi="ar-SA"/>
        </w:rPr>
        <w:t>3、供应商必须据实填写，不得虚假填写，否则将取消其磋商或成交资格。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61969"/>
    <w:rsid w:val="57093316"/>
    <w:rsid w:val="7FEE4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2026-07-07T08:42:26Z</dcterms:created>
  <dc:creator>Administrator</dc:creator>
  <cp:lastModifiedBy>华夏国际-招标部</cp:lastModifiedBy>
  <dcterms:modified xsi:type="dcterms:W3CDTF">2026-07-07T08:43:06Z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3F9941B4402B4A8880CB9F8E1CA7AE4C_12</vt:lpwstr>
  </property>
</Properties>
</file>