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版本号：SX－JSZB(2026)－00420260508001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西餐烹饪专业实训室提升改造项目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SX－JSZB(2026)－004</w:t>
      </w:r>
      <w:r>
        <w:br/>
      </w:r>
      <w:r>
        <w:br/>
      </w:r>
      <w:r>
        <w:br/>
      </w:r>
    </w:p>
    <w:p>
      <w:pPr>
        <w:pStyle w:val="null3"/>
        <w:jc w:val="center"/>
        <w:outlineLvl w:val="2"/>
      </w:pPr>
      <w:r>
        <w:rPr>
          <w:rFonts w:ascii="仿宋_GB2312" w:hAnsi="仿宋_GB2312" w:cs="仿宋_GB2312" w:eastAsia="仿宋_GB2312"/>
          <w:sz w:val="28"/>
          <w:b/>
        </w:rPr>
        <w:t>蒲城县职业教育中心</w:t>
      </w:r>
    </w:p>
    <w:p>
      <w:pPr>
        <w:pStyle w:val="null3"/>
        <w:jc w:val="center"/>
        <w:outlineLvl w:val="2"/>
      </w:pPr>
      <w:r>
        <w:rPr>
          <w:rFonts w:ascii="仿宋_GB2312" w:hAnsi="仿宋_GB2312" w:cs="仿宋_GB2312" w:eastAsia="仿宋_GB2312"/>
          <w:sz w:val="28"/>
          <w:b/>
        </w:rPr>
        <w:t>陕西巨思项目管理有限公司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陕西巨思项目管理有限公司</w:t>
      </w:r>
      <w:r>
        <w:rPr>
          <w:rFonts w:ascii="仿宋_GB2312" w:hAnsi="仿宋_GB2312" w:cs="仿宋_GB2312" w:eastAsia="仿宋_GB2312"/>
        </w:rPr>
        <w:t>（以下简称“代理机构”）受</w:t>
      </w:r>
      <w:r>
        <w:rPr>
          <w:rFonts w:ascii="仿宋_GB2312" w:hAnsi="仿宋_GB2312" w:cs="仿宋_GB2312" w:eastAsia="仿宋_GB2312"/>
        </w:rPr>
        <w:t>蒲城县职业教育中心</w:t>
      </w:r>
      <w:r>
        <w:rPr>
          <w:rFonts w:ascii="仿宋_GB2312" w:hAnsi="仿宋_GB2312" w:cs="仿宋_GB2312" w:eastAsia="仿宋_GB2312"/>
        </w:rPr>
        <w:t>委托，拟对</w:t>
      </w:r>
      <w:r>
        <w:rPr>
          <w:rFonts w:ascii="仿宋_GB2312" w:hAnsi="仿宋_GB2312" w:cs="仿宋_GB2312" w:eastAsia="仿宋_GB2312"/>
        </w:rPr>
        <w:t>西餐烹饪专业实训室提升改造项目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SX－JSZB(2026)－004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西餐烹饪专业实训室提升改造项目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本工程建设地点位于蒲城县职教中心，本项目包括：室内拆除、水电安装、地面工程、墙面天棚装饰、吊顶工程、涂料工程、成品安装。(具体详见工程量清单）。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采购包1（西餐烹饪专业实训室提升改造项目）：属于专门面向小微企业采购。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财务状况报告：提供2024年度或2025年度经审计完整的财务审计报告（成立时间至提交响应文件截止时间不足一年的可提供成立后任意时段的资产负债表）或截止磋商时间前三个月内由基本账户开户银行出具的资信证明；</w:t>
      </w:r>
    </w:p>
    <w:p>
      <w:pPr>
        <w:pStyle w:val="null3"/>
      </w:pPr>
      <w:r>
        <w:rPr>
          <w:rFonts w:ascii="仿宋_GB2312" w:hAnsi="仿宋_GB2312" w:cs="仿宋_GB2312" w:eastAsia="仿宋_GB2312"/>
        </w:rPr>
        <w:t>3、税收缴纳证明：提供投标截止日前6个月内已缴纳的至少一个月的纳税证明或完税证明（增值税或印花税等税种），依法免税的单位应提供相关证明材料；</w:t>
      </w:r>
    </w:p>
    <w:p>
      <w:pPr>
        <w:pStyle w:val="null3"/>
      </w:pPr>
      <w:r>
        <w:rPr>
          <w:rFonts w:ascii="仿宋_GB2312" w:hAnsi="仿宋_GB2312" w:cs="仿宋_GB2312" w:eastAsia="仿宋_GB2312"/>
        </w:rPr>
        <w:t>4、社会保障资金缴纳证明：提供投标截止日前6个月内已缴存的至少一个月的社会保障资金缴存单据或社保机构开具的社会保险参保缴费情况证明，依法不需要缴纳社会保障资金的单位应提供相关证明材料；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5、专业技术能力证明：提供具有履行合同所必需的设备和专业技术能力的承诺；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7、法定代表人证明书或授权委托书：非法定代表人参加投标，须提供法定代表人授权委托书及被授权人身份证原件；法定代表人参加投标时,须提供法人身份证明书及法定代表人身份证原件；</w:t>
      </w:r>
    </w:p>
    <w:p>
      <w:pPr>
        <w:pStyle w:val="null3"/>
      </w:pPr>
      <w:r>
        <w:rPr>
          <w:rFonts w:ascii="仿宋_GB2312" w:hAnsi="仿宋_GB2312" w:cs="仿宋_GB2312" w:eastAsia="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9、中小企业：本项目为专门面向小微企业采购项目须根据《政府采购促进中小企业发展管理办法》（财库﹝2020﹞46号）的规定提供《中小企业声明函》；</w:t>
      </w:r>
    </w:p>
    <w:p>
      <w:pPr>
        <w:pStyle w:val="null3"/>
      </w:pPr>
      <w:r>
        <w:rPr>
          <w:rFonts w:ascii="仿宋_GB2312" w:hAnsi="仿宋_GB2312" w:cs="仿宋_GB2312" w:eastAsia="仿宋_GB2312"/>
        </w:rPr>
        <w:t>10、企业资质：投标供应商具有建设行政主管部门颁发的建筑工程施工总承包三级及以上资质或建筑装修装饰工程专业承包二级及以上资质证书，且具备有效的安全生产许可证；</w:t>
      </w:r>
    </w:p>
    <w:p>
      <w:pPr>
        <w:pStyle w:val="null3"/>
      </w:pPr>
      <w:r>
        <w:rPr>
          <w:rFonts w:ascii="仿宋_GB2312" w:hAnsi="仿宋_GB2312" w:cs="仿宋_GB2312" w:eastAsia="仿宋_GB2312"/>
        </w:rPr>
        <w:t>11、拟派项目经理：拟派项目经理具备建筑工程专业二级及以上注册建造师执业资格和有效的安全生产考核合格证书（B证），且未担任其他在建工程项目的项目经理（须提供无在建承诺）；</w:t>
      </w:r>
    </w:p>
    <w:p>
      <w:pPr>
        <w:pStyle w:val="null3"/>
      </w:pPr>
      <w:r>
        <w:rPr>
          <w:rFonts w:ascii="仿宋_GB2312" w:hAnsi="仿宋_GB2312" w:cs="仿宋_GB2312" w:eastAsia="仿宋_GB2312"/>
        </w:rPr>
        <w:t>12、禁止投标期：投标供应商及项目经理在全国建筑市场监管公共服务平台均未处于禁止投标期限内（提供查询截图）；</w:t>
      </w:r>
    </w:p>
    <w:p>
      <w:pPr>
        <w:pStyle w:val="null3"/>
      </w:pPr>
      <w:r>
        <w:rPr>
          <w:rFonts w:ascii="仿宋_GB2312" w:hAnsi="仿宋_GB2312" w:cs="仿宋_GB2312" w:eastAsia="仿宋_GB2312"/>
        </w:rPr>
        <w:t>13、其他要求：本项目不接受联合体投标，单位负责人为同一人或者存在控股、管理关系的不同单位不得同时投标。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蒲城县尧山路西段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0913-7215205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陕西巨思项目管理有限公司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陕西省西安市经济技术开发区凤城八路158号20幢1单元6楼609室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董星、郑凌汐、宋雯静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19992817810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开户名称：陕西巨思项目管理有限公司</w:t>
            </w:r>
          </w:p>
          <w:p>
            <w:pPr>
              <w:pStyle w:val="null3"/>
            </w:pPr>
            <w:r>
              <w:rPr>
                <w:rFonts w:ascii="仿宋_GB2312" w:hAnsi="仿宋_GB2312" w:cs="仿宋_GB2312" w:eastAsia="仿宋_GB2312"/>
              </w:rPr>
              <w:t>开户银行：中国建设银行股份有限公司西安中央领郡支行</w:t>
            </w:r>
          </w:p>
          <w:p>
            <w:pPr>
              <w:pStyle w:val="null3"/>
            </w:pPr>
            <w:r>
              <w:rPr>
                <w:rFonts w:ascii="仿宋_GB2312" w:hAnsi="仿宋_GB2312" w:cs="仿宋_GB2312" w:eastAsia="仿宋_GB2312"/>
              </w:rPr>
              <w:t>银行账号：6105 0190 0042 0000 0459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收费标准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蒲城县职业教育中心</w:t>
      </w:r>
      <w:r>
        <w:rPr>
          <w:rFonts w:ascii="仿宋_GB2312" w:hAnsi="仿宋_GB2312" w:cs="仿宋_GB2312" w:eastAsia="仿宋_GB2312"/>
        </w:rPr>
        <w:t>和</w:t>
      </w:r>
      <w:r>
        <w:rPr>
          <w:rFonts w:ascii="仿宋_GB2312" w:hAnsi="仿宋_GB2312" w:cs="仿宋_GB2312" w:eastAsia="仿宋_GB2312"/>
        </w:rPr>
        <w:t>陕西巨思项目管理有限公司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蒲城县职业教育中心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陕西巨思项目管理有限公司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陕西巨思项目管理有限公司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相关的规范及行业验收规范、标准执行及《财政部关于进一步加强政府采购需求和覆约验收管理的指导意见》(财库[2016]205号)文件的规定、验收由采购人组织相关单位及专家组成验收组进行。验收标准按采购文件规定的要求和响应文件及合同承诺的内容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陕西巨思项目管理有限公司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联系人：董星</w:t>
      </w:r>
    </w:p>
    <w:p>
      <w:pPr>
        <w:pStyle w:val="null3"/>
      </w:pPr>
      <w:r>
        <w:rPr>
          <w:rFonts w:ascii="仿宋_GB2312" w:hAnsi="仿宋_GB2312" w:cs="仿宋_GB2312" w:eastAsia="仿宋_GB2312"/>
        </w:rPr>
        <w:t>联系电话：19992817810</w:t>
      </w:r>
    </w:p>
    <w:p>
      <w:pPr>
        <w:pStyle w:val="null3"/>
      </w:pPr>
      <w:r>
        <w:rPr>
          <w:rFonts w:ascii="仿宋_GB2312" w:hAnsi="仿宋_GB2312" w:cs="仿宋_GB2312" w:eastAsia="仿宋_GB2312"/>
        </w:rPr>
        <w:t>地址：陕西省西安市经济技术开发区凤城八路158号20幢1单元6楼609室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1,680,000.00</w:t>
      </w:r>
    </w:p>
    <w:p>
      <w:pPr>
        <w:pStyle w:val="null3"/>
      </w:pPr>
      <w:r>
        <w:rPr>
          <w:rFonts w:ascii="仿宋_GB2312" w:hAnsi="仿宋_GB2312" w:cs="仿宋_GB2312" w:eastAsia="仿宋_GB2312"/>
        </w:rPr>
        <w:t>采购包最高限价（元）: 1,677,705.66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装修材料 办公家具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标的名称：装修材料 办公家具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rPr>
              <w:t>一、施工范围</w:t>
            </w:r>
          </w:p>
          <w:p>
            <w:pPr>
              <w:pStyle w:val="null3"/>
            </w:pPr>
            <w:r>
              <w:rPr>
                <w:rFonts w:ascii="仿宋_GB2312" w:hAnsi="仿宋_GB2312" w:cs="仿宋_GB2312" w:eastAsia="仿宋_GB2312"/>
              </w:rPr>
              <w:t>本工程施工总面积约1500平方米，施工内容涵盖烘焙教学区、实操操作区、办公区、接待区、公共过道等全域室内装饰装修工程。具体涵盖以下施工内容：</w:t>
            </w:r>
          </w:p>
          <w:p>
            <w:pPr>
              <w:pStyle w:val="null3"/>
            </w:pPr>
            <w:r>
              <w:rPr>
                <w:rFonts w:ascii="仿宋_GB2312" w:hAnsi="仿宋_GB2312" w:cs="仿宋_GB2312" w:eastAsia="仿宋_GB2312"/>
              </w:rPr>
              <w:t>1.地面工程：各区域地面找平、瓷砖/防滑地砖铺贴、地坪漆施工、踢脚线安装等；</w:t>
            </w:r>
          </w:p>
          <w:p>
            <w:pPr>
              <w:pStyle w:val="null3"/>
            </w:pPr>
            <w:r>
              <w:rPr>
                <w:rFonts w:ascii="仿宋_GB2312" w:hAnsi="仿宋_GB2312" w:cs="仿宋_GB2312" w:eastAsia="仿宋_GB2312"/>
              </w:rPr>
              <w:t>2.墙面工程：墙面基层处理、腻子批刮、乳胶漆涂刷、墙面造型制作、防水墙面施工等；</w:t>
            </w:r>
          </w:p>
          <w:p>
            <w:pPr>
              <w:pStyle w:val="null3"/>
            </w:pPr>
            <w:r>
              <w:rPr>
                <w:rFonts w:ascii="仿宋_GB2312" w:hAnsi="仿宋_GB2312" w:cs="仿宋_GB2312" w:eastAsia="仿宋_GB2312"/>
              </w:rPr>
              <w:t>3.吊顶工程：平面吊顶、异型造型吊顶、石膏板吊顶、吊顶线条安装、开孔及收口等；</w:t>
            </w:r>
          </w:p>
          <w:p>
            <w:pPr>
              <w:pStyle w:val="null3"/>
            </w:pPr>
            <w:r>
              <w:rPr>
                <w:rFonts w:ascii="仿宋_GB2312" w:hAnsi="仿宋_GB2312" w:cs="仿宋_GB2312" w:eastAsia="仿宋_GB2312"/>
              </w:rPr>
              <w:t>4.定制构配件工程：烘焙实操区定制柜体基层、操作台框架、装饰线条、石膏异型构件、墙面造型基层等自制及安装；</w:t>
            </w:r>
          </w:p>
          <w:p>
            <w:pPr>
              <w:pStyle w:val="null3"/>
            </w:pPr>
            <w:r>
              <w:rPr>
                <w:rFonts w:ascii="仿宋_GB2312" w:hAnsi="仿宋_GB2312" w:cs="仿宋_GB2312" w:eastAsia="仿宋_GB2312"/>
              </w:rPr>
              <w:t>5.水电配套工程：装修配套水电改造、开关插座安装、灯具安装、给排水点位改造（不含主水电管网外网工程）；</w:t>
            </w:r>
          </w:p>
          <w:p>
            <w:pPr>
              <w:pStyle w:val="null3"/>
            </w:pPr>
            <w:r>
              <w:rPr>
                <w:rFonts w:ascii="仿宋_GB2312" w:hAnsi="仿宋_GB2312" w:cs="仿宋_GB2312" w:eastAsia="仿宋_GB2312"/>
              </w:rPr>
              <w:t>6.其他工程：成品保护、施工现场垃圾清运至项目指定地点、安全文明施工、竣工验收配合等全部辅助工作。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left"/>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1、本工程应按质按量完成工程全部内容。</w:t>
            </w:r>
          </w:p>
          <w:p>
            <w:pPr>
              <w:pStyle w:val="null3"/>
            </w:pPr>
            <w:r>
              <w:rPr>
                <w:rFonts w:ascii="仿宋_GB2312" w:hAnsi="仿宋_GB2312" w:cs="仿宋_GB2312" w:eastAsia="仿宋_GB2312"/>
              </w:rPr>
              <w:t>2、本工程验收标准应符合国家相关工程管理规定及行业相关标准要求。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rPr>
              <w:t>三、工程指标的具体要求：</w:t>
            </w:r>
          </w:p>
          <w:p>
            <w:pPr>
              <w:pStyle w:val="null3"/>
            </w:pPr>
            <w:r>
              <w:rPr>
                <w:rFonts w:ascii="仿宋_GB2312" w:hAnsi="仿宋_GB2312" w:cs="仿宋_GB2312" w:eastAsia="仿宋_GB2312"/>
              </w:rPr>
              <w:t>1、质量标准：合格。</w:t>
            </w:r>
          </w:p>
          <w:p>
            <w:pPr>
              <w:pStyle w:val="null3"/>
            </w:pPr>
            <w:r>
              <w:rPr>
                <w:rFonts w:ascii="仿宋_GB2312" w:hAnsi="仿宋_GB2312" w:cs="仿宋_GB2312" w:eastAsia="仿宋_GB2312"/>
              </w:rPr>
              <w:t>2、工期：自合同签订之日起90日历天内竣工。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 （1）《政府采购促进中小企业发展管理办法》（财库〔2020〕46号）； （2）《关于进一步加大政府采购支持中小企业力度的通知》（财库〔2022〕19号）； （3）《财政部司法部关于政府采购支持监狱企业发展有关问题的通知》（财库〔2014〕68号）； （4）《国务院办公厅关于建立政府强制采购节能产品制度的通知》（国办发〔2007〕51号）； （5）《关于印发环境标志产品政府采购品目清单的通知》（财库〔2019〕18号）； （6）《关于印发节能产品政府采购品目清单的通知》（财库〔2019〕19号）； （7）《关于促进残疾人就业政府采购政策的通知》财库〔2017〕141号； （8）《关于调整优化节能产品、环境标志产品政府采购执行机制的通知》（财库〔2019〕9号）； （9）《财政部农业农村部国家乡村振兴局关于运用政府采购政策支持乡村产业振兴的通知》（财库〔2021〕19号）； （10）《陕西省中小企业政府采购信用融资办法》（陕财办采〔2018〕23号）； （11）《陕西省财政厅关于加快推进我省中小企业政府采购信用融资工作的通知》（陕财办采〔2020〕15号）； （12）《陕西省财政厅关于进一步加强政府绿色采购有关问题的通知》（陕财办采〔2021〕29号）； （13）《关于推动解决政府采购异常低价问题的通知》--（财库【2026】2号）；（14）《国务院办公厅关于在政府采购中实施本国产品标准及相关政策的通知》--（国办发〔2025〕34号）；（15）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提供2024年度或2025年度经审计的财务报告（成立时间至提交投标文件截止时间不足一年的可提供成立后任意时段的资产负债表），或其基本存款账户开户银行出具的资信证明及基本存款账户证明。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提供2024年度或2025年度经审计完整的财务审计报告（成立时间至提交响应文件截止时间不足一年的可提供成立后任意时段的资产负债表）或截止磋商时间前三个月内由基本账户开户银行出具的资信证明；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提供投标截止日前6个月内已缴纳的至少一个月的纳税证明或完税证明（增值税或印花税等税种），依法免税的单位应提供相关证明材料；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非法定代表人参加投标，须提供法定代表人授权委托书及被授权人身份证原件；法定代表人参加投标时,须提供法人身份证明书及法定代表人身份证原件；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本项目为专门面向小微企业采购项目须根据《政府采购促进中小企业发展管理办法》（财库﹝2020﹞46号）的规定提供《中小企业声明函》；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投标供应商具有建设行政主管部门颁发的建筑工程施工总承包三级及以上资质或建筑装修装饰工程专业承包二级及以上资质证书，且具备有效的安全生产许可证；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拟派项目经理具备建筑工程专业二级及以上注册建造师执业资格和有效的安全生产考核合格证书（B证），且未担任其他在建工程项目的项目经理（须提供无在建承诺）；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禁止投标期</w:t>
            </w:r>
          </w:p>
        </w:tc>
        <w:tc>
          <w:tcPr>
            <w:tcW w:type="dxa" w:w="3322"/>
          </w:tcPr>
          <w:p>
            <w:pPr>
              <w:pStyle w:val="null3"/>
            </w:pPr>
            <w:r>
              <w:rPr>
                <w:rFonts w:ascii="仿宋_GB2312" w:hAnsi="仿宋_GB2312" w:cs="仿宋_GB2312" w:eastAsia="仿宋_GB2312"/>
              </w:rPr>
              <w:t>投标供应商及项目经理在全国建筑市场监管公共服务平台均未处于禁止投标期限内（提供查询截图）；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本项目不接受联合体投标，单位负责人为同一人或者存在控股、管理关系的不同单位不得同时投标。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与营业执照、资质证书、安全生产许可证一致</w:t>
            </w:r>
          </w:p>
        </w:tc>
        <w:tc>
          <w:tcPr>
            <w:tcW w:type="dxa" w:w="1661"/>
          </w:tcPr>
          <w:p>
            <w:pPr>
              <w:pStyle w:val="null3"/>
            </w:pPr>
            <w:r>
              <w:rPr>
                <w:rFonts w:ascii="仿宋_GB2312" w:hAnsi="仿宋_GB2312" w:cs="仿宋_GB2312" w:eastAsia="仿宋_GB2312"/>
              </w:rPr>
              <w:t>已标价工程量清单 中小企业声明函 总体施工方案.docx 保证金.docx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有法定代表人或委托代理人签字(或盖章)并加盖单位章，已标价工程量清单中须加盖造价人员章</w:t>
            </w:r>
          </w:p>
        </w:tc>
        <w:tc>
          <w:tcPr>
            <w:tcW w:type="dxa" w:w="1661"/>
          </w:tcPr>
          <w:p>
            <w:pPr>
              <w:pStyle w:val="null3"/>
            </w:pPr>
            <w:r>
              <w:rPr>
                <w:rFonts w:ascii="仿宋_GB2312" w:hAnsi="仿宋_GB2312" w:cs="仿宋_GB2312" w:eastAsia="仿宋_GB2312"/>
              </w:rPr>
              <w:t>已标价工程量清单 中小企业声明函 总体施工方案.docx 保证金.docx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响应文件格式与内容</w:t>
            </w:r>
          </w:p>
        </w:tc>
        <w:tc>
          <w:tcPr>
            <w:tcW w:type="dxa" w:w="3322"/>
          </w:tcPr>
          <w:p>
            <w:pPr>
              <w:pStyle w:val="null3"/>
            </w:pPr>
            <w:r>
              <w:rPr>
                <w:rFonts w:ascii="仿宋_GB2312" w:hAnsi="仿宋_GB2312" w:cs="仿宋_GB2312" w:eastAsia="仿宋_GB2312"/>
              </w:rPr>
              <w:t>符合采购文件及第六章“响应文件格式”的要求</w:t>
            </w:r>
          </w:p>
        </w:tc>
        <w:tc>
          <w:tcPr>
            <w:tcW w:type="dxa" w:w="1661"/>
          </w:tcPr>
          <w:p>
            <w:pPr>
              <w:pStyle w:val="null3"/>
            </w:pPr>
            <w:r>
              <w:rPr>
                <w:rFonts w:ascii="仿宋_GB2312" w:hAnsi="仿宋_GB2312" w:cs="仿宋_GB2312" w:eastAsia="仿宋_GB2312"/>
              </w:rPr>
              <w:t>已标价工程量清单 中小企业声明函 总体施工方案.docx 保证金.docx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报价唯一且未超过预算金额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工期、质量标准、响应有效期等符合采购文件要求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按照采购文件要求缴纳</w:t>
            </w:r>
          </w:p>
        </w:tc>
        <w:tc>
          <w:tcPr>
            <w:tcW w:type="dxa" w:w="1661"/>
          </w:tcPr>
          <w:p>
            <w:pPr>
              <w:pStyle w:val="null3"/>
            </w:pPr>
            <w:r>
              <w:rPr>
                <w:rFonts w:ascii="仿宋_GB2312" w:hAnsi="仿宋_GB2312" w:cs="仿宋_GB2312" w:eastAsia="仿宋_GB2312"/>
              </w:rPr>
              <w:t>保证金.docx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1.对本项目了解透彻，制定针对本项目的施工方案、方法与技术措施内容全面，施工工艺先进，对施工具有高度指导性，得(5-8]分； 2.施工方案基本可行，方法、措施基本得当，得[3-5]分； 3.施工方案、方法与技术措施的可行性、指导性较低的得[0-3)分。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1.工期满足招标文件要求，施工进度、节点安排合理，进度计划横道图或网络图安排合理的得(4-7]分； 2.工期满足招标文件要求，施工进度、节点安排基本合理，进度计划横道图或网络图较完善的得[2-4]分； 3.工期满足招标文件要求，施工进度、节点安排较差，进度计划横道图或网络图不完善的得[0-2)分。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1.质量目标明确，管理体系健全，控制措施完整的得(4-7]分； 2.质量目标基本明确，管理体系基本健全，控制措施较完整的得[2-4]分； 3.质量目标、管理体系不健全、控制措施较差的得[0-2)分。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项目管理机构的组成</w:t>
            </w:r>
          </w:p>
        </w:tc>
        <w:tc>
          <w:tcPr>
            <w:tcW w:type="dxa" w:w="2492"/>
          </w:tcPr>
          <w:p>
            <w:pPr>
              <w:pStyle w:val="null3"/>
            </w:pPr>
            <w:r>
              <w:rPr>
                <w:rFonts w:ascii="仿宋_GB2312" w:hAnsi="仿宋_GB2312" w:cs="仿宋_GB2312" w:eastAsia="仿宋_GB2312"/>
              </w:rPr>
              <w:t>1.项目管理机构配置齐全、合理的得(4-7]分； 2.项目管理机构配置一般、基本合理的得[2-4]分； 3.项目管理机构配置部不齐、不合理的得[0-2)分。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安全生产、文明施工管理体系及保证措施</w:t>
            </w:r>
          </w:p>
        </w:tc>
        <w:tc>
          <w:tcPr>
            <w:tcW w:type="dxa" w:w="2492"/>
          </w:tcPr>
          <w:p>
            <w:pPr>
              <w:pStyle w:val="null3"/>
            </w:pPr>
            <w:r>
              <w:rPr>
                <w:rFonts w:ascii="仿宋_GB2312" w:hAnsi="仿宋_GB2312" w:cs="仿宋_GB2312" w:eastAsia="仿宋_GB2312"/>
              </w:rPr>
              <w:t>1.安全生产目标明确，预防和动态控制措施及制度完整、到位，管理体系和组织措施功能完善，安全经费投入明确的得(4-7]分； 2.安全生产目标基本明确，控制措施及制度基本完整的得[2-4]分； 3.安全生产目标不明确，控制措施及制度较差的得[0-2)分。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环境保护保证体系及保证措施</w:t>
            </w:r>
          </w:p>
        </w:tc>
        <w:tc>
          <w:tcPr>
            <w:tcW w:type="dxa" w:w="2492"/>
          </w:tcPr>
          <w:p>
            <w:pPr>
              <w:pStyle w:val="null3"/>
            </w:pPr>
            <w:r>
              <w:rPr>
                <w:rFonts w:ascii="仿宋_GB2312" w:hAnsi="仿宋_GB2312" w:cs="仿宋_GB2312" w:eastAsia="仿宋_GB2312"/>
              </w:rPr>
              <w:t>1.环境文明施工保证体系健全、完整，保证措施完善得(4-7]分； 2.环境文明施工保证体系基本健全、较完整得[2-4]分； 3.环境文明施工保证体系不健全、不完整得[0-2)分。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主要劳动力及机具配备</w:t>
            </w:r>
          </w:p>
        </w:tc>
        <w:tc>
          <w:tcPr>
            <w:tcW w:type="dxa" w:w="2492"/>
          </w:tcPr>
          <w:p>
            <w:pPr>
              <w:pStyle w:val="null3"/>
            </w:pPr>
            <w:r>
              <w:rPr>
                <w:rFonts w:ascii="仿宋_GB2312" w:hAnsi="仿宋_GB2312" w:cs="仿宋_GB2312" w:eastAsia="仿宋_GB2312"/>
              </w:rPr>
              <w:t>1.劳动力及机具投入计划根据施工进度需求、工作量进行合理分配安排,并具有较强的实施性，满足施工要求得(4-7]分； 2.有基本的劳动力及机具投入得[2-4]分； 3.劳动力及机具投入较差得[0-2)分。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1.项目风险预测与防范、事故应急预案考虑全面，切实可行操作性强，经济合理得(4-7]分； 2.项目风险预测与防范、事故应急预案考虑操作性较强得[2-4]分； 3.项目风险预测与防范、事故应急预案考虑操作性较差得[0-2)分。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投标供应商具有2023年1月1日至今（合同签订时间为准）的类似项目业绩，响应文件中提供合同复印件加盖公章,每提供一个计2分，满分8分。 注：以合同复印件为准。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实质性承诺或合理化建议</w:t>
            </w:r>
          </w:p>
        </w:tc>
        <w:tc>
          <w:tcPr>
            <w:tcW w:type="dxa" w:w="2492"/>
          </w:tcPr>
          <w:p>
            <w:pPr>
              <w:pStyle w:val="null3"/>
            </w:pPr>
            <w:r>
              <w:rPr>
                <w:rFonts w:ascii="仿宋_GB2312" w:hAnsi="仿宋_GB2312" w:cs="仿宋_GB2312" w:eastAsia="仿宋_GB2312"/>
              </w:rPr>
              <w:t>1.针对本项目实际需求提供实质性承诺或合理化建议计(3-5]分； 2.有实质性承诺或合理化建议但不适用于本项目计[0-3]分。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总体施工方案.docx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详见附件：总体施工方案.docx</w:t>
      </w:r>
    </w:p>
    <w:p>
      <w:pPr>
        <w:pStyle w:val="null3"/>
        <w:ind w:firstLine="960"/>
      </w:pPr>
      <w:r>
        <w:rPr>
          <w:rFonts w:ascii="仿宋_GB2312" w:hAnsi="仿宋_GB2312" w:cs="仿宋_GB2312" w:eastAsia="仿宋_GB2312"/>
        </w:rPr>
        <w:t>详见附件：保证金.docx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