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版本号：HDFX-2026-Z09520260825001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西安市临潼区2026年中央农业防灾减灾资金农作物病虫害防控项目重大病虫害防控服务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HDFX-2026-Z095</w:t>
      </w:r>
      <w:r>
        <w:br/>
      </w:r>
      <w:r>
        <w:br/>
      </w:r>
      <w:r>
        <w:br/>
      </w:r>
    </w:p>
    <w:p>
      <w:pPr>
        <w:pStyle w:val="null3"/>
        <w:jc w:val="center"/>
        <w:outlineLvl w:val="2"/>
      </w:pPr>
      <w:r>
        <w:rPr>
          <w:rFonts w:ascii="仿宋_GB2312" w:hAnsi="仿宋_GB2312" w:cs="仿宋_GB2312" w:eastAsia="仿宋_GB2312"/>
          <w:sz w:val="28"/>
          <w:b/>
        </w:rPr>
        <w:t>西安市临潼区农技推广服务中心</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西安市临潼区农技推广服务中心</w:t>
      </w:r>
      <w:r>
        <w:rPr>
          <w:rFonts w:ascii="仿宋_GB2312" w:hAnsi="仿宋_GB2312" w:cs="仿宋_GB2312" w:eastAsia="仿宋_GB2312"/>
        </w:rPr>
        <w:t>委托，拟对</w:t>
      </w:r>
      <w:r>
        <w:rPr>
          <w:rFonts w:ascii="仿宋_GB2312" w:hAnsi="仿宋_GB2312" w:cs="仿宋_GB2312" w:eastAsia="仿宋_GB2312"/>
        </w:rPr>
        <w:t>西安市临潼区2026年中央农业防灾减灾资金农作物病虫害防控项目重大病虫害防控服务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HDFX-2026-Z095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西安市临潼区2026年中央农业防灾减灾资金农作物病虫害防控项目重大病虫害防控服务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西安市临潼区2026年中央农业防灾减灾资金农作物病虫害防控项目重大病虫害防控服务，具体详见采购文件。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采购包1（重大病虫害防控服务采购）：属于专门面向中小企业采购。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w:t>
      </w:r>
    </w:p>
    <w:p>
      <w:pPr>
        <w:pStyle w:val="null3"/>
      </w:pPr>
      <w:r>
        <w:rPr>
          <w:rFonts w:ascii="仿宋_GB2312" w:hAnsi="仿宋_GB2312" w:cs="仿宋_GB2312" w:eastAsia="仿宋_GB2312"/>
        </w:rPr>
        <w:t>3、财务状况报告：提供2025年度的完整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7、履行合同的书面承诺：承诺具备履行合同所必需的设备和专业技术能力。</w:t>
      </w:r>
    </w:p>
    <w:p>
      <w:pPr>
        <w:pStyle w:val="null3"/>
      </w:pPr>
      <w:r>
        <w:rPr>
          <w:rFonts w:ascii="仿宋_GB2312" w:hAnsi="仿宋_GB2312" w:cs="仿宋_GB2312" w:eastAsia="仿宋_GB2312"/>
        </w:rPr>
        <w:t>8、非联合体声明函：本项目不接受联合体投标。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西安市临潼区农技推广服务中心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临潼区银桥大道90号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临潼区农技推广服务中心经办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83886540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代理服务费收费标准：1、中标人在领取中标通知书前，须向采购代理机构支付服务费。 2、服务费参照《国家计委关于印发&lt;招标代理服务收费管理暂行办法&gt;的通知》（计价格〔2002〕1980号）规定收取，若每个采购包代理服务费不足5000元按5000元收取。 3、中标人服务费交纳信息 银行户名：陕西华达峰信项目管理有限公司 开户银行：中国工商银行股份有限公司西安未央支行 账 号：3700 0340 0910 0001 556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西安市临潼区农技推广服务中心</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西安市临潼区农技推广服务中心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西安市临潼区农技推广服务中心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本项目所产生的全部知识产权归采购人所有。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（1）验收内容：本项目所含所有内容。 （2）责任主体：采购人作为验收主体监督成交供应商的履约情况。 （3）验收方法：根据采购文件、投标文件、澄清表（函）、本合同及附件文本、国家及行业现行的标准和技术规范。 （4）验收程序： （a）现场验收：产品及其备附件到达采购人指定地点后，采购人根据合同要求，在成交供应商和采购人相关负责人双方同时在场的情况下，进行外观验收，确认产地、规格、型号和数量； （b）安装调试（如有）：成交供应商应配合采购人的时限要求，负责在现场对产品进行安装、调试和试运行，直至验收合格。成交供应商应提供全部安装、调试过程中所需的材料、设施设备、人工等。 （c）最终验收：产品安装调试和运行后，由成交供应商向采购人递交监督检验报告和移交单，经采购人确认后，组织成交供应商进行系统验收。验收合格后，填写采购项目验收单作为对产品的最终认可。 （d）技术要求：按照国家相关法律法规和本项目采购需求进行。 （e）参加验收人员：由采购人相关部门、成交供应商等相关人员组成验收小组进行履约验收。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地址：陕西省西安市未央区朱宏路福清商会大厦11层1101室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西安市临潼区2026年中央农业防灾减灾资金农作物病虫害防控项目重大病虫害防控服务，具体详见招标文件。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490,000.00</w:t>
      </w:r>
    </w:p>
    <w:p>
      <w:pPr>
        <w:pStyle w:val="null3"/>
      </w:pPr>
      <w:r>
        <w:rPr>
          <w:rFonts w:ascii="仿宋_GB2312" w:hAnsi="仿宋_GB2312" w:cs="仿宋_GB2312" w:eastAsia="仿宋_GB2312"/>
        </w:rPr>
        <w:t>采购包最高限价（元）: 490,000.00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重大病虫害防控服务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标的名称：重大病虫害防控服务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技术要求</w:t>
            </w:r>
          </w:p>
          <w:p>
            <w:pPr>
              <w:pStyle w:val="null3"/>
              <w:jc w:val="both"/>
            </w:pPr>
            <w:r>
              <w:rPr>
                <w:rFonts w:ascii="仿宋_GB2312" w:hAnsi="仿宋_GB2312" w:cs="仿宋_GB2312" w:eastAsia="仿宋_GB2312"/>
                <w:sz w:val="20"/>
                <w:b/>
              </w:rPr>
              <w:t>1.玉米重大病虫害防治</w:t>
            </w:r>
          </w:p>
          <w:p>
            <w:pPr>
              <w:pStyle w:val="null3"/>
              <w:ind w:firstLine="400"/>
              <w:jc w:val="both"/>
            </w:pPr>
            <w:r>
              <w:rPr>
                <w:rFonts w:ascii="仿宋_GB2312" w:hAnsi="仿宋_GB2312" w:cs="仿宋_GB2312" w:eastAsia="仿宋_GB2312"/>
                <w:sz w:val="20"/>
              </w:rPr>
              <w:t>1.1药剂方案及亩用量：40%唑醚•戊唑醇悬浮剂每亩20毫升+5%甲维•高氯氟水乳剂每亩20毫升+氨基酸水溶肥每亩50毫升+飞防专用助剂每亩10毫升。</w:t>
            </w:r>
          </w:p>
          <w:p>
            <w:pPr>
              <w:pStyle w:val="null3"/>
              <w:ind w:firstLine="400"/>
              <w:jc w:val="both"/>
            </w:pPr>
            <w:r>
              <w:rPr>
                <w:rFonts w:ascii="仿宋_GB2312" w:hAnsi="仿宋_GB2312" w:cs="仿宋_GB2312" w:eastAsia="仿宋_GB2312"/>
                <w:sz w:val="20"/>
              </w:rPr>
              <w:t>1.2作业区域：临潼区境内。</w:t>
            </w:r>
          </w:p>
          <w:p>
            <w:pPr>
              <w:pStyle w:val="null3"/>
              <w:ind w:firstLine="400"/>
              <w:jc w:val="both"/>
            </w:pPr>
            <w:r>
              <w:rPr>
                <w:rFonts w:ascii="仿宋_GB2312" w:hAnsi="仿宋_GB2312" w:cs="仿宋_GB2312" w:eastAsia="仿宋_GB2312"/>
                <w:sz w:val="20"/>
              </w:rPr>
              <w:t>1.3作业面积：2.157万亩</w:t>
            </w:r>
          </w:p>
          <w:p>
            <w:pPr>
              <w:pStyle w:val="null3"/>
              <w:jc w:val="both"/>
            </w:pPr>
            <w:r>
              <w:rPr>
                <w:rFonts w:ascii="仿宋_GB2312" w:hAnsi="仿宋_GB2312" w:cs="仿宋_GB2312" w:eastAsia="仿宋_GB2312"/>
                <w:sz w:val="20"/>
                <w:b/>
              </w:rPr>
              <w:t>2.蝗虫防控</w:t>
            </w:r>
          </w:p>
          <w:p>
            <w:pPr>
              <w:pStyle w:val="null3"/>
              <w:ind w:firstLine="400"/>
              <w:jc w:val="both"/>
            </w:pPr>
            <w:r>
              <w:rPr>
                <w:rFonts w:ascii="仿宋_GB2312" w:hAnsi="仿宋_GB2312" w:cs="仿宋_GB2312" w:eastAsia="仿宋_GB2312"/>
                <w:sz w:val="20"/>
              </w:rPr>
              <w:t>2.1药剂方案及亩用量：5%甲维•高氯氟水乳剂每亩20毫升+飞防专用助剂每亩10毫升。</w:t>
            </w:r>
          </w:p>
          <w:p>
            <w:pPr>
              <w:pStyle w:val="null3"/>
              <w:ind w:firstLine="400"/>
              <w:jc w:val="both"/>
            </w:pPr>
            <w:r>
              <w:rPr>
                <w:rFonts w:ascii="仿宋_GB2312" w:hAnsi="仿宋_GB2312" w:cs="仿宋_GB2312" w:eastAsia="仿宋_GB2312"/>
                <w:sz w:val="20"/>
              </w:rPr>
              <w:t>2.2作业区域：临潼区境内渭河沿岸。</w:t>
            </w:r>
          </w:p>
          <w:p>
            <w:pPr>
              <w:pStyle w:val="null3"/>
              <w:ind w:firstLine="400"/>
              <w:jc w:val="both"/>
            </w:pPr>
            <w:r>
              <w:rPr>
                <w:rFonts w:ascii="仿宋_GB2312" w:hAnsi="仿宋_GB2312" w:cs="仿宋_GB2312" w:eastAsia="仿宋_GB2312"/>
                <w:sz w:val="20"/>
              </w:rPr>
              <w:t>2.3作业面积：2万亩</w:t>
            </w:r>
          </w:p>
          <w:p>
            <w:pPr>
              <w:pStyle w:val="null3"/>
              <w:jc w:val="both"/>
            </w:pPr>
            <w:r>
              <w:rPr>
                <w:rFonts w:ascii="仿宋_GB2312" w:hAnsi="仿宋_GB2312" w:cs="仿宋_GB2312" w:eastAsia="仿宋_GB2312"/>
                <w:sz w:val="20"/>
                <w:b/>
              </w:rPr>
              <w:t>3.生物防治</w:t>
            </w:r>
          </w:p>
          <w:p>
            <w:pPr>
              <w:pStyle w:val="null3"/>
              <w:ind w:firstLine="400"/>
              <w:jc w:val="both"/>
            </w:pPr>
            <w:r>
              <w:rPr>
                <w:rFonts w:ascii="仿宋_GB2312" w:hAnsi="仿宋_GB2312" w:cs="仿宋_GB2312" w:eastAsia="仿宋_GB2312"/>
                <w:sz w:val="20"/>
              </w:rPr>
              <w:t>3.1赤眼蜂防治玉米螟绿色防控示范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1）蜂球用量：松毛虫赤眼蜂球10个/亩（包含赤眼蜂蜂球、无人机释放作业、害虫性诱监测等）。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2）作业区域：临潼区境内。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3）作业面积：1000亩</w:t>
            </w:r>
          </w:p>
          <w:p>
            <w:pPr>
              <w:pStyle w:val="null3"/>
              <w:ind w:firstLine="400"/>
              <w:jc w:val="both"/>
            </w:pPr>
            <w:r>
              <w:rPr>
                <w:rFonts w:ascii="仿宋_GB2312" w:hAnsi="仿宋_GB2312" w:cs="仿宋_GB2312" w:eastAsia="仿宋_GB2312"/>
                <w:sz w:val="20"/>
              </w:rPr>
              <w:t>3.2生物制剂绿色防控示范</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1）药剂方案及亩用量：枯草芽孢杆菌20克/亩</w:t>
            </w:r>
            <w:r>
              <w:rPr>
                <w:rFonts w:ascii="仿宋_GB2312" w:hAnsi="仿宋_GB2312" w:cs="仿宋_GB2312" w:eastAsia="仿宋_GB2312"/>
                <w:sz w:val="20"/>
              </w:rPr>
              <w:t>+飞防专用助剂每亩10毫升</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2）作业区域：临潼区境内。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3）作业面积：1000亩</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作业时间：合同签订后至</w:t>
            </w:r>
            <w:r>
              <w:rPr>
                <w:rFonts w:ascii="仿宋_GB2312" w:hAnsi="仿宋_GB2312" w:cs="仿宋_GB2312" w:eastAsia="仿宋_GB2312"/>
                <w:sz w:val="20"/>
              </w:rPr>
              <w:t>9月30日前完成服务；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使用的药</w:t>
            </w:r>
            <w:r>
              <w:rPr>
                <w:rFonts w:ascii="仿宋_GB2312" w:hAnsi="仿宋_GB2312" w:cs="仿宋_GB2312" w:eastAsia="仿宋_GB2312"/>
                <w:sz w:val="20"/>
              </w:rPr>
              <w:t>剂须三证齐全且在有效期内；</w:t>
            </w:r>
            <w:r>
              <w:rPr>
                <w:rFonts w:ascii="仿宋_GB2312" w:hAnsi="仿宋_GB2312" w:cs="仿宋_GB2312" w:eastAsia="仿宋_GB2312"/>
                <w:sz w:val="20"/>
              </w:rPr>
              <w:t>“三证”分别是《农药登记证》、《农药生产许可证或农药生产批准文件》、《农药标准证》）；肥料须提供《肥料登记证》；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松毛虫赤眼蜂平均单卵蜂数</w:t>
            </w:r>
            <w:r>
              <w:rPr>
                <w:rFonts w:ascii="仿宋_GB2312" w:hAnsi="仿宋_GB2312" w:cs="仿宋_GB2312" w:eastAsia="仿宋_GB2312"/>
                <w:sz w:val="20"/>
              </w:rPr>
              <w:t>≥</w:t>
            </w:r>
            <w:r>
              <w:rPr>
                <w:rFonts w:ascii="仿宋_GB2312" w:hAnsi="仿宋_GB2312" w:cs="仿宋_GB2312" w:eastAsia="仿宋_GB2312"/>
                <w:sz w:val="20"/>
              </w:rPr>
              <w:t>80头，寄生率≥90%，羽化率≥75%，绿卵率3%以下</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松毛虫赤眼蜂每</w:t>
            </w:r>
            <w:r>
              <w:rPr>
                <w:rFonts w:ascii="仿宋_GB2312" w:hAnsi="仿宋_GB2312" w:cs="仿宋_GB2312" w:eastAsia="仿宋_GB2312"/>
                <w:sz w:val="20"/>
              </w:rPr>
              <w:t>667㎡释放总量2万头-3万头，分2次释放，每次释放1万头-1.5万头。每次释放量分装于5个蜂球/亩，确保投放均匀。两次释放间隔1周</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枯草芽孢杆菌粉体无受潮结块、无杂质；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综合防治效果达到</w:t>
            </w:r>
            <w:r>
              <w:rPr>
                <w:rFonts w:ascii="仿宋_GB2312" w:hAnsi="仿宋_GB2312" w:cs="仿宋_GB2312" w:eastAsia="仿宋_GB2312"/>
                <w:sz w:val="20"/>
              </w:rPr>
              <w:t>85%以上。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合同签订后至9月30日前完成服务。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（1）验收内容：本项目所含所有内容。 （2）责任主体：采购人作为验收主体监督成交供应商的履约情况。 （3）验收方法：根据采购文件、投标文件、澄清表（函）、本合同及附件文本、国家及行业现行的标准和技术规范。 （4）验收程序： （a）现场验收：产品及其备附件到达采购人指定地点后，采购人根据合同要求，在成交供应商和采购人相关负责人双方同时在场的情况下，进行外观验收，确认产地、规格、型号和数量； （b）安装调试（如有）：成交供应商应配合采购人的时限要求，负责在现场对产品进行安装、调试和试运行，直至验收合格。成交供应商应提供全部安装、调试过程中所需的材料、设施设备、人工等。 （c）最终验收：产品安装调试和运行后，由成交供应商向采购人递交监督检验报告和移交单，经采购人确认后，组织成交供应商进行系统验收。验收合格后，填写采购项目验收单作为对产品的最终认可。 （d）技术要求：按照国家相关法律法规和本项目采购需求进行。 （e）参加验收人员：由采购人相关部门、成交供应商等相关人员组成验收小组进行履约验收。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进度款，合同签订，甲方收到乙方出具正式发票后，达到付款条件起30个工作日内，支付合同总金额的40.0%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进度款，服务完成且验收合格，甲方收到乙方出具正式发票后，达到付款条件起30个工作日内，支付合同总金额的60.0%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一）如成交供应商延期交货，应按延期天数向采购人支付每天逾期交付项目总价千分之一的违约金；但违约金累计不超过逾期交付项目款总额的30%。（二）成交供应商所供产品在正常使用中，由于产品本身质量问题给采购人或第三人造成损失的，成交供应商应负责赔偿与采购人无关。（三）不可抗力事件应根据《民法典》的要求进行处理。（四）未按合同要求提供产品或产品质量不能满足合同要求，采购人应当将成交供应商违约的情况以及拟采取的措施以书面形式报政府采购监管部门，根据政府采购监管部门的处理意见，采购人有权依据《民法典》有关条款及合同约定终止合同，并要求成交供应商承担违约责任。但违约金累计不超过交付项目款总额的30%。同时，政府采购监管部门有权依据《中华人民共和国政府采购法》及相关法律法规对成交供应商的违法行为进行相应的处罚。 2、争议解决 采购人和成交供应商在协议履行过程中发生纠纷，由其双方协商解决，协商不成的，依法向采购人所在地有管辖权的人民法院提起诉讼。诉讼期间，无争议条款，合同继续履行。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报价要求：（1）供应商应结合项目招标要求、自身生产或供应能力、价格水平、货物及服务的全周期综合成本进行报价。（2）供应商在填报报价时应综合考虑以下各类价格组成内容，所有费用（包括但不限于人工费、设备费（主材及辅材）、保险、利润、规费、税金、货物运至最终目的地的运输费、专用工具使用费、伴随货物交运的有关费用等与之相关的一切直接费、间接费）均包含在成交价中。2、为顺利推进政府采购电子化交易平台试点应用工作，供应商需要在线提交所有通过电子化交易平台实施的政府采购项目的响应文件，发布成交结果公告后，成交供应商应及时向采购代理机构提交一正二副，书籍（胶装）方式装订的盖章的纸质文件，若正本和副本不一致的，以正本为准。送至陕西省西安市未央区朱宏路福清商会大厦11楼1101室（陕西华达峰信项目管理有限公司）。3、供应商务必在开标截止时间30分钟前，通过项目电子化交易系统进行签到，如未进行签到，产生的一起后果由供应商自行承担。4、本项目需落实的政府采购政策： （1）《国务院办公厅关于建立政府强制采购节能产品制度的通知》（国办发〔2007〕51号）； （2）《关于印发环境标志产品政府采购品目清单的通知》（财库〔2019〕18号）； （3）《关于印发节能产品政府采购品目清单的通知》（财库〔2019〕19号）； （4）《财政部 司法部关于政府采购支持监狱企业发展有关问题的通知》（财库〔2014〕68号）； （5）《关于促进残疾人就业政府采购政策的通知》（财库〔2017〕141号）； （6）《关于调整优化节能产品、环境标志产品政府采购执行机制的通知》（财库〔2019〕9号）；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（13）陕西省财政厅 中国人民银行西安分行关于深入推进政府采购信用融资业务通知(陕财办采〔2023〕5号)； （14）财政部《关于推动解决政府采购异常低价问题的通知》（财库〔2026〕2号）；（15）《国务院办公厅关于在政府采购中实施本国产品标准及相关政策的通知》（国办发〔2025〕34号）；（16）《陕西省财政厅关于规范政府采购项目评审主观分赋分有关事项的通知》(陕财办采函(2026)10号)；（17）其他需执行的政府采购政策。5、本项目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磋商响应文件（格式）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磋商响应文件（格式）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完整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磋商响应文件（格式）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磋商响应文件（格式）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磋商响应文件（格式）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响应有效期达到采购文件要求。</w:t>
            </w:r>
          </w:p>
        </w:tc>
        <w:tc>
          <w:tcPr>
            <w:tcW w:type="dxa" w:w="1661"/>
          </w:tcPr>
          <w:p>
            <w:pPr>
              <w:pStyle w:val="null3"/>
            </w:pPr>
            <w:r>
              <w:rPr>
                <w:rFonts w:ascii="仿宋_GB2312" w:hAnsi="仿宋_GB2312" w:cs="仿宋_GB2312" w:eastAsia="仿宋_GB2312"/>
              </w:rPr>
              <w:t>磋商响应文件（格式）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完整无缺项，无选择性报价。投标报价不得超过预算金额及最高限价。</w:t>
            </w:r>
          </w:p>
        </w:tc>
        <w:tc>
          <w:tcPr>
            <w:tcW w:type="dxa" w:w="1661"/>
          </w:tcPr>
          <w:p>
            <w:pPr>
              <w:pStyle w:val="null3"/>
            </w:pPr>
            <w:r>
              <w:rPr>
                <w:rFonts w:ascii="仿宋_GB2312" w:hAnsi="仿宋_GB2312" w:cs="仿宋_GB2312" w:eastAsia="仿宋_GB2312"/>
              </w:rPr>
              <w:t>标的清单 磋商响应文件（格式）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评审中出现下列情形之一的，磋商小组应当启动异常低价投标审查程序：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4）磋商小组认为供应商报价过低，有可能影响产品质量或者不能诚信履约的其他情形。</w:t>
            </w:r>
          </w:p>
        </w:tc>
        <w:tc>
          <w:tcPr>
            <w:tcW w:type="dxa" w:w="1661"/>
          </w:tcPr>
          <w:p>
            <w:pPr>
              <w:pStyle w:val="null3"/>
            </w:pPr>
            <w:r>
              <w:rPr>
                <w:rFonts w:ascii="仿宋_GB2312" w:hAnsi="仿宋_GB2312" w:cs="仿宋_GB2312" w:eastAsia="仿宋_GB2312"/>
              </w:rPr>
              <w:t>磋商响应文件（格式）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符合法律、法规和采购文件中规定的其他实质性要求。</w:t>
            </w:r>
          </w:p>
        </w:tc>
        <w:tc>
          <w:tcPr>
            <w:tcW w:type="dxa" w:w="1661"/>
          </w:tcPr>
          <w:p>
            <w:pPr>
              <w:pStyle w:val="null3"/>
            </w:pPr>
            <w:r>
              <w:rPr>
                <w:rFonts w:ascii="仿宋_GB2312" w:hAnsi="仿宋_GB2312" w:cs="仿宋_GB2312" w:eastAsia="仿宋_GB2312"/>
              </w:rPr>
              <w:t>磋商响应文件（格式）</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供应商针对本项目提供服务方案，需充分结合项目实际情况，满足采购需求，方案内容完整、具体、可行、科学合理。 1、评审内容： ①项目需求理解分析； ②服务目标； ③服务内容及方式； ④服务流程设计及特色； ⑤风险分析及预防措施； ⑥服务成果交付及验收方案。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3、赋分标准：每一项评审内容满足每一项评审标准的得1分，最多得18分。每一项评审内容相对每一项评审标准存在一处漏洞或缺陷扣0.5分。未提供相关评审内容的，该项得0分。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服务进度计划及质量保证措施</w:t>
            </w:r>
          </w:p>
        </w:tc>
        <w:tc>
          <w:tcPr>
            <w:tcW w:type="dxa" w:w="2492"/>
          </w:tcPr>
          <w:p>
            <w:pPr>
              <w:pStyle w:val="null3"/>
            </w:pPr>
            <w:r>
              <w:rPr>
                <w:rFonts w:ascii="仿宋_GB2312" w:hAnsi="仿宋_GB2312" w:cs="仿宋_GB2312" w:eastAsia="仿宋_GB2312"/>
              </w:rPr>
              <w:t>供应商针对本项目提供服务质量保证措施，内容需结合前述服务方案，并考虑结合项目实际，能够切实保证服务质量。 1、评审内容: ①进度计划及控制措施； ②关键节点控制； ③质量管理制度； ④服务连续性保障措施； ⑤服务过程控制与改进措施。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3、赋分标准：每一项评审内容满足每一项评审标准的得1分，最多得15分。每一项评审内容相对每一项评审标准存在一处漏洞或缺陷扣0.5分。未提供相关评审内容的，该项得0分。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供应商针对本项目提供应急预案，内容全面、详细、准确，并贴合项目实际需求。 1、评审内容： ①应急组织架构及保障措施； ②应急响应机制及流程。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3、赋分标准：每一项评审内容满足每一项评审标准的得1分，最多得6分。每一项评审内容相对每一项评审标准存在一处漏洞或缺陷扣0.5分，扣完为止。未提供相关评审内容的，该项得0分。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供应商须提供培训方案，包括培训计划、培训内容、人员培训安排。方案内容契合需求且实际操作性强得6分；未提供方案或培训方案缺少培训计划、培训内容、人员培训安排不得分。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供应商提供自2023年1月1日至响应文件递交截止时间同类项目业绩（以合同签订时间为准），每提供一份业绩得10分，满分30分。未提供有效业绩的不得分。 注：有效业绩的定义为提供合同复印件加盖公章，时间以合同签订时间为准，合同须明确显示双方签章。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磋商响应文件（格式）</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