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版本号：SXJHZB-2026-0611-00220260615001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镇巴县巴庙镇老庄梁村寇家沟通组路项目工程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SXJHZB-2026-0611-002</w:t>
      </w:r>
      <w:r>
        <w:br/>
      </w:r>
      <w:r>
        <w:br/>
      </w:r>
      <w:r>
        <w:br/>
      </w:r>
    </w:p>
    <w:p>
      <w:pPr>
        <w:pStyle w:val="null3"/>
        <w:jc w:val="center"/>
        <w:outlineLvl w:val="2"/>
      </w:pPr>
      <w:r>
        <w:rPr>
          <w:rFonts w:ascii="仿宋_GB2312" w:hAnsi="仿宋_GB2312" w:cs="仿宋_GB2312" w:eastAsia="仿宋_GB2312"/>
          <w:sz w:val="28"/>
          <w:b/>
        </w:rPr>
        <w:t>镇巴县巴庙镇人民政府</w:t>
      </w:r>
    </w:p>
    <w:p>
      <w:pPr>
        <w:pStyle w:val="null3"/>
        <w:jc w:val="center"/>
        <w:outlineLvl w:val="2"/>
      </w:pPr>
      <w:r>
        <w:rPr>
          <w:rFonts w:ascii="仿宋_GB2312" w:hAnsi="仿宋_GB2312" w:cs="仿宋_GB2312" w:eastAsia="仿宋_GB2312"/>
          <w:sz w:val="28"/>
          <w:b/>
        </w:rPr>
        <w:t>陕西巨和项目管理有限责任公司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陕西巨和项目管理有限责任公司</w:t>
      </w:r>
      <w:r>
        <w:rPr>
          <w:rFonts w:ascii="仿宋_GB2312" w:hAnsi="仿宋_GB2312" w:cs="仿宋_GB2312" w:eastAsia="仿宋_GB2312"/>
        </w:rPr>
        <w:t>（以下简称“代理机构”）受</w:t>
      </w:r>
      <w:r>
        <w:rPr>
          <w:rFonts w:ascii="仿宋_GB2312" w:hAnsi="仿宋_GB2312" w:cs="仿宋_GB2312" w:eastAsia="仿宋_GB2312"/>
        </w:rPr>
        <w:t>镇巴县巴庙镇人民政府</w:t>
      </w:r>
      <w:r>
        <w:rPr>
          <w:rFonts w:ascii="仿宋_GB2312" w:hAnsi="仿宋_GB2312" w:cs="仿宋_GB2312" w:eastAsia="仿宋_GB2312"/>
        </w:rPr>
        <w:t>委托，拟对</w:t>
      </w:r>
      <w:r>
        <w:rPr>
          <w:rFonts w:ascii="仿宋_GB2312" w:hAnsi="仿宋_GB2312" w:cs="仿宋_GB2312" w:eastAsia="仿宋_GB2312"/>
        </w:rPr>
        <w:t>镇巴县巴庙镇老庄梁村寇家沟通组路项目工程</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SXJHZB-2026-0611-002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镇巴县巴庙镇老庄梁村寇家沟通组路项目工程</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新建通组公路1.2公里，路基宽度.5米，路面宽度3.5米，C30水泥混凝土路面，厚度18厘米，弯拉强度不小于4.0兆帕，实施砼排水沟，同步安装波形护栏、标志牌等等（详见施工图纸及工程量清单）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采购包1（镇巴县巴庙镇老庄梁村寇家沟通组路项目工程）：属于专门面向中小企业采购。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供应商需在项目电子化交易系统中按要求上传相应证明文件并进行电子签章;</w:t>
      </w:r>
    </w:p>
    <w:p>
      <w:pPr>
        <w:pStyle w:val="null3"/>
      </w:pPr>
      <w:r>
        <w:rPr>
          <w:rFonts w:ascii="仿宋_GB2312" w:hAnsi="仿宋_GB2312" w:cs="仿宋_GB2312" w:eastAsia="仿宋_GB2312"/>
        </w:rPr>
        <w:t>2、法定代表人或委托代理人身份证明：法定代表人参加投标须提供《法定代表人身份证明》及身份证复印件；法定代表人授权他人参加投标，须提供《法定代表人授权委托书》、委托代理人身份证复印件,供应商需在项目电子化交易系统中按要求上传相应证明文件并进行电子签章;</w:t>
      </w:r>
    </w:p>
    <w:p>
      <w:pPr>
        <w:pStyle w:val="null3"/>
      </w:pPr>
      <w:r>
        <w:rPr>
          <w:rFonts w:ascii="仿宋_GB2312" w:hAnsi="仿宋_GB2312" w:cs="仿宋_GB2312" w:eastAsia="仿宋_GB2312"/>
        </w:rPr>
        <w:t>3、供应商资质：供应商具有行政主管部门核发的公路工程施工总承包三级（含三级）及以上资质，且具有有效的安全生产许可证，供应商需在项目电子化交易系统中按要求上传相应证明文件并进行电子签章；</w:t>
      </w:r>
    </w:p>
    <w:p>
      <w:pPr>
        <w:pStyle w:val="null3"/>
      </w:pPr>
      <w:r>
        <w:rPr>
          <w:rFonts w:ascii="仿宋_GB2312" w:hAnsi="仿宋_GB2312" w:cs="仿宋_GB2312" w:eastAsia="仿宋_GB2312"/>
        </w:rPr>
        <w:t>4、项目负责人：拟派项目经理须具备公路工程专业二级（含二级）以上注册建造师资格和安全生产考核合格B证，且无在建项目，供应商需在项目电子化交易系统中按要求上传相应证明文件并进行电子签章；</w:t>
      </w:r>
    </w:p>
    <w:p>
      <w:pPr>
        <w:pStyle w:val="null3"/>
      </w:pPr>
      <w:r>
        <w:rPr>
          <w:rFonts w:ascii="仿宋_GB2312" w:hAnsi="仿宋_GB2312" w:cs="仿宋_GB2312" w:eastAsia="仿宋_GB2312"/>
        </w:rPr>
        <w:t>5、中小企业声明函：本项目专门面向中小企业采购，供应商应提供中小企业声明函，供应商需在项目电子化交易系统中按要求上传相应证明文件并进行电子签章；</w:t>
      </w:r>
    </w:p>
    <w:p>
      <w:pPr>
        <w:pStyle w:val="null3"/>
      </w:pPr>
      <w:r>
        <w:rPr>
          <w:rFonts w:ascii="仿宋_GB2312" w:hAnsi="仿宋_GB2312" w:cs="仿宋_GB2312" w:eastAsia="仿宋_GB2312"/>
        </w:rPr>
        <w:t>6、非联合体磋商承诺函：本项目不接受联合体磋商，单位负责人为同一人或者存在直接控股、管理关系的不同单位，不得同时参加本项目磋商，供应商需在项目电子化交易系统中按要求上传相应证明文件并进行电子签章；</w:t>
      </w:r>
    </w:p>
    <w:p>
      <w:pPr>
        <w:pStyle w:val="null3"/>
      </w:pPr>
      <w:r>
        <w:rPr>
          <w:rFonts w:ascii="仿宋_GB2312" w:hAnsi="仿宋_GB2312" w:cs="仿宋_GB2312" w:eastAsia="仿宋_GB2312"/>
        </w:rPr>
        <w:t>7、汉中市政府采购供应商资格承诺函：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需提供《汉中市政府采购供应商资格承诺函》,供应商需在项目电子化交易系统中按要求上传相应证明文件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镇巴县巴庙镇人民政府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镇巴县巴庙镇</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姚先生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15332506068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陕西巨和项目管理有限责任公司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陕西省汉中市镇巴县泾洋街道办河西路粮食局五楼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钟工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15332537763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镇巴县政府采购管理股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郝芳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13259290919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采购包1：878,978.00元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否</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否</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否</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参照原国家计委《招标代理服务收费管理暂行办法》(计价格[2002]1980号)、国家发展和改革委员会《国家发展改革委办公厅关于招标代理服务收费有关问题的通知》(发改办价格[2003]857号)和《国家发展改革委关于降低部分建设项目收费标准规范收费行为等有关问题的通知》(发改价格[2011]534号)文件的相关规定。 2、采购代理服务费的缴纳方式:在领取《成交通知书》前向采购代理机构一次性全额缴纳采购代理服务费。3、代理服务费的具体金额后续见本项目中标（成交）结果公告。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镇巴县巴庙镇人民政府</w:t>
      </w:r>
      <w:r>
        <w:rPr>
          <w:rFonts w:ascii="仿宋_GB2312" w:hAnsi="仿宋_GB2312" w:cs="仿宋_GB2312" w:eastAsia="仿宋_GB2312"/>
        </w:rPr>
        <w:t>和</w:t>
      </w:r>
      <w:r>
        <w:rPr>
          <w:rFonts w:ascii="仿宋_GB2312" w:hAnsi="仿宋_GB2312" w:cs="仿宋_GB2312" w:eastAsia="仿宋_GB2312"/>
        </w:rPr>
        <w:t>陕西巨和项目管理有限责任公司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镇巴县巴庙镇人民政府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陕西巨和项目管理有限责任公司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镇巴县巴庙镇人民政府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陕西巨和项目管理有限责任公司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工程质量满足现行公路桥梁工程国家规范、JTG系列行业标准、现行法律法规、施工图及全套设计变更文件、施工合同约定；结构安全、使用功能、通行指标达标，按交通运输部竣交工验收管理规定完成交工验收合格，缺陷整改闭环后通过竣工验收，满足通车及正式交付条件。</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陕西巨和项目管理有限责任公司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陕西巨和项目管理有限责任公司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陕西巨和项目管理有限责任公司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联系人：钟工</w:t>
      </w:r>
    </w:p>
    <w:p>
      <w:pPr>
        <w:pStyle w:val="null3"/>
      </w:pPr>
      <w:r>
        <w:rPr>
          <w:rFonts w:ascii="仿宋_GB2312" w:hAnsi="仿宋_GB2312" w:cs="仿宋_GB2312" w:eastAsia="仿宋_GB2312"/>
        </w:rPr>
        <w:t>联系电话：15332537763</w:t>
      </w:r>
    </w:p>
    <w:p>
      <w:pPr>
        <w:pStyle w:val="null3"/>
      </w:pPr>
      <w:r>
        <w:rPr>
          <w:rFonts w:ascii="仿宋_GB2312" w:hAnsi="仿宋_GB2312" w:cs="仿宋_GB2312" w:eastAsia="仿宋_GB2312"/>
        </w:rPr>
        <w:t>地址：陕西省汉中市镇巴县河西路粮食局五楼</w:t>
      </w:r>
    </w:p>
    <w:p>
      <w:pPr>
        <w:pStyle w:val="null3"/>
      </w:pPr>
      <w:r>
        <w:rPr>
          <w:rFonts w:ascii="仿宋_GB2312" w:hAnsi="仿宋_GB2312" w:cs="仿宋_GB2312" w:eastAsia="仿宋_GB2312"/>
        </w:rPr>
        <w:t>邮编：723600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878,978.00</w:t>
      </w:r>
    </w:p>
    <w:p>
      <w:pPr>
        <w:pStyle w:val="null3"/>
      </w:pPr>
      <w:r>
        <w:rPr>
          <w:rFonts w:ascii="仿宋_GB2312" w:hAnsi="仿宋_GB2312" w:cs="仿宋_GB2312" w:eastAsia="仿宋_GB2312"/>
        </w:rPr>
        <w:t>采购包最高限价（元）: 878,978.00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镇巴县巴庙镇老庄梁村寇家沟通组路项目工程</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878,978.00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标的名称：镇巴县巴庙镇老庄梁村寇家沟通组路项目工程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560"/>
              <w:jc w:val="both"/>
            </w:pPr>
            <w:r>
              <w:rPr>
                <w:rFonts w:ascii="仿宋_GB2312" w:hAnsi="仿宋_GB2312" w:cs="仿宋_GB2312" w:eastAsia="仿宋_GB2312"/>
                <w:sz w:val="28"/>
                <w:b/>
              </w:rPr>
              <w:t>一、工程概况：</w:t>
            </w:r>
            <w:r>
              <w:rPr>
                <w:rFonts w:ascii="仿宋_GB2312" w:hAnsi="仿宋_GB2312" w:cs="仿宋_GB2312" w:eastAsia="仿宋_GB2312"/>
                <w:sz w:val="21"/>
              </w:rPr>
              <w:t xml:space="preserve"> </w:t>
            </w:r>
          </w:p>
          <w:p>
            <w:pPr>
              <w:pStyle w:val="null3"/>
              <w:ind w:firstLine="560"/>
              <w:jc w:val="both"/>
            </w:pPr>
            <w:r>
              <w:rPr>
                <w:rFonts w:ascii="仿宋_GB2312" w:hAnsi="仿宋_GB2312" w:cs="仿宋_GB2312" w:eastAsia="仿宋_GB2312"/>
                <w:sz w:val="28"/>
              </w:rPr>
              <w:t>本项目主要建设内容为：该项目新建通组公路</w:t>
            </w:r>
            <w:r>
              <w:rPr>
                <w:rFonts w:ascii="仿宋_GB2312" w:hAnsi="仿宋_GB2312" w:cs="仿宋_GB2312" w:eastAsia="仿宋_GB2312"/>
                <w:sz w:val="28"/>
              </w:rPr>
              <w:t>1.2公里，路基宽度4.5米，路面宽度3.5米，C30水泥混凝土路面，厚度18厘米，弯拉强度不小于4.0兆帕，实施砼排水沟，同步安装波形护栏、标志牌等。</w:t>
            </w:r>
          </w:p>
          <w:p>
            <w:pPr>
              <w:pStyle w:val="null3"/>
              <w:ind w:left="360" w:firstLine="157"/>
              <w:jc w:val="both"/>
            </w:pPr>
            <w:r>
              <w:rPr>
                <w:rFonts w:ascii="仿宋_GB2312" w:hAnsi="仿宋_GB2312" w:cs="仿宋_GB2312" w:eastAsia="仿宋_GB2312"/>
                <w:sz w:val="28"/>
                <w:b/>
              </w:rPr>
              <w:t>二、</w:t>
            </w:r>
            <w:r>
              <w:rPr>
                <w:rFonts w:ascii="仿宋_GB2312" w:hAnsi="仿宋_GB2312" w:cs="仿宋_GB2312" w:eastAsia="仿宋_GB2312"/>
                <w:sz w:val="28"/>
                <w:b/>
              </w:rPr>
              <w:t>编制依据：</w:t>
            </w:r>
          </w:p>
          <w:p>
            <w:pPr>
              <w:pStyle w:val="null3"/>
              <w:ind w:firstLine="560"/>
              <w:jc w:val="left"/>
            </w:pPr>
            <w:r>
              <w:rPr>
                <w:rFonts w:ascii="仿宋_GB2312" w:hAnsi="仿宋_GB2312" w:cs="仿宋_GB2312" w:eastAsia="仿宋_GB2312"/>
                <w:sz w:val="28"/>
              </w:rPr>
              <w:t>1、设计施工图：陕西东石交通设计有限公司设计的《2026年镇巴县巴庙镇老庄梁村寇家沟通组路项目》施工图设计文件。</w:t>
            </w:r>
          </w:p>
          <w:p>
            <w:pPr>
              <w:pStyle w:val="null3"/>
              <w:ind w:left="360" w:firstLine="156"/>
              <w:jc w:val="both"/>
            </w:pPr>
            <w:r>
              <w:rPr>
                <w:rFonts w:ascii="仿宋_GB2312" w:hAnsi="仿宋_GB2312" w:cs="仿宋_GB2312" w:eastAsia="仿宋_GB2312"/>
                <w:sz w:val="28"/>
              </w:rPr>
              <w:t>2、使用定额及相关规范：</w:t>
            </w:r>
          </w:p>
          <w:p>
            <w:pPr>
              <w:pStyle w:val="null3"/>
              <w:ind w:firstLine="560"/>
              <w:jc w:val="both"/>
            </w:pPr>
            <w:r>
              <w:rPr>
                <w:rFonts w:ascii="仿宋_GB2312" w:hAnsi="仿宋_GB2312" w:cs="仿宋_GB2312" w:eastAsia="仿宋_GB2312"/>
                <w:sz w:val="28"/>
              </w:rPr>
              <w:t>中华人民共和国行业标准《公路工程基本建设项目概算预算编制办法》（</w:t>
            </w:r>
            <w:r>
              <w:rPr>
                <w:rFonts w:ascii="仿宋_GB2312" w:hAnsi="仿宋_GB2312" w:cs="仿宋_GB2312" w:eastAsia="仿宋_GB2312"/>
                <w:sz w:val="28"/>
              </w:rPr>
              <w:t>JTG3830-2018）、中华人民共和国行业标准《公路工程预算定额》（JTG/T 3832-2018）、中华人民共和国行业标准《公路工程机械台班费用定额》（JTGT 3833-2018）、陕西省交通厅关于执行交通部分《公路工程基本建设项目概算预算定额及编制办法补充规定》、陕西省交通运输厅关于执行交通运输部《公路工程营业税改增值税计价依据调整方案》的通知。</w:t>
            </w:r>
          </w:p>
          <w:p>
            <w:pPr>
              <w:pStyle w:val="null3"/>
              <w:ind w:left="360" w:firstLine="156"/>
              <w:jc w:val="both"/>
            </w:pPr>
            <w:r>
              <w:rPr>
                <w:rFonts w:ascii="仿宋_GB2312" w:hAnsi="仿宋_GB2312" w:cs="仿宋_GB2312" w:eastAsia="仿宋_GB2312"/>
                <w:sz w:val="28"/>
              </w:rPr>
              <w:t>三、计价取费说明</w:t>
            </w:r>
          </w:p>
          <w:p>
            <w:pPr>
              <w:pStyle w:val="null3"/>
              <w:ind w:left="540"/>
              <w:jc w:val="both"/>
            </w:pPr>
            <w:r>
              <w:rPr>
                <w:rFonts w:ascii="仿宋_GB2312" w:hAnsi="仿宋_GB2312" w:cs="仿宋_GB2312" w:eastAsia="仿宋_GB2312"/>
                <w:sz w:val="28"/>
              </w:rPr>
              <w:t>1、直接费</w:t>
            </w:r>
          </w:p>
          <w:p>
            <w:pPr>
              <w:pStyle w:val="null3"/>
              <w:ind w:left="360" w:firstLine="156"/>
              <w:jc w:val="both"/>
            </w:pPr>
            <w:r>
              <w:rPr>
                <w:rFonts w:ascii="仿宋_GB2312" w:hAnsi="仿宋_GB2312" w:cs="仿宋_GB2312" w:eastAsia="仿宋_GB2312"/>
                <w:sz w:val="28"/>
              </w:rPr>
              <w:t>(1).人工费：</w:t>
            </w:r>
          </w:p>
          <w:p>
            <w:pPr>
              <w:pStyle w:val="null3"/>
              <w:ind w:left="540"/>
              <w:jc w:val="both"/>
            </w:pPr>
            <w:r>
              <w:rPr>
                <w:rFonts w:ascii="仿宋_GB2312" w:hAnsi="仿宋_GB2312" w:cs="仿宋_GB2312" w:eastAsia="仿宋_GB2312"/>
                <w:sz w:val="28"/>
              </w:rPr>
              <w:t>根据《补充规定》按</w:t>
            </w:r>
            <w:r>
              <w:rPr>
                <w:rFonts w:ascii="仿宋_GB2312" w:hAnsi="仿宋_GB2312" w:cs="仿宋_GB2312" w:eastAsia="仿宋_GB2312"/>
                <w:sz w:val="28"/>
              </w:rPr>
              <w:t>105.89</w:t>
            </w:r>
            <w:r>
              <w:rPr>
                <w:rFonts w:ascii="仿宋_GB2312" w:hAnsi="仿宋_GB2312" w:cs="仿宋_GB2312" w:eastAsia="仿宋_GB2312"/>
                <w:sz w:val="28"/>
              </w:rPr>
              <w:t>元</w:t>
            </w:r>
            <w:r>
              <w:rPr>
                <w:rFonts w:ascii="仿宋_GB2312" w:hAnsi="仿宋_GB2312" w:cs="仿宋_GB2312" w:eastAsia="仿宋_GB2312"/>
                <w:sz w:val="28"/>
              </w:rPr>
              <w:t>/工日计算。</w:t>
            </w:r>
          </w:p>
          <w:p>
            <w:pPr>
              <w:pStyle w:val="null3"/>
              <w:ind w:left="360" w:firstLine="156"/>
              <w:jc w:val="both"/>
            </w:pPr>
            <w:r>
              <w:rPr>
                <w:rFonts w:ascii="仿宋_GB2312" w:hAnsi="仿宋_GB2312" w:cs="仿宋_GB2312" w:eastAsia="仿宋_GB2312"/>
                <w:sz w:val="28"/>
              </w:rPr>
              <w:t>(2).材料费:</w:t>
            </w:r>
          </w:p>
          <w:p>
            <w:pPr>
              <w:pStyle w:val="null3"/>
              <w:ind w:firstLine="537"/>
              <w:jc w:val="both"/>
            </w:pPr>
            <w:r>
              <w:rPr>
                <w:rFonts w:ascii="仿宋_GB2312" w:hAnsi="仿宋_GB2312" w:cs="仿宋_GB2312" w:eastAsia="仿宋_GB2312"/>
                <w:sz w:val="28"/>
              </w:rPr>
              <w:t>材料价格依据汉中市建设工程造价信息</w:t>
            </w:r>
            <w:r>
              <w:rPr>
                <w:rFonts w:ascii="仿宋_GB2312" w:hAnsi="仿宋_GB2312" w:cs="仿宋_GB2312" w:eastAsia="仿宋_GB2312"/>
                <w:sz w:val="28"/>
              </w:rPr>
              <w:t>2</w:t>
            </w:r>
            <w:r>
              <w:rPr>
                <w:rFonts w:ascii="仿宋_GB2312" w:hAnsi="仿宋_GB2312" w:cs="仿宋_GB2312" w:eastAsia="仿宋_GB2312"/>
                <w:sz w:val="28"/>
              </w:rPr>
              <w:t>026</w:t>
            </w:r>
            <w:r>
              <w:rPr>
                <w:rFonts w:ascii="仿宋_GB2312" w:hAnsi="仿宋_GB2312" w:cs="仿宋_GB2312" w:eastAsia="仿宋_GB2312"/>
                <w:sz w:val="28"/>
              </w:rPr>
              <w:t>年第</w:t>
            </w:r>
            <w:r>
              <w:rPr>
                <w:rFonts w:ascii="仿宋_GB2312" w:hAnsi="仿宋_GB2312" w:cs="仿宋_GB2312" w:eastAsia="仿宋_GB2312"/>
                <w:sz w:val="28"/>
              </w:rPr>
              <w:t>3</w:t>
            </w:r>
            <w:r>
              <w:rPr>
                <w:rFonts w:ascii="仿宋_GB2312" w:hAnsi="仿宋_GB2312" w:cs="仿宋_GB2312" w:eastAsia="仿宋_GB2312"/>
                <w:sz w:val="28"/>
              </w:rPr>
              <w:t>期</w:t>
            </w:r>
            <w:r>
              <w:rPr>
                <w:rFonts w:ascii="仿宋_GB2312" w:hAnsi="仿宋_GB2312" w:cs="仿宋_GB2312" w:eastAsia="仿宋_GB2312"/>
                <w:sz w:val="28"/>
              </w:rPr>
              <w:t>镇巴县</w:t>
            </w:r>
            <w:r>
              <w:rPr>
                <w:rFonts w:ascii="仿宋_GB2312" w:hAnsi="仿宋_GB2312" w:cs="仿宋_GB2312" w:eastAsia="仿宋_GB2312"/>
                <w:sz w:val="28"/>
              </w:rPr>
              <w:t>材料价格信息及市场询价</w:t>
            </w:r>
            <w:r>
              <w:rPr>
                <w:rFonts w:ascii="仿宋_GB2312" w:hAnsi="仿宋_GB2312" w:cs="仿宋_GB2312" w:eastAsia="仿宋_GB2312"/>
                <w:sz w:val="28"/>
              </w:rPr>
              <w:t>。</w:t>
            </w:r>
          </w:p>
          <w:p>
            <w:pPr>
              <w:pStyle w:val="null3"/>
              <w:ind w:firstLine="537"/>
              <w:jc w:val="both"/>
            </w:pPr>
            <w:r>
              <w:rPr>
                <w:rFonts w:ascii="仿宋_GB2312" w:hAnsi="仿宋_GB2312" w:cs="仿宋_GB2312" w:eastAsia="仿宋_GB2312"/>
                <w:sz w:val="28"/>
              </w:rPr>
              <w:t>(3).机械台班费：</w:t>
            </w:r>
          </w:p>
          <w:p>
            <w:pPr>
              <w:pStyle w:val="null3"/>
              <w:ind w:firstLine="537"/>
              <w:jc w:val="both"/>
            </w:pPr>
            <w:r>
              <w:rPr>
                <w:rFonts w:ascii="仿宋_GB2312" w:hAnsi="仿宋_GB2312" w:cs="仿宋_GB2312" w:eastAsia="仿宋_GB2312"/>
                <w:sz w:val="28"/>
              </w:rPr>
              <w:t>依据交通部颁发的《公路工程机械台班费用定额》（</w:t>
            </w:r>
            <w:r>
              <w:rPr>
                <w:rFonts w:ascii="仿宋_GB2312" w:hAnsi="仿宋_GB2312" w:cs="仿宋_GB2312" w:eastAsia="仿宋_GB2312"/>
                <w:sz w:val="28"/>
              </w:rPr>
              <w:t>JTGT 3833-2018</w:t>
            </w:r>
            <w:r>
              <w:rPr>
                <w:rFonts w:ascii="仿宋_GB2312" w:hAnsi="仿宋_GB2312" w:cs="仿宋_GB2312" w:eastAsia="仿宋_GB2312"/>
                <w:sz w:val="28"/>
              </w:rPr>
              <w:t>）计算，车船使用税和养路费按《陕西省养路费及车船使用税》执行。</w:t>
            </w:r>
          </w:p>
          <w:p>
            <w:pPr>
              <w:pStyle w:val="null3"/>
              <w:ind w:firstLine="537"/>
              <w:jc w:val="both"/>
            </w:pPr>
            <w:r>
              <w:rPr>
                <w:rFonts w:ascii="仿宋_GB2312" w:hAnsi="仿宋_GB2312" w:cs="仿宋_GB2312" w:eastAsia="仿宋_GB2312"/>
                <w:sz w:val="28"/>
              </w:rPr>
              <w:t>2、其它直接费</w:t>
            </w:r>
          </w:p>
          <w:p>
            <w:pPr>
              <w:pStyle w:val="null3"/>
              <w:ind w:firstLine="537"/>
              <w:jc w:val="both"/>
            </w:pPr>
            <w:r>
              <w:rPr>
                <w:rFonts w:ascii="仿宋_GB2312" w:hAnsi="仿宋_GB2312" w:cs="仿宋_GB2312" w:eastAsia="仿宋_GB2312"/>
                <w:sz w:val="28"/>
              </w:rPr>
              <w:t>(1).本工程临时设施费、施工辅助费</w:t>
            </w:r>
            <w:r>
              <w:rPr>
                <w:rFonts w:ascii="仿宋_GB2312" w:hAnsi="仿宋_GB2312" w:cs="仿宋_GB2312" w:eastAsia="仿宋_GB2312"/>
                <w:sz w:val="28"/>
              </w:rPr>
              <w:t>、辅助生产费</w:t>
            </w:r>
            <w:r>
              <w:rPr>
                <w:rFonts w:ascii="仿宋_GB2312" w:hAnsi="仿宋_GB2312" w:cs="仿宋_GB2312" w:eastAsia="仿宋_GB2312"/>
                <w:sz w:val="28"/>
              </w:rPr>
              <w:t>按《编制办法》规定计列。</w:t>
            </w:r>
          </w:p>
          <w:p>
            <w:pPr>
              <w:pStyle w:val="null3"/>
              <w:ind w:firstLine="537"/>
              <w:jc w:val="both"/>
            </w:pPr>
            <w:r>
              <w:rPr>
                <w:rFonts w:ascii="仿宋_GB2312" w:hAnsi="仿宋_GB2312" w:cs="仿宋_GB2312" w:eastAsia="仿宋_GB2312"/>
                <w:sz w:val="28"/>
              </w:rPr>
              <w:t>(2).本工程不计行夜间施工增加费。</w:t>
            </w:r>
          </w:p>
          <w:p>
            <w:pPr>
              <w:pStyle w:val="null3"/>
              <w:ind w:firstLine="537"/>
              <w:jc w:val="both"/>
            </w:pPr>
            <w:r>
              <w:rPr>
                <w:rFonts w:ascii="仿宋_GB2312" w:hAnsi="仿宋_GB2312" w:cs="仿宋_GB2312" w:eastAsia="仿宋_GB2312"/>
                <w:sz w:val="28"/>
              </w:rPr>
              <w:t>(3).本工程不计行车干扰增加费。</w:t>
            </w:r>
          </w:p>
          <w:p>
            <w:pPr>
              <w:pStyle w:val="null3"/>
              <w:ind w:firstLine="537"/>
              <w:jc w:val="both"/>
            </w:pPr>
            <w:r>
              <w:rPr>
                <w:rFonts w:ascii="仿宋_GB2312" w:hAnsi="仿宋_GB2312" w:cs="仿宋_GB2312" w:eastAsia="仿宋_GB2312"/>
                <w:sz w:val="28"/>
              </w:rPr>
              <w:t>(4).本工程不计沿海地区工程施工增加费。</w:t>
            </w:r>
          </w:p>
          <w:p>
            <w:pPr>
              <w:pStyle w:val="null3"/>
              <w:ind w:firstLine="537"/>
              <w:jc w:val="both"/>
            </w:pPr>
            <w:r>
              <w:rPr>
                <w:rFonts w:ascii="仿宋_GB2312" w:hAnsi="仿宋_GB2312" w:cs="仿宋_GB2312" w:eastAsia="仿宋_GB2312"/>
                <w:sz w:val="28"/>
              </w:rPr>
              <w:t>(5).本工程不计高原施工增加费。</w:t>
            </w:r>
          </w:p>
          <w:p>
            <w:pPr>
              <w:pStyle w:val="null3"/>
              <w:ind w:firstLine="537"/>
              <w:jc w:val="both"/>
            </w:pPr>
            <w:r>
              <w:rPr>
                <w:rFonts w:ascii="仿宋_GB2312" w:hAnsi="仿宋_GB2312" w:cs="仿宋_GB2312" w:eastAsia="仿宋_GB2312"/>
                <w:sz w:val="28"/>
              </w:rPr>
              <w:t>(6).本工程不计风沙地区施工增加费。</w:t>
            </w:r>
          </w:p>
          <w:p>
            <w:pPr>
              <w:pStyle w:val="null3"/>
              <w:ind w:firstLine="560"/>
              <w:jc w:val="both"/>
            </w:pPr>
            <w:r>
              <w:rPr>
                <w:rFonts w:ascii="仿宋_GB2312" w:hAnsi="仿宋_GB2312" w:cs="仿宋_GB2312" w:eastAsia="仿宋_GB2312"/>
                <w:sz w:val="28"/>
                <w:color w:val="000000"/>
              </w:rPr>
              <w:t>(</w:t>
            </w:r>
            <w:r>
              <w:rPr>
                <w:rFonts w:ascii="仿宋_GB2312" w:hAnsi="仿宋_GB2312" w:cs="仿宋_GB2312" w:eastAsia="仿宋_GB2312"/>
                <w:sz w:val="28"/>
                <w:color w:val="000000"/>
              </w:rPr>
              <w:t>7</w:t>
            </w:r>
            <w:r>
              <w:rPr>
                <w:rFonts w:ascii="仿宋_GB2312" w:hAnsi="仿宋_GB2312" w:cs="仿宋_GB2312" w:eastAsia="仿宋_GB2312"/>
                <w:sz w:val="28"/>
                <w:color w:val="000000"/>
              </w:rPr>
              <w:t>).本工程</w:t>
            </w:r>
            <w:r>
              <w:rPr>
                <w:rFonts w:ascii="仿宋_GB2312" w:hAnsi="仿宋_GB2312" w:cs="仿宋_GB2312" w:eastAsia="仿宋_GB2312"/>
                <w:sz w:val="28"/>
                <w:color w:val="000000"/>
              </w:rPr>
              <w:t>不</w:t>
            </w:r>
            <w:r>
              <w:rPr>
                <w:rFonts w:ascii="仿宋_GB2312" w:hAnsi="仿宋_GB2312" w:cs="仿宋_GB2312" w:eastAsia="仿宋_GB2312"/>
                <w:sz w:val="28"/>
                <w:color w:val="000000"/>
              </w:rPr>
              <w:t>计</w:t>
            </w:r>
            <w:r>
              <w:rPr>
                <w:rFonts w:ascii="仿宋_GB2312" w:hAnsi="仿宋_GB2312" w:cs="仿宋_GB2312" w:eastAsia="仿宋_GB2312"/>
                <w:sz w:val="28"/>
                <w:color w:val="000000"/>
              </w:rPr>
              <w:t>取</w:t>
            </w:r>
            <w:r>
              <w:rPr>
                <w:rFonts w:ascii="仿宋_GB2312" w:hAnsi="仿宋_GB2312" w:cs="仿宋_GB2312" w:eastAsia="仿宋_GB2312"/>
                <w:sz w:val="28"/>
                <w:color w:val="000000"/>
              </w:rPr>
              <w:t>工地转移费。</w:t>
            </w:r>
          </w:p>
          <w:p>
            <w:pPr>
              <w:pStyle w:val="null3"/>
              <w:ind w:firstLine="537"/>
              <w:jc w:val="both"/>
            </w:pPr>
            <w:r>
              <w:rPr>
                <w:rFonts w:ascii="仿宋_GB2312" w:hAnsi="仿宋_GB2312" w:cs="仿宋_GB2312" w:eastAsia="仿宋_GB2312"/>
                <w:sz w:val="28"/>
              </w:rPr>
              <w:t>3、间接费</w:t>
            </w:r>
          </w:p>
          <w:p>
            <w:pPr>
              <w:pStyle w:val="null3"/>
              <w:ind w:firstLine="537"/>
              <w:jc w:val="both"/>
            </w:pPr>
            <w:r>
              <w:rPr>
                <w:rFonts w:ascii="仿宋_GB2312" w:hAnsi="仿宋_GB2312" w:cs="仿宋_GB2312" w:eastAsia="仿宋_GB2312"/>
                <w:sz w:val="28"/>
              </w:rPr>
              <w:t>(1).规费：</w:t>
            </w:r>
            <w:r>
              <w:rPr>
                <w:rFonts w:ascii="仿宋_GB2312" w:hAnsi="仿宋_GB2312" w:cs="仿宋_GB2312" w:eastAsia="仿宋_GB2312"/>
                <w:sz w:val="28"/>
              </w:rPr>
              <w:t>按规定计取。</w:t>
            </w:r>
          </w:p>
          <w:p>
            <w:pPr>
              <w:pStyle w:val="null3"/>
              <w:ind w:firstLine="537"/>
              <w:jc w:val="both"/>
            </w:pPr>
            <w:r>
              <w:rPr>
                <w:rFonts w:ascii="仿宋_GB2312" w:hAnsi="仿宋_GB2312" w:cs="仿宋_GB2312" w:eastAsia="仿宋_GB2312"/>
                <w:sz w:val="28"/>
              </w:rPr>
              <w:t>(</w:t>
            </w:r>
            <w:r>
              <w:rPr>
                <w:rFonts w:ascii="仿宋_GB2312" w:hAnsi="仿宋_GB2312" w:cs="仿宋_GB2312" w:eastAsia="仿宋_GB2312"/>
                <w:sz w:val="28"/>
              </w:rPr>
              <w:t>2</w:t>
            </w:r>
            <w:r>
              <w:rPr>
                <w:rFonts w:ascii="仿宋_GB2312" w:hAnsi="仿宋_GB2312" w:cs="仿宋_GB2312" w:eastAsia="仿宋_GB2312"/>
                <w:sz w:val="28"/>
              </w:rPr>
              <w:t>).利润、税金按规定计取。</w:t>
            </w:r>
          </w:p>
          <w:p>
            <w:pPr>
              <w:pStyle w:val="null3"/>
              <w:ind w:firstLine="630"/>
              <w:jc w:val="both"/>
            </w:pPr>
            <w:r>
              <w:rPr>
                <w:rFonts w:ascii="仿宋_GB2312" w:hAnsi="仿宋_GB2312" w:cs="仿宋_GB2312" w:eastAsia="仿宋_GB2312"/>
                <w:sz w:val="28"/>
              </w:rPr>
              <w:t>3）.增值税按照9%计取，</w:t>
            </w:r>
          </w:p>
          <w:p>
            <w:pPr>
              <w:pStyle w:val="null3"/>
              <w:ind w:firstLine="630"/>
              <w:jc w:val="both"/>
            </w:pPr>
            <w:r>
              <w:rPr>
                <w:rFonts w:ascii="仿宋_GB2312" w:hAnsi="仿宋_GB2312" w:cs="仿宋_GB2312" w:eastAsia="仿宋_GB2312"/>
                <w:sz w:val="28"/>
              </w:rPr>
              <w:t>五</w:t>
            </w:r>
            <w:r>
              <w:rPr>
                <w:rFonts w:ascii="仿宋_GB2312" w:hAnsi="仿宋_GB2312" w:cs="仿宋_GB2312" w:eastAsia="仿宋_GB2312"/>
                <w:sz w:val="28"/>
              </w:rPr>
              <w:t>、预算金额</w:t>
            </w:r>
            <w:r>
              <w:rPr>
                <w:rFonts w:ascii="仿宋_GB2312" w:hAnsi="仿宋_GB2312" w:cs="仿宋_GB2312" w:eastAsia="仿宋_GB2312"/>
                <w:sz w:val="28"/>
              </w:rPr>
              <w:t>：</w:t>
            </w:r>
          </w:p>
          <w:p>
            <w:pPr>
              <w:pStyle w:val="null3"/>
              <w:ind w:firstLine="560"/>
              <w:jc w:val="left"/>
            </w:pPr>
            <w:r>
              <w:rPr>
                <w:rFonts w:ascii="仿宋_GB2312" w:hAnsi="仿宋_GB2312" w:cs="仿宋_GB2312" w:eastAsia="仿宋_GB2312"/>
                <w:sz w:val="28"/>
              </w:rPr>
              <w:t>最高限价</w:t>
            </w:r>
            <w:r>
              <w:rPr>
                <w:rFonts w:ascii="仿宋_GB2312" w:hAnsi="仿宋_GB2312" w:cs="仿宋_GB2312" w:eastAsia="仿宋_GB2312"/>
                <w:sz w:val="28"/>
              </w:rPr>
              <w:t>：</w:t>
            </w:r>
            <w:r>
              <w:rPr>
                <w:rFonts w:ascii="仿宋_GB2312" w:hAnsi="仿宋_GB2312" w:cs="仿宋_GB2312" w:eastAsia="仿宋_GB2312"/>
                <w:sz w:val="28"/>
              </w:rPr>
              <w:t>878978元。</w:t>
            </w:r>
          </w:p>
          <w:p>
            <w:pPr>
              <w:pStyle w:val="null3"/>
              <w:ind w:firstLine="560"/>
              <w:jc w:val="left"/>
            </w:pPr>
          </w:p>
        </w:tc>
      </w:tr>
    </w:tbl>
    <w:p>
      <w:pPr>
        <w:pStyle w:val="null3"/>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必须达到国家及行业现行技术规范标准，符合国家及行业验收合格标准；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1、工期：90日历天；2、质量标准：达到规定要求标准。其他技术要求详见本工程施工图纸和工程量清单</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提供2024年或2025年度的财务审计报告(成立时间至提交响应文件截止时间不足一年的可提供成立后任意时段的资产负债表)，或其基本存款账 户开户银行自开标时间前六个月内出具的资信证明。依法不需要提供此项的单位应提供相关证明材料: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 供应商认为需要提供的其他内容.pdf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供应商应提交的相关资格证明材料.pdf 响应函 供应商认为需要提供的其他内容.pdf</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法定代表人或委托代理人身份证明</w:t>
            </w:r>
          </w:p>
        </w:tc>
        <w:tc>
          <w:tcPr>
            <w:tcW w:type="dxa" w:w="3322"/>
          </w:tcPr>
          <w:p>
            <w:pPr>
              <w:pStyle w:val="null3"/>
            </w:pPr>
            <w:r>
              <w:rPr>
                <w:rFonts w:ascii="仿宋_GB2312" w:hAnsi="仿宋_GB2312" w:cs="仿宋_GB2312" w:eastAsia="仿宋_GB2312"/>
              </w:rPr>
              <w:t>法定代表人参加投标须提供《法定代表人身份证明》及身份证复印件；法定代表人授权他人参加投标，须提供《法定代表人授权委托书》、委托代理人身份证复印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供应商具有行政主管部门核发的公路工程施工总承包三级（含三级）及以上资质，且具有有效的安全生产许可证，供应商需在项目电子化交易系统中按要求上传相应证明文件并进行电子签章；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项目负责人</w:t>
            </w:r>
          </w:p>
        </w:tc>
        <w:tc>
          <w:tcPr>
            <w:tcW w:type="dxa" w:w="3322"/>
          </w:tcPr>
          <w:p>
            <w:pPr>
              <w:pStyle w:val="null3"/>
            </w:pPr>
            <w:r>
              <w:rPr>
                <w:rFonts w:ascii="仿宋_GB2312" w:hAnsi="仿宋_GB2312" w:cs="仿宋_GB2312" w:eastAsia="仿宋_GB2312"/>
              </w:rPr>
              <w:t>拟派项目经理须具备公路工程专业二级（含二级）以上注册建造师资格和安全生产考核合格B证，且无在建项目，供应商需在项目电子化交易系统中按要求上传相应证明文件并进行电子签章；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技术响应方案.docx 供应商应提交的相关资格证明材料.pdf 项目经理简历表.pdf 拟投入本项目人员配置情况表.pdf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本项目专门面向中小企业采购，供应商应提供中小企业声明函，供应商需在项目电子化交易系统中按要求上传相应证明文件并进行电子签章；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中小企业声明函 供应商应提交的相关资格证明材料.pdf</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非联合体磋商承诺函</w:t>
            </w:r>
          </w:p>
        </w:tc>
        <w:tc>
          <w:tcPr>
            <w:tcW w:type="dxa" w:w="3322"/>
          </w:tcPr>
          <w:p>
            <w:pPr>
              <w:pStyle w:val="null3"/>
            </w:pPr>
            <w:r>
              <w:rPr>
                <w:rFonts w:ascii="仿宋_GB2312" w:hAnsi="仿宋_GB2312" w:cs="仿宋_GB2312" w:eastAsia="仿宋_GB2312"/>
              </w:rPr>
              <w:t>本项目不接受联合体磋商，单位负责人为同一人或者存在直接控股、管理关系的不同单位，不得同时参加本项目磋商，供应商需在项目电子化交易系统中按要求上传相应证明文件并进行电子签章；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 供应商承诺书.pdf 供应商认为需要提供的其他内容.pdf</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需提供《汉中市政府采购供应商资格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 供应商承诺书.pdf 供应商认为需要提供的其他内容.pdf</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只能有一个有效报价，不得提交选择性报价，且报价不得超过采购最高限价金额</w:t>
            </w:r>
          </w:p>
        </w:tc>
        <w:tc>
          <w:tcPr>
            <w:tcW w:type="dxa" w:w="1661"/>
          </w:tcPr>
          <w:p>
            <w:pPr>
              <w:pStyle w:val="null3"/>
            </w:pPr>
            <w:r>
              <w:rPr>
                <w:rFonts w:ascii="仿宋_GB2312" w:hAnsi="仿宋_GB2312" w:cs="仿宋_GB2312" w:eastAsia="仿宋_GB2312"/>
              </w:rPr>
              <w:t>已标价工程量清单 报价函 标的清单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 xml:space="preserve"> 90日历天</w:t>
            </w:r>
          </w:p>
        </w:tc>
        <w:tc>
          <w:tcPr>
            <w:tcW w:type="dxa" w:w="1661"/>
          </w:tcPr>
          <w:p>
            <w:pPr>
              <w:pStyle w:val="null3"/>
            </w:pPr>
            <w:r>
              <w:rPr>
                <w:rFonts w:ascii="仿宋_GB2312" w:hAnsi="仿宋_GB2312" w:cs="仿宋_GB2312" w:eastAsia="仿宋_GB2312"/>
              </w:rPr>
              <w:t>报价函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工程质量</w:t>
            </w:r>
          </w:p>
        </w:tc>
        <w:tc>
          <w:tcPr>
            <w:tcW w:type="dxa" w:w="3322"/>
          </w:tcPr>
          <w:p>
            <w:pPr>
              <w:pStyle w:val="null3"/>
            </w:pPr>
            <w:r>
              <w:rPr>
                <w:rFonts w:ascii="仿宋_GB2312" w:hAnsi="仿宋_GB2312" w:cs="仿宋_GB2312" w:eastAsia="仿宋_GB2312"/>
              </w:rPr>
              <w:t xml:space="preserve"> 应符合磋商文件的要求</w:t>
            </w:r>
          </w:p>
        </w:tc>
        <w:tc>
          <w:tcPr>
            <w:tcW w:type="dxa" w:w="1661"/>
          </w:tcPr>
          <w:p>
            <w:pPr>
              <w:pStyle w:val="null3"/>
            </w:pPr>
            <w:r>
              <w:rPr>
                <w:rFonts w:ascii="仿宋_GB2312" w:hAnsi="仿宋_GB2312" w:cs="仿宋_GB2312" w:eastAsia="仿宋_GB2312"/>
              </w:rPr>
              <w:t>技术响应方案.docx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 xml:space="preserve"> 磋商有效期</w:t>
            </w:r>
          </w:p>
        </w:tc>
        <w:tc>
          <w:tcPr>
            <w:tcW w:type="dxa" w:w="3322"/>
          </w:tcPr>
          <w:p>
            <w:pPr>
              <w:pStyle w:val="null3"/>
            </w:pPr>
            <w:r>
              <w:rPr>
                <w:rFonts w:ascii="仿宋_GB2312" w:hAnsi="仿宋_GB2312" w:cs="仿宋_GB2312" w:eastAsia="仿宋_GB2312"/>
              </w:rPr>
              <w:t>应符合磋商文件的要求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响应文件（全份文件）须加盖供应商公章，同时由法定代表人（签字/盖章）或授权委托人（签字/盖章）签署；授权委托人签章时，配套有效授权委托书作为响应文件组成部分。</w:t>
            </w:r>
          </w:p>
        </w:tc>
        <w:tc>
          <w:tcPr>
            <w:tcW w:type="dxa" w:w="1661"/>
          </w:tcPr>
          <w:p>
            <w:pPr>
              <w:pStyle w:val="null3"/>
            </w:pPr>
            <w:r>
              <w:rPr>
                <w:rFonts w:ascii="仿宋_GB2312" w:hAnsi="仿宋_GB2312" w:cs="仿宋_GB2312" w:eastAsia="仿宋_GB2312"/>
              </w:rPr>
              <w:t>已标价工程量清单 中小企业声明函 供应商承诺书.pdf 响应文件封面 技术响应方案.docx 残疾人福利性单位声明函 报价函 供应商应提交的相关资格证明材料.pdf 项目经理简历表.pdf 标的清单 拟投入本项目人员配置情况表.pdf 供应商类似项目业绩一览表 响应函 供应商认为需要提供的其他内容.pdf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 目 实 施 方 案 与 技 术 措 施</w:t>
            </w:r>
          </w:p>
        </w:tc>
        <w:tc>
          <w:tcPr>
            <w:tcW w:type="dxa" w:w="2492"/>
          </w:tcPr>
          <w:p>
            <w:pPr>
              <w:pStyle w:val="null3"/>
            </w:pPr>
            <w:r>
              <w:rPr>
                <w:rFonts w:ascii="仿宋_GB2312" w:hAnsi="仿宋_GB2312" w:cs="仿宋_GB2312" w:eastAsia="仿宋_GB2312"/>
              </w:rPr>
              <w:t>一、评审内容 供应商针对本项目编制完善的施工部署，内容包含：①施工目标:成本目标 、工期目标、质量目标②施工平面布置与安排：现场围挡及出入口管理、交通组织安排、 消防安排、施工平面布置图。 二、评审标准 1、完整性：方案必须全面，对评审内容中的各项要求有详细描述； 2、可实施性：切合本项目实际情况，提出步骤清晰、合理的方案 ； 3、针对性：方案能够紧扣项目实际情况，内容科学合理。 三、赋分标准 ①施工目标 ：每完全满足一个评审标准得2分，满分6分； ②施工平面布置与安排：每完全满足一个评审标准得2分，满分6分；未提供或明显套用其他项目内容的不得分。 (缺陷是指:存在不适用项目实际情况的情形、凭空编造、套用其他项目方案、内容前后不一致、前后逻辑错误、涉及的规范及标准错误、地点区域错误、内容缺失、不符合采购需求、不可能实现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技术响应方案.docx</w:t>
            </w:r>
          </w:p>
        </w:tc>
      </w:tr>
      <w:tr>
        <w:tc>
          <w:tcPr>
            <w:tcW w:type="dxa" w:w="831"/>
            <w:vMerge/>
          </w:tcPr>
          <w:p/>
        </w:tc>
        <w:tc>
          <w:tcPr>
            <w:tcW w:type="dxa" w:w="1661"/>
          </w:tcPr>
          <w:p>
            <w:pPr>
              <w:pStyle w:val="null3"/>
            </w:pPr>
            <w:r>
              <w:rPr>
                <w:rFonts w:ascii="仿宋_GB2312" w:hAnsi="仿宋_GB2312" w:cs="仿宋_GB2312" w:eastAsia="仿宋_GB2312"/>
              </w:rPr>
              <w:t>安 全 管 理 体 系 与 措 施</w:t>
            </w:r>
          </w:p>
        </w:tc>
        <w:tc>
          <w:tcPr>
            <w:tcW w:type="dxa" w:w="2492"/>
          </w:tcPr>
          <w:p>
            <w:pPr>
              <w:pStyle w:val="null3"/>
            </w:pPr>
            <w:r>
              <w:rPr>
                <w:rFonts w:ascii="仿宋_GB2312" w:hAnsi="仿宋_GB2312" w:cs="仿宋_GB2312" w:eastAsia="仿宋_GB2312"/>
              </w:rPr>
              <w:t>一、评审内容 供应商编制完善的安全技术措施，内容包含：①安全管理制度②安全责任归属划分③安全标识：安全警戒标语、施工人员安全警示服和安全帽穿配要求④安全教育培训。 二、评审标准 1、完整性：方案须全面，对评审内容中的各项要求有详细描述及说明 ； 2、可实施性：切合本项目实际情况，实施步骤清晰、合理； 3、针对性：方案能够紧扣项目实际情况，内容科学合理。 三、赋分标准 ①安全管理制度：每完全满足一个评审标准得1分，满分3分； ②安全责任归属划分：每完全满足一个评审标准得1分，满3分； ③安全标识：每完全满足一个评审标准得1分，满分3分； ④安全教育培训：每完全满足一个评审标准得1分，满分3分。未提供或明显套用其他项目 内容的不得分。 (缺陷是指:存在不适用项目实际情况的情形、凭空编造、套用其他项目方案、内容前后不一致、前后逻辑错误、涉及的规范及标 准错误、地点区域错误、内容缺失、不符合采购需求、不可能实现的情形等任意一种情形)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技术响应方案.docx</w:t>
            </w:r>
          </w:p>
        </w:tc>
      </w:tr>
      <w:tr>
        <w:tc>
          <w:tcPr>
            <w:tcW w:type="dxa" w:w="831"/>
            <w:vMerge/>
          </w:tcPr>
          <w:p/>
        </w:tc>
        <w:tc>
          <w:tcPr>
            <w:tcW w:type="dxa" w:w="1661"/>
          </w:tcPr>
          <w:p>
            <w:pPr>
              <w:pStyle w:val="null3"/>
            </w:pPr>
            <w:r>
              <w:rPr>
                <w:rFonts w:ascii="仿宋_GB2312" w:hAnsi="仿宋_GB2312" w:cs="仿宋_GB2312" w:eastAsia="仿宋_GB2312"/>
              </w:rPr>
              <w:t>工 程 进 度 保 证 措 施</w:t>
            </w:r>
          </w:p>
        </w:tc>
        <w:tc>
          <w:tcPr>
            <w:tcW w:type="dxa" w:w="2492"/>
          </w:tcPr>
          <w:p>
            <w:pPr>
              <w:pStyle w:val="null3"/>
            </w:pPr>
            <w:r>
              <w:rPr>
                <w:rFonts w:ascii="仿宋_GB2312" w:hAnsi="仿宋_GB2312" w:cs="仿宋_GB2312" w:eastAsia="仿宋_GB2312"/>
              </w:rPr>
              <w:t>一、评审内容 供应商编制完善的施工总进度计划，内容包含：①施工进度目标②施工进度保障措施。 二、评审标准 1、完整性：方案须全面，对评审内容中的各项要求有详细描述及说明； 2、可实施性：切合本项目实际情况，实施步骤清晰、合理； 3、针对性：方案能够紧扣项目实际情况，内容科学合理。 三、赋分标准 ①施工进度目标：每完全满足一个评审标准得1分，满分3分； ②施工进度保障措施：每完全满足一个评审标准得1分，满分3分。未提供或明显套用其他项目内容的不得分。 (缺陷是指:存在不适用项目实际情况的情形、凭空编造、套用其他项目方案、内容前后不一致、前后逻辑错误、涉及的规范及标 准错误、地点区域错误、内容缺失、不符合采购需求、不可能实现的情形等任意一种情形)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技术响应方案.docx</w:t>
            </w:r>
          </w:p>
        </w:tc>
      </w:tr>
      <w:tr>
        <w:tc>
          <w:tcPr>
            <w:tcW w:type="dxa" w:w="831"/>
            <w:vMerge/>
          </w:tcPr>
          <w:p/>
        </w:tc>
        <w:tc>
          <w:tcPr>
            <w:tcW w:type="dxa" w:w="1661"/>
          </w:tcPr>
          <w:p>
            <w:pPr>
              <w:pStyle w:val="null3"/>
            </w:pPr>
            <w:r>
              <w:rPr>
                <w:rFonts w:ascii="仿宋_GB2312" w:hAnsi="仿宋_GB2312" w:cs="仿宋_GB2312" w:eastAsia="仿宋_GB2312"/>
              </w:rPr>
              <w:t>质 量 管 理 体 系 与 措 施</w:t>
            </w:r>
          </w:p>
        </w:tc>
        <w:tc>
          <w:tcPr>
            <w:tcW w:type="dxa" w:w="2492"/>
          </w:tcPr>
          <w:p>
            <w:pPr>
              <w:pStyle w:val="null3"/>
            </w:pPr>
            <w:r>
              <w:rPr>
                <w:rFonts w:ascii="仿宋_GB2312" w:hAnsi="仿宋_GB2312" w:cs="仿宋_GB2312" w:eastAsia="仿宋_GB2312"/>
              </w:rPr>
              <w:t>一、评审内容 供应商编制完善的质量技术措施，内容包含：①质量管理目标②施工质量保障措施③施工质量检验制度。 二、评审标准 1、完整性：方案须全面，对评审内容中的各项要求有详细描述及说明； 2、可实施性：切合本项目实际情况，实施步骤清晰、合理； 3、针对性：方案能够紧扣项目实际情况，内容科学合理。 三、赋分标准 ①质量管理目标 ：每完全满足一个评审标准得1分，满分3分； ②施工质量保障措施：每完全满足一个评审标准得1分，满分3分； ③施工质量检验制度：每完全满足一个评审标准得1分，满分3分。未提供或明显套用其他项目 内容的不得分。 (缺陷是指:存在不适用项目实际情况的情形、凭空编造、套用其他项目方案、内容前后不一致、前后逻辑错误、涉及的规范及标 准错误、地点区域错误、内容缺失、不符合采购需求、不可能实现的情形等任意一种情形)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技术响应方案.docx</w:t>
            </w:r>
          </w:p>
        </w:tc>
      </w:tr>
      <w:tr>
        <w:tc>
          <w:tcPr>
            <w:tcW w:type="dxa" w:w="831"/>
            <w:vMerge/>
          </w:tcPr>
          <w:p/>
        </w:tc>
        <w:tc>
          <w:tcPr>
            <w:tcW w:type="dxa" w:w="1661"/>
          </w:tcPr>
          <w:p>
            <w:pPr>
              <w:pStyle w:val="null3"/>
            </w:pPr>
            <w:r>
              <w:rPr>
                <w:rFonts w:ascii="仿宋_GB2312" w:hAnsi="仿宋_GB2312" w:cs="仿宋_GB2312" w:eastAsia="仿宋_GB2312"/>
              </w:rPr>
              <w:t>环 境 保 护 措 施</w:t>
            </w:r>
          </w:p>
        </w:tc>
        <w:tc>
          <w:tcPr>
            <w:tcW w:type="dxa" w:w="2492"/>
          </w:tcPr>
          <w:p>
            <w:pPr>
              <w:pStyle w:val="null3"/>
            </w:pPr>
            <w:r>
              <w:rPr>
                <w:rFonts w:ascii="仿宋_GB2312" w:hAnsi="仿宋_GB2312" w:cs="仿宋_GB2312" w:eastAsia="仿宋_GB2312"/>
              </w:rPr>
              <w:t>一、评审内容 供应商编制完善的环境保护措施，内容包含：①噪音控制措施②防尘及扬尘的控制措施。 二、评审标准 1、完整性：方案须全面，对评审内容中的各项要求有详细描述及说明； 2、可实施性：切合本项目实际情况，实施步骤清晰、合理； 3、针对性：方案能够紧扣项目实际情况，内容科学合理。 三、赋分标准 ①噪音控制措施：每完全满足一个评审标准1分，满分3分； ②防尘及扬尘的控制措施：每完全满足一个评审标准得1分 , 满分3分。未提供或明显套用其他项目 内容的不得分。 (缺陷是指:存在不适用项目实际情况的情形、凭空编造、套用其他项目方案、内容前后不一致、前后逻辑错误、涉及的规范及标 准错误、地点区域错误、内容缺失、不符合采购需求、不可能实现的情形等任意一 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技术响应方案.docx</w:t>
            </w:r>
          </w:p>
        </w:tc>
      </w:tr>
      <w:tr>
        <w:tc>
          <w:tcPr>
            <w:tcW w:type="dxa" w:w="831"/>
            <w:vMerge/>
          </w:tcPr>
          <w:p/>
        </w:tc>
        <w:tc>
          <w:tcPr>
            <w:tcW w:type="dxa" w:w="1661"/>
          </w:tcPr>
          <w:p>
            <w:pPr>
              <w:pStyle w:val="null3"/>
            </w:pPr>
            <w:r>
              <w:rPr>
                <w:rFonts w:ascii="仿宋_GB2312" w:hAnsi="仿宋_GB2312" w:cs="仿宋_GB2312" w:eastAsia="仿宋_GB2312"/>
              </w:rPr>
              <w:t>文 明 施 工 措 施</w:t>
            </w:r>
          </w:p>
        </w:tc>
        <w:tc>
          <w:tcPr>
            <w:tcW w:type="dxa" w:w="2492"/>
          </w:tcPr>
          <w:p>
            <w:pPr>
              <w:pStyle w:val="null3"/>
            </w:pPr>
            <w:r>
              <w:rPr>
                <w:rFonts w:ascii="仿宋_GB2312" w:hAnsi="仿宋_GB2312" w:cs="仿宋_GB2312" w:eastAsia="仿宋_GB2312"/>
              </w:rPr>
              <w:t>一、评审内容：供应商编制完善的文明施工措施，内容包含：①材料、半成品和机具的堆放管理②文明施工检查措施。 二、评审标准 1、完整性：方案须全面，对评审内容中的各项要求有详细描述及说明； 2、可实施性：切合本项目实际情况，实施步骤清晰、合理； 3、针对性：方案能够紧扣项目实际情况，内容科学合理。 三、赋分标准 ①材料、半成品和机具的堆放管理：每完全满足一个评审标准得1分，满分3分； ②文明施工检查措施： 每完全满足一个评审标准得1分，满分3分。未提供或明显套用其他项目 内容的不得分。 (缺陷是指:存在不适用项目实际情况的情形、凭空编造、套用其他项目方案、内容前后不一致、前后逻辑错误、涉及的规范及标 准错误、地点区域错误、内容缺失、不符合采购需求 、不可能实现的情形等任意一种情形)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技术响应方案.docx</w:t>
            </w:r>
          </w:p>
        </w:tc>
      </w:tr>
      <w:tr>
        <w:tc>
          <w:tcPr>
            <w:tcW w:type="dxa" w:w="831"/>
            <w:vMerge/>
          </w:tcPr>
          <w:p/>
        </w:tc>
        <w:tc>
          <w:tcPr>
            <w:tcW w:type="dxa" w:w="1661"/>
          </w:tcPr>
          <w:p>
            <w:pPr>
              <w:pStyle w:val="null3"/>
            </w:pPr>
            <w:r>
              <w:rPr>
                <w:rFonts w:ascii="仿宋_GB2312" w:hAnsi="仿宋_GB2312" w:cs="仿宋_GB2312" w:eastAsia="仿宋_GB2312"/>
              </w:rPr>
              <w:t>施 工 设 备 配 置</w:t>
            </w:r>
          </w:p>
        </w:tc>
        <w:tc>
          <w:tcPr>
            <w:tcW w:type="dxa" w:w="2492"/>
          </w:tcPr>
          <w:p>
            <w:pPr>
              <w:pStyle w:val="null3"/>
            </w:pPr>
            <w:r>
              <w:rPr>
                <w:rFonts w:ascii="仿宋_GB2312" w:hAnsi="仿宋_GB2312" w:cs="仿宋_GB2312" w:eastAsia="仿宋_GB2312"/>
              </w:rPr>
              <w:t>针对本项目拟投入的主要施工机械设备配备进行评审，评审标准：1. 完整性：拟投入设备种类齐全，相关内容描述完整详细，得2分；2. 可实施性：设备配置及进场方案切合项目实际，步骤清晰、安排合理，得2分；3. 针对性：设备配置方案紧密结合本项目特点，科学可行、合理适用，得2分。赋分标准：（满分6分）每完全满足一个评审标准得2分，满分6分。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技术响应方案.docx</w:t>
            </w:r>
          </w:p>
        </w:tc>
      </w:tr>
      <w:tr>
        <w:tc>
          <w:tcPr>
            <w:tcW w:type="dxa" w:w="831"/>
            <w:vMerge/>
          </w:tcPr>
          <w:p/>
        </w:tc>
        <w:tc>
          <w:tcPr>
            <w:tcW w:type="dxa" w:w="1661"/>
          </w:tcPr>
          <w:p>
            <w:pPr>
              <w:pStyle w:val="null3"/>
            </w:pPr>
            <w:r>
              <w:rPr>
                <w:rFonts w:ascii="仿宋_GB2312" w:hAnsi="仿宋_GB2312" w:cs="仿宋_GB2312" w:eastAsia="仿宋_GB2312"/>
              </w:rPr>
              <w:t>项 目 部 人 员 组 成</w:t>
            </w:r>
          </w:p>
        </w:tc>
        <w:tc>
          <w:tcPr>
            <w:tcW w:type="dxa" w:w="2492"/>
          </w:tcPr>
          <w:p>
            <w:pPr>
              <w:pStyle w:val="null3"/>
            </w:pPr>
            <w:r>
              <w:rPr>
                <w:rFonts w:ascii="仿宋_GB2312" w:hAnsi="仿宋_GB2312" w:cs="仿宋_GB2312" w:eastAsia="仿宋_GB2312"/>
              </w:rPr>
              <w:t>1、内容包括但不限于①项目管理机构图；②项目现场岗位人员配置方案及各岗位工作职责（含技术负责人、施工员、安全员、资料员、材料员、质量员等核心岗位）；③项目配套管理制度及现场实施保障措施。评审标准：供应商提供方案内容完整详实、逻辑清晰、贴合本项目建设要求，可有效保障项目落地实施的得6分。三项评审内容每缺失一项扣2分；若单项内容表述简略、内容不完善、前后逻辑冲突、模板化套用、与本项目建设需求不匹配、内容杜撰、存在专业常识错误，以及其他影响项目施工实施的缺陷问题，单项扣1分，本项分数扣完为止；2、项目经理具备工程类中级及以上专业技术职称得2分，具备初级专业技术职称得1分。 评审依据：响应文件内提供职称证书复印件并加盖供应商公章。</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拟投入本项目人员配置情况表.pdf</w:t>
            </w:r>
          </w:p>
          <w:p>
            <w:pPr>
              <w:pStyle w:val="null3"/>
            </w:pPr>
            <w:r>
              <w:rPr>
                <w:rFonts w:ascii="仿宋_GB2312" w:hAnsi="仿宋_GB2312" w:cs="仿宋_GB2312" w:eastAsia="仿宋_GB2312"/>
              </w:rPr>
              <w:t>项目经理简历表.pdf</w:t>
            </w:r>
          </w:p>
          <w:p>
            <w:pPr>
              <w:pStyle w:val="null3"/>
            </w:pPr>
            <w:r>
              <w:rPr>
                <w:rFonts w:ascii="仿宋_GB2312" w:hAnsi="仿宋_GB2312" w:cs="仿宋_GB2312" w:eastAsia="仿宋_GB2312"/>
              </w:rPr>
              <w:t>技术响应方案.docx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1日（以签订合同时间为准）至今完成的类似项目业绩，每提供一个合格业绩得2.5分，满分5分。未提供此项内容不得分。注：业绩以中标或成交通知书或协议书（合同）或完工证明或竣工验收证明或其他合法证明材料，否则不作为加分项。响应文件内附相关资料复印件并加盖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以满足招标文件要求且投标价格最低的投标报价为评标基准价，其价格分为满分30分，其他投标单位的价格分按照下列公式计算：投标报价得分=（评标基准价/投标报价） ×30% ×100 。经评标委员会一致认定，投标单位的投标最终总报价低于公认市场成本，或超过采购预算,其响应将被拒绝；（得分计算结果保留小数点后两位，小数点第三位四舍五入）</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详见附件：供应商应提交的相关资格证明材料.pdf</w:t>
      </w:r>
    </w:p>
    <w:p>
      <w:pPr>
        <w:pStyle w:val="null3"/>
        <w:ind w:firstLine="960"/>
      </w:pPr>
      <w:r>
        <w:rPr>
          <w:rFonts w:ascii="仿宋_GB2312" w:hAnsi="仿宋_GB2312" w:cs="仿宋_GB2312" w:eastAsia="仿宋_GB2312"/>
        </w:rPr>
        <w:t>详见附件：拟投入本项目人员配置情况表.pdf</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详见附件：项目经理简历表.pdf</w:t>
      </w:r>
    </w:p>
    <w:p>
      <w:pPr>
        <w:pStyle w:val="null3"/>
        <w:ind w:firstLine="960"/>
      </w:pPr>
      <w:r>
        <w:rPr>
          <w:rFonts w:ascii="仿宋_GB2312" w:hAnsi="仿宋_GB2312" w:cs="仿宋_GB2312" w:eastAsia="仿宋_GB2312"/>
        </w:rPr>
        <w:t>详见附件：技术响应方案.docx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详见附件：供应商承诺书.pdf</w:t>
      </w:r>
    </w:p>
    <w:p>
      <w:pPr>
        <w:pStyle w:val="null3"/>
        <w:ind w:firstLine="960"/>
      </w:pPr>
      <w:r>
        <w:rPr>
          <w:rFonts w:ascii="仿宋_GB2312" w:hAnsi="仿宋_GB2312" w:cs="仿宋_GB2312" w:eastAsia="仿宋_GB2312"/>
        </w:rPr>
        <w:t>详见附件：供应商认为需要提供的其他内容.pdf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