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09BE7">
      <w:pPr>
        <w:adjustRightInd w:val="0"/>
        <w:snapToGrid w:val="0"/>
        <w:ind w:firstLine="402" w:firstLineChars="200"/>
        <w:rPr>
          <w:rFonts w:ascii="仿宋" w:hAnsi="仿宋" w:eastAsia="仿宋" w:cs="仿宋"/>
          <w:b/>
          <w:bCs/>
          <w:sz w:val="20"/>
          <w:szCs w:val="20"/>
        </w:rPr>
      </w:pPr>
      <w:r>
        <w:rPr>
          <w:rFonts w:hint="eastAsia" w:ascii="仿宋" w:hAnsi="仿宋" w:eastAsia="仿宋" w:cs="仿宋"/>
          <w:b/>
          <w:bCs/>
          <w:sz w:val="20"/>
          <w:szCs w:val="20"/>
        </w:rPr>
        <w:t>一、项目概况</w:t>
      </w:r>
    </w:p>
    <w:p w14:paraId="254C35A9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1.项目名称：重点产业链群能力提升评估服务项目</w:t>
      </w:r>
    </w:p>
    <w:p w14:paraId="06E8B44A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2.服务周期：6 个月（2026年10月—2027年3月）</w:t>
      </w:r>
    </w:p>
    <w:p w14:paraId="0BA92272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3.预算金额：40万元</w:t>
      </w:r>
    </w:p>
    <w:p w14:paraId="211C0516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4.采购方式：竞争性磋商</w:t>
      </w:r>
    </w:p>
    <w:p w14:paraId="226F70DE">
      <w:pPr>
        <w:adjustRightInd w:val="0"/>
        <w:snapToGrid w:val="0"/>
        <w:ind w:firstLine="402" w:firstLineChars="200"/>
        <w:rPr>
          <w:rFonts w:ascii="仿宋" w:hAnsi="仿宋" w:eastAsia="仿宋" w:cs="仿宋"/>
          <w:b/>
          <w:bCs/>
          <w:sz w:val="20"/>
          <w:szCs w:val="20"/>
        </w:rPr>
      </w:pPr>
      <w:r>
        <w:rPr>
          <w:rFonts w:hint="eastAsia" w:ascii="仿宋" w:hAnsi="仿宋" w:eastAsia="仿宋" w:cs="仿宋"/>
          <w:b/>
          <w:bCs/>
          <w:sz w:val="20"/>
          <w:szCs w:val="20"/>
        </w:rPr>
        <w:t>二、项目背景与目标</w:t>
      </w:r>
    </w:p>
    <w:p w14:paraId="66454CDA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为深入贯彻产业强市建设部署，加快构建 “7+8+5+6” 现代化产业体系，系统检验全市 10 条重点产业链群建设成效，精准识别短板弱项，科学评价政策落地实效，为链群年度考核、“一链一策”优化、延链补链强链、要素精准投放提供客观依据，特开展本次重点产业链群能力提升评估服务。</w:t>
      </w:r>
    </w:p>
    <w:p w14:paraId="0B1B9D12">
      <w:pPr>
        <w:adjustRightInd w:val="0"/>
        <w:snapToGrid w:val="0"/>
        <w:ind w:firstLine="402" w:firstLineChars="200"/>
        <w:rPr>
          <w:rFonts w:ascii="仿宋" w:hAnsi="仿宋" w:eastAsia="仿宋" w:cs="仿宋"/>
          <w:b/>
          <w:bCs/>
          <w:sz w:val="20"/>
          <w:szCs w:val="20"/>
        </w:rPr>
      </w:pPr>
      <w:r>
        <w:rPr>
          <w:rFonts w:hint="eastAsia" w:ascii="仿宋" w:hAnsi="仿宋" w:eastAsia="仿宋" w:cs="仿宋"/>
          <w:b/>
          <w:bCs/>
          <w:sz w:val="20"/>
          <w:szCs w:val="20"/>
        </w:rPr>
        <w:t>三、服务内容与工作要求</w:t>
      </w:r>
    </w:p>
    <w:p w14:paraId="4951A674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（一）评估范围</w:t>
      </w:r>
    </w:p>
    <w:p w14:paraId="4B88470E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全市10 条重点产业链群：智能网联新能源汽车、商用车、光伏、半导体及光子、新材料、大飞机、输配电、能源（油气）、生物医药、互联网和软信服。</w:t>
      </w:r>
    </w:p>
    <w:p w14:paraId="38EA27C0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评估对象：各链群内规上工业企业、纳入 “融链入链” 重点企业</w:t>
      </w:r>
    </w:p>
    <w:p w14:paraId="23D8DCAA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数据周期： 2025年下半年—2026年9月</w:t>
      </w:r>
    </w:p>
    <w:p w14:paraId="4EF51700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（二）主要工作内容</w:t>
      </w:r>
    </w:p>
    <w:p w14:paraId="5D98E61D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1.方案设计与指标体系构建。项目实施方案、调研方案、技术路线；覆盖政策落地能力、链主带动能力、协同配套能力、创新驱动能力、要素保障能力等维度，建立可量化、可考核、可追踪的综合评价指标体系。</w:t>
      </w:r>
    </w:p>
    <w:p w14:paraId="1095D39E">
      <w:pPr>
        <w:adjustRightInd w:val="0"/>
        <w:snapToGrid w:val="0"/>
        <w:ind w:firstLine="400" w:firstLineChars="200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2.全域调研与数据采集。10 条链群全覆盖调研，组织链主企业、重点配套企业座谈访谈；完成问卷发放回收、数据归集、资料整理。</w:t>
      </w:r>
    </w:p>
    <w:p w14:paraId="64B5AF47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3.数据治理与分析评价。对产业运行、企业经营、“融链入链” 摸排、政策兑现等数据进行清洗、校核、比对、分析；开展链群能力评估</w:t>
      </w:r>
      <w:r>
        <w:rPr>
          <w:rFonts w:hint="eastAsia" w:ascii="仿宋" w:hAnsi="仿宋" w:eastAsia="仿宋" w:cs="仿宋"/>
          <w:sz w:val="20"/>
          <w:szCs w:val="20"/>
        </w:rPr>
        <w:t>、短板弱项识别、风险研判、国内先进城市对标分析。</w:t>
      </w:r>
      <w:bookmarkStart w:id="0" w:name="_GoBack"/>
      <w:bookmarkEnd w:id="0"/>
    </w:p>
    <w:p w14:paraId="715B619B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4.政策绩效评估。评估重点产业链群高质量发展政策、“一链一策”、专项资金、融链入链等政策落地成效。</w:t>
      </w:r>
    </w:p>
    <w:p w14:paraId="024FBF9B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5.成果编制与报送服务。按要求完成系列评估成果，配合汇报、验收、信息报送等全流程服务。</w:t>
      </w:r>
    </w:p>
    <w:p w14:paraId="417BCA52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（三）成果交付要求</w:t>
      </w:r>
    </w:p>
    <w:p w14:paraId="786C8D05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1.《西安市重点产业链群能力提升综合评价报告》，详细、全面刻画相关政策成效，同步形成《评价报告》简版。</w:t>
      </w:r>
    </w:p>
    <w:p w14:paraId="016ED8C5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2.《西安市重点产业链群能力提升评价指标体系》，为后期动态评估提供依据。</w:t>
      </w:r>
    </w:p>
    <w:p w14:paraId="6760A324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3.《重点产业链群能力提升政策建议专报》，提炼可操作的政策优化建议3篇。</w:t>
      </w:r>
    </w:p>
    <w:p w14:paraId="4DA580AC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4. 围绕重点产业链群撰写形成《西安市重点产业链群能力提升改革经验》。</w:t>
      </w:r>
    </w:p>
    <w:p w14:paraId="1F2F05DE">
      <w:pPr>
        <w:adjustRightInd w:val="0"/>
        <w:snapToGrid w:val="0"/>
        <w:ind w:firstLine="402" w:firstLineChars="200"/>
        <w:rPr>
          <w:rFonts w:ascii="仿宋" w:hAnsi="仿宋" w:eastAsia="仿宋" w:cs="仿宋"/>
          <w:b/>
          <w:bCs/>
          <w:sz w:val="20"/>
          <w:szCs w:val="20"/>
        </w:rPr>
      </w:pPr>
      <w:r>
        <w:rPr>
          <w:rFonts w:hint="eastAsia" w:ascii="仿宋" w:hAnsi="仿宋" w:eastAsia="仿宋" w:cs="仿宋"/>
          <w:b/>
          <w:bCs/>
          <w:sz w:val="20"/>
          <w:szCs w:val="20"/>
        </w:rPr>
        <w:t>四、项目团队与人员要求</w:t>
      </w:r>
    </w:p>
    <w:p w14:paraId="27B3DF41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项目团队配置及分工合理，其中具备与本项目相关的经济类、管理类、技术类等中、高级职称人员不少于50%。</w:t>
      </w:r>
    </w:p>
    <w:p w14:paraId="3E4239D1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1.项目负责人。须具备高级经济师或同级别及以上职称，具有产业链研究、产业评估、政策咨询同类项目负责人经验，全程统筹项目实施、成果质量把关、汇报答辩。</w:t>
      </w:r>
    </w:p>
    <w:p w14:paraId="13C295D8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2.经济类、管理类、技术类高级职称。具备高级职称，具有产业研究、数据分析、政策绩效评估经验，负责指标体系、模型构建、对标分析、核心报告撰写。</w:t>
      </w:r>
    </w:p>
    <w:p w14:paraId="3922AB9B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3.经济类、管理类、技术类中级职称。具备中级职称或 2 年以上调研访谈、数据处理、报告编制经验，负责分链调研、数据分析、分报告撰写。</w:t>
      </w:r>
    </w:p>
    <w:p w14:paraId="18C14BBD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4.团队配备专职工作人员。经济、统计、数据管理、技术类相关专业，负责问卷、数据录入清洗、台账整理、图表制作、资料汇编。</w:t>
      </w:r>
    </w:p>
    <w:p w14:paraId="05146453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5.外部专家团队。须聘请产业经济、汽车、光伏、半导体、航空航天、新材料、生物医药等领域专家，参与指标论证、验收评审。</w:t>
      </w:r>
    </w:p>
    <w:p w14:paraId="2D67F623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人员管理要求：项目组核心人员不得擅自更换；项目负责人必须参加所有关键节点会议。</w:t>
      </w:r>
    </w:p>
    <w:p w14:paraId="215FFEB6">
      <w:pPr>
        <w:adjustRightInd w:val="0"/>
        <w:snapToGrid w:val="0"/>
        <w:ind w:firstLine="402" w:firstLineChars="200"/>
        <w:rPr>
          <w:rFonts w:ascii="仿宋" w:hAnsi="仿宋" w:eastAsia="仿宋" w:cs="仿宋"/>
          <w:b/>
          <w:bCs/>
          <w:sz w:val="20"/>
          <w:szCs w:val="20"/>
        </w:rPr>
      </w:pPr>
      <w:r>
        <w:rPr>
          <w:rFonts w:hint="eastAsia" w:ascii="仿宋" w:hAnsi="仿宋" w:eastAsia="仿宋" w:cs="仿宋"/>
          <w:b/>
          <w:bCs/>
          <w:sz w:val="20"/>
          <w:szCs w:val="20"/>
        </w:rPr>
        <w:t>五、实施计划（6 个月分阶段）</w:t>
      </w:r>
    </w:p>
    <w:p w14:paraId="2BF8E0F7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1.第1—2个月：方案编制、指标体系设计、专家论证、调研准备；</w:t>
      </w:r>
    </w:p>
    <w:p w14:paraId="2C9DA961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2.第3—4个月：实地调研、企业访谈、数据采集、数据治理；</w:t>
      </w:r>
    </w:p>
    <w:p w14:paraId="109DDBCC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3.第5个月：数据分析、能力评价、对标研究、短板研判；</w:t>
      </w:r>
    </w:p>
    <w:p w14:paraId="5A35181B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4.第6个月：报告编制、专家评审、成果修改、验收交付、信息报送。</w:t>
      </w:r>
    </w:p>
    <w:p w14:paraId="1608C888">
      <w:pPr>
        <w:adjustRightInd w:val="0"/>
        <w:snapToGrid w:val="0"/>
        <w:ind w:firstLine="402" w:firstLineChars="200"/>
        <w:rPr>
          <w:rFonts w:ascii="仿宋" w:hAnsi="仿宋" w:eastAsia="仿宋" w:cs="仿宋"/>
          <w:b/>
          <w:bCs/>
          <w:sz w:val="20"/>
          <w:szCs w:val="20"/>
        </w:rPr>
      </w:pPr>
      <w:r>
        <w:rPr>
          <w:rFonts w:hint="eastAsia" w:ascii="仿宋" w:hAnsi="仿宋" w:eastAsia="仿宋" w:cs="仿宋"/>
          <w:b/>
          <w:bCs/>
          <w:sz w:val="20"/>
          <w:szCs w:val="20"/>
        </w:rPr>
        <w:t>六、服务标准</w:t>
      </w:r>
    </w:p>
    <w:p w14:paraId="4447F251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1.数据真实准确、分析客观中立、结论可支撑决策；</w:t>
      </w:r>
    </w:p>
    <w:p w14:paraId="2802A8FC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2.严格遵守保密规定，对企业数据、产业敏感信息全程保密；</w:t>
      </w:r>
    </w:p>
    <w:p w14:paraId="118FB969">
      <w:pPr>
        <w:adjustRightInd w:val="0"/>
        <w:snapToGrid w:val="0"/>
        <w:ind w:firstLine="402" w:firstLineChars="200"/>
        <w:rPr>
          <w:rFonts w:ascii="仿宋" w:hAnsi="仿宋" w:eastAsia="仿宋" w:cs="仿宋"/>
          <w:b/>
          <w:bCs/>
          <w:sz w:val="20"/>
          <w:szCs w:val="20"/>
        </w:rPr>
      </w:pPr>
      <w:r>
        <w:rPr>
          <w:rFonts w:hint="eastAsia" w:ascii="仿宋" w:hAnsi="仿宋" w:eastAsia="仿宋" w:cs="仿宋"/>
          <w:b/>
          <w:bCs/>
          <w:sz w:val="20"/>
          <w:szCs w:val="20"/>
        </w:rPr>
        <w:t>七、验收标准</w:t>
      </w:r>
    </w:p>
    <w:p w14:paraId="3AAE4B2A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1.交付本采购需求所列全部成果，装订成册、格式规范、内容完整；</w:t>
      </w:r>
    </w:p>
    <w:p w14:paraId="7E5E63C6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2.通过专家评审及采购人验收；</w:t>
      </w:r>
    </w:p>
    <w:p w14:paraId="678B0156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3.完成采购需求要求、决策支撑等配套服务；</w:t>
      </w:r>
    </w:p>
    <w:p w14:paraId="0D5C30D7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4.资料台账齐全，符合档案管理要求。</w:t>
      </w:r>
    </w:p>
    <w:p w14:paraId="56415B09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八、付款方式</w:t>
      </w:r>
    </w:p>
    <w:p w14:paraId="02FF0995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1.合同签订后 10 个工作日内，支付合同金额的50%；</w:t>
      </w:r>
    </w:p>
    <w:p w14:paraId="567A914C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2.项目全部完成、成果交付并通过验收后，支付剩余50% 尾款。</w:t>
      </w:r>
    </w:p>
    <w:p w14:paraId="0F79ED4E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九、其他要求</w:t>
      </w:r>
    </w:p>
    <w:p w14:paraId="240ABB48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1.中标单位承担全部项目费用及招标代理服务费；</w:t>
      </w:r>
    </w:p>
    <w:p w14:paraId="19ED271A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2.项目知识产权归西安市工业和信息化局所有，未经采购方允许，投标人不得公开发表或将成果作为商业用途使用；</w:t>
      </w:r>
    </w:p>
    <w:p w14:paraId="65A5820C">
      <w:pPr>
        <w:adjustRightInd w:val="0"/>
        <w:snapToGrid w:val="0"/>
        <w:ind w:firstLine="400" w:firstLineChars="200"/>
        <w:rPr>
          <w:rFonts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3.服务机构须配合采购人开展后续政策解读、成果应用、数据更新等延伸服务。</w:t>
      </w:r>
    </w:p>
    <w:p w14:paraId="673F8F04">
      <w:r>
        <w:rPr>
          <w:rFonts w:hint="eastAsia" w:ascii="仿宋" w:hAnsi="仿宋" w:eastAsia="仿宋" w:cs="仿宋"/>
          <w:sz w:val="20"/>
          <w:szCs w:val="20"/>
        </w:rPr>
        <w:t>4. 服务机构应遵守法律法规相关规定，确保采购方免除第三方提出的侵犯专利权、商标权等起诉、索赔等。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B5357A"/>
    <w:rsid w:val="39B5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2026-09-29T10:48:00Z</dcterms:created>
  <dc:creator>WPS_1679571089</dc:creator>
  <cp:lastModifiedBy>WPS_1679571089</cp:lastModifiedBy>
  <dcterms:modified xsi:type="dcterms:W3CDTF">2026-09-29T10:48:50Z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2052-12.1.0.26885</vt:lpwstr>
  </property>
  <property fmtid="{D5CDD505-2E9C-101B-9397-08002B2CF9AE}" pid="3" name="ICV">
    <vt:lpwstr>BC600D78DBAB4C91842F02FE1496B9DA_11</vt:lpwstr>
  </property>
  <property fmtid="{D5CDD505-2E9C-101B-9397-08002B2CF9AE}" pid="4" name="KSOTemplateDocerSaveRecord">
    <vt:lpwstr>eyJoZGlkIjoiNmM5MjUwYTBlMjJmYmJkYmRkOTk0MDAzNzllNmM0ZGQiLCJ1c2VySWQiOiIxNDgyOTM0MTUyIn0=</vt:lpwstr>
  </property>
</Properties>
</file>