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6CCDCA">
      <w:pPr>
        <w:jc w:val="center"/>
        <w:rPr>
          <w:rFonts w:hint="eastAsia" w:ascii="仿宋" w:hAnsi="仿宋" w:eastAsia="仿宋" w:cs="仿宋"/>
          <w:color w:val="auto"/>
          <w:sz w:val="32"/>
          <w:szCs w:val="32"/>
          <w:highlight w:val="none"/>
          <w:lang w:eastAsia="zh-CN"/>
        </w:rPr>
      </w:pPr>
      <w:bookmarkStart w:id="0" w:name="_GoBack"/>
      <w:r>
        <w:rPr>
          <w:rFonts w:hint="eastAsia" w:ascii="仿宋" w:hAnsi="仿宋" w:eastAsia="仿宋" w:cs="仿宋"/>
          <w:color w:val="auto"/>
          <w:sz w:val="32"/>
          <w:szCs w:val="32"/>
          <w:highlight w:val="none"/>
          <w:lang w:eastAsia="zh-CN"/>
        </w:rPr>
        <w:t>购</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lang w:eastAsia="zh-CN"/>
        </w:rPr>
        <w:t>置</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lang w:eastAsia="zh-CN"/>
        </w:rPr>
        <w:t>合</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lang w:eastAsia="zh-CN"/>
        </w:rPr>
        <w:t>同</w:t>
      </w:r>
    </w:p>
    <w:p w14:paraId="5D401E73">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xml:space="preserve">陕西职业技术学院（甲方）与 </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乙方）就甲方购置的</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设备，经双方协商达成如下合同条款：</w:t>
      </w:r>
    </w:p>
    <w:p w14:paraId="3A16FEF1">
      <w:pPr>
        <w:spacing w:beforeLines="50" w:afterLines="50" w:line="360" w:lineRule="exact"/>
        <w:ind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1.合同内容</w:t>
      </w:r>
    </w:p>
    <w:p w14:paraId="0B88F709">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在甲方组织的关于</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采购招投标活动中，经评标确定乙方为供货单位。乙方按本合同中确定的设备名称、型号与规格、产地、数量及配套内容进行供货，详细配置见《设备购置清单》；乙方按时将货物运送到甲方指定的地点，负责到货设备的安装与调试，达到正常使用状态；乙方负责为甲方培训操作、维护人员，质保期内负责指导设备的操作使用和保养维修，做好售后服务工作。甲方在乙方完成合同明确规定的责任和义务后，按合同要求支付给乙方相应的设备货款。</w:t>
      </w:r>
    </w:p>
    <w:p w14:paraId="33A6B4ED">
      <w:pPr>
        <w:spacing w:line="36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1.1 设备购置清单（币种：人民币）</w:t>
      </w:r>
    </w:p>
    <w:tbl>
      <w:tblPr>
        <w:tblStyle w:val="13"/>
        <w:tblW w:w="8937" w:type="dxa"/>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1"/>
        <w:gridCol w:w="1458"/>
        <w:gridCol w:w="1776"/>
        <w:gridCol w:w="925"/>
        <w:gridCol w:w="1130"/>
        <w:gridCol w:w="1090"/>
        <w:gridCol w:w="1420"/>
        <w:gridCol w:w="617"/>
      </w:tblGrid>
      <w:tr w14:paraId="1C94CC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521" w:type="dxa"/>
            <w:vAlign w:val="center"/>
          </w:tcPr>
          <w:p w14:paraId="23D422D6">
            <w:pPr>
              <w:jc w:val="center"/>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序号</w:t>
            </w:r>
          </w:p>
        </w:tc>
        <w:tc>
          <w:tcPr>
            <w:tcW w:w="1458" w:type="dxa"/>
            <w:vAlign w:val="center"/>
          </w:tcPr>
          <w:p w14:paraId="6BB823AD">
            <w:pPr>
              <w:jc w:val="center"/>
              <w:rPr>
                <w:rFonts w:hint="eastAsia" w:ascii="仿宋" w:hAnsi="仿宋" w:eastAsia="仿宋" w:cs="仿宋"/>
                <w:b/>
                <w:bCs/>
                <w:color w:val="auto"/>
                <w:spacing w:val="-20"/>
                <w:sz w:val="22"/>
                <w:szCs w:val="22"/>
                <w:highlight w:val="none"/>
              </w:rPr>
            </w:pPr>
            <w:r>
              <w:rPr>
                <w:rFonts w:hint="eastAsia" w:ascii="仿宋" w:hAnsi="仿宋" w:eastAsia="仿宋" w:cs="仿宋"/>
                <w:b/>
                <w:bCs/>
                <w:color w:val="auto"/>
                <w:spacing w:val="-20"/>
                <w:sz w:val="22"/>
                <w:szCs w:val="22"/>
                <w:highlight w:val="none"/>
              </w:rPr>
              <w:t>设备名称</w:t>
            </w:r>
          </w:p>
        </w:tc>
        <w:tc>
          <w:tcPr>
            <w:tcW w:w="1776" w:type="dxa"/>
            <w:vAlign w:val="center"/>
          </w:tcPr>
          <w:p w14:paraId="469D8785">
            <w:pPr>
              <w:jc w:val="center"/>
              <w:rPr>
                <w:rFonts w:hint="eastAsia" w:ascii="仿宋" w:hAnsi="仿宋" w:eastAsia="仿宋" w:cs="仿宋"/>
                <w:b/>
                <w:bCs/>
                <w:color w:val="auto"/>
                <w:spacing w:val="-20"/>
                <w:sz w:val="22"/>
                <w:szCs w:val="22"/>
                <w:highlight w:val="none"/>
              </w:rPr>
            </w:pPr>
            <w:r>
              <w:rPr>
                <w:rFonts w:hint="eastAsia" w:ascii="仿宋" w:hAnsi="仿宋" w:eastAsia="仿宋" w:cs="仿宋"/>
                <w:b/>
                <w:bCs/>
                <w:color w:val="auto"/>
                <w:spacing w:val="-20"/>
                <w:sz w:val="22"/>
                <w:szCs w:val="22"/>
                <w:highlight w:val="none"/>
              </w:rPr>
              <w:t>品牌、规格、型号</w:t>
            </w:r>
          </w:p>
        </w:tc>
        <w:tc>
          <w:tcPr>
            <w:tcW w:w="925" w:type="dxa"/>
            <w:vAlign w:val="center"/>
          </w:tcPr>
          <w:p w14:paraId="7448A384">
            <w:pPr>
              <w:jc w:val="center"/>
              <w:rPr>
                <w:rFonts w:hint="eastAsia" w:ascii="仿宋" w:hAnsi="仿宋" w:eastAsia="仿宋" w:cs="仿宋"/>
                <w:b/>
                <w:bCs/>
                <w:color w:val="auto"/>
                <w:spacing w:val="-20"/>
                <w:sz w:val="22"/>
                <w:szCs w:val="22"/>
                <w:highlight w:val="none"/>
              </w:rPr>
            </w:pPr>
            <w:r>
              <w:rPr>
                <w:rFonts w:hint="eastAsia" w:ascii="仿宋" w:hAnsi="仿宋" w:eastAsia="仿宋" w:cs="仿宋"/>
                <w:b/>
                <w:bCs/>
                <w:color w:val="auto"/>
                <w:spacing w:val="-20"/>
                <w:sz w:val="22"/>
                <w:szCs w:val="22"/>
                <w:highlight w:val="none"/>
              </w:rPr>
              <w:t>数量</w:t>
            </w:r>
          </w:p>
          <w:p w14:paraId="6573AE62">
            <w:pPr>
              <w:jc w:val="center"/>
              <w:rPr>
                <w:rFonts w:hint="eastAsia" w:ascii="仿宋" w:hAnsi="仿宋" w:eastAsia="仿宋" w:cs="仿宋"/>
                <w:b/>
                <w:bCs/>
                <w:color w:val="auto"/>
                <w:spacing w:val="-20"/>
                <w:sz w:val="22"/>
                <w:szCs w:val="22"/>
                <w:highlight w:val="none"/>
              </w:rPr>
            </w:pPr>
            <w:r>
              <w:rPr>
                <w:rFonts w:hint="eastAsia" w:ascii="仿宋" w:hAnsi="仿宋" w:eastAsia="仿宋" w:cs="仿宋"/>
                <w:b/>
                <w:bCs/>
                <w:color w:val="auto"/>
                <w:spacing w:val="-20"/>
                <w:sz w:val="22"/>
                <w:szCs w:val="22"/>
                <w:highlight w:val="none"/>
              </w:rPr>
              <w:t>(台、套)</w:t>
            </w:r>
          </w:p>
        </w:tc>
        <w:tc>
          <w:tcPr>
            <w:tcW w:w="1130" w:type="dxa"/>
            <w:vAlign w:val="center"/>
          </w:tcPr>
          <w:p w14:paraId="0EDA94B0">
            <w:pPr>
              <w:jc w:val="center"/>
              <w:rPr>
                <w:rFonts w:hint="eastAsia" w:ascii="仿宋" w:hAnsi="仿宋" w:eastAsia="仿宋" w:cs="仿宋"/>
                <w:b/>
                <w:bCs/>
                <w:color w:val="auto"/>
                <w:spacing w:val="-20"/>
                <w:sz w:val="22"/>
                <w:szCs w:val="22"/>
                <w:highlight w:val="none"/>
              </w:rPr>
            </w:pPr>
            <w:r>
              <w:rPr>
                <w:rFonts w:hint="eastAsia" w:ascii="仿宋" w:hAnsi="仿宋" w:eastAsia="仿宋" w:cs="仿宋"/>
                <w:b/>
                <w:bCs/>
                <w:color w:val="auto"/>
                <w:spacing w:val="-20"/>
                <w:sz w:val="22"/>
                <w:szCs w:val="22"/>
                <w:highlight w:val="none"/>
              </w:rPr>
              <w:t>单价</w:t>
            </w:r>
          </w:p>
          <w:p w14:paraId="7CE99B32">
            <w:pPr>
              <w:jc w:val="center"/>
              <w:rPr>
                <w:rFonts w:hint="eastAsia" w:ascii="仿宋" w:hAnsi="仿宋" w:eastAsia="仿宋" w:cs="仿宋"/>
                <w:b/>
                <w:bCs/>
                <w:color w:val="auto"/>
                <w:spacing w:val="-20"/>
                <w:sz w:val="22"/>
                <w:szCs w:val="22"/>
                <w:highlight w:val="none"/>
              </w:rPr>
            </w:pPr>
            <w:r>
              <w:rPr>
                <w:rFonts w:hint="eastAsia" w:ascii="仿宋" w:hAnsi="仿宋" w:eastAsia="仿宋" w:cs="仿宋"/>
                <w:b/>
                <w:bCs/>
                <w:color w:val="auto"/>
                <w:spacing w:val="-20"/>
                <w:sz w:val="22"/>
                <w:szCs w:val="22"/>
                <w:highlight w:val="none"/>
              </w:rPr>
              <w:t>(万元)</w:t>
            </w:r>
          </w:p>
        </w:tc>
        <w:tc>
          <w:tcPr>
            <w:tcW w:w="1090" w:type="dxa"/>
            <w:vAlign w:val="center"/>
          </w:tcPr>
          <w:p w14:paraId="169AB753">
            <w:pPr>
              <w:jc w:val="center"/>
              <w:rPr>
                <w:rFonts w:hint="eastAsia" w:ascii="仿宋" w:hAnsi="仿宋" w:eastAsia="仿宋" w:cs="仿宋"/>
                <w:b/>
                <w:bCs/>
                <w:color w:val="auto"/>
                <w:spacing w:val="-20"/>
                <w:sz w:val="22"/>
                <w:szCs w:val="22"/>
                <w:highlight w:val="none"/>
              </w:rPr>
            </w:pPr>
            <w:r>
              <w:rPr>
                <w:rFonts w:hint="eastAsia" w:ascii="仿宋" w:hAnsi="仿宋" w:eastAsia="仿宋" w:cs="仿宋"/>
                <w:b/>
                <w:bCs/>
                <w:color w:val="auto"/>
                <w:spacing w:val="-20"/>
                <w:sz w:val="22"/>
                <w:szCs w:val="22"/>
                <w:highlight w:val="none"/>
              </w:rPr>
              <w:t>合计</w:t>
            </w:r>
          </w:p>
          <w:p w14:paraId="3BC9B537">
            <w:pPr>
              <w:jc w:val="center"/>
              <w:rPr>
                <w:rFonts w:hint="eastAsia" w:ascii="仿宋" w:hAnsi="仿宋" w:eastAsia="仿宋" w:cs="仿宋"/>
                <w:b/>
                <w:bCs/>
                <w:color w:val="auto"/>
                <w:spacing w:val="-20"/>
                <w:sz w:val="22"/>
                <w:szCs w:val="22"/>
                <w:highlight w:val="none"/>
              </w:rPr>
            </w:pPr>
            <w:r>
              <w:rPr>
                <w:rFonts w:hint="eastAsia" w:ascii="仿宋" w:hAnsi="仿宋" w:eastAsia="仿宋" w:cs="仿宋"/>
                <w:b/>
                <w:bCs/>
                <w:color w:val="auto"/>
                <w:spacing w:val="-20"/>
                <w:sz w:val="22"/>
                <w:szCs w:val="22"/>
                <w:highlight w:val="none"/>
              </w:rPr>
              <w:t>(万元)</w:t>
            </w:r>
          </w:p>
        </w:tc>
        <w:tc>
          <w:tcPr>
            <w:tcW w:w="1420" w:type="dxa"/>
            <w:vAlign w:val="center"/>
          </w:tcPr>
          <w:p w14:paraId="1EA46C9A">
            <w:pPr>
              <w:jc w:val="center"/>
              <w:rPr>
                <w:rFonts w:hint="eastAsia" w:ascii="仿宋" w:hAnsi="仿宋" w:eastAsia="仿宋" w:cs="仿宋"/>
                <w:b/>
                <w:bCs/>
                <w:color w:val="auto"/>
                <w:spacing w:val="-20"/>
                <w:sz w:val="22"/>
                <w:szCs w:val="22"/>
                <w:highlight w:val="none"/>
              </w:rPr>
            </w:pPr>
            <w:r>
              <w:rPr>
                <w:rFonts w:hint="eastAsia" w:ascii="仿宋" w:hAnsi="仿宋" w:eastAsia="仿宋" w:cs="仿宋"/>
                <w:b/>
                <w:bCs/>
                <w:color w:val="auto"/>
                <w:spacing w:val="-20"/>
                <w:sz w:val="22"/>
                <w:szCs w:val="22"/>
                <w:highlight w:val="none"/>
              </w:rPr>
              <w:t>生产商</w:t>
            </w:r>
          </w:p>
        </w:tc>
        <w:tc>
          <w:tcPr>
            <w:tcW w:w="617" w:type="dxa"/>
            <w:vAlign w:val="center"/>
          </w:tcPr>
          <w:p w14:paraId="1779F112">
            <w:pPr>
              <w:jc w:val="center"/>
              <w:rPr>
                <w:rFonts w:hint="eastAsia" w:ascii="仿宋" w:hAnsi="仿宋" w:eastAsia="仿宋" w:cs="仿宋"/>
                <w:b/>
                <w:bCs/>
                <w:color w:val="auto"/>
                <w:spacing w:val="-20"/>
                <w:sz w:val="22"/>
                <w:szCs w:val="22"/>
                <w:highlight w:val="none"/>
              </w:rPr>
            </w:pPr>
            <w:r>
              <w:rPr>
                <w:rFonts w:hint="eastAsia" w:ascii="仿宋" w:hAnsi="仿宋" w:eastAsia="仿宋" w:cs="仿宋"/>
                <w:b/>
                <w:bCs/>
                <w:color w:val="auto"/>
                <w:spacing w:val="-20"/>
                <w:sz w:val="22"/>
                <w:szCs w:val="22"/>
                <w:highlight w:val="none"/>
              </w:rPr>
              <w:t>备注</w:t>
            </w:r>
          </w:p>
        </w:tc>
      </w:tr>
      <w:tr w14:paraId="703AEB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521" w:type="dxa"/>
            <w:vAlign w:val="center"/>
          </w:tcPr>
          <w:p w14:paraId="658767F3">
            <w:pPr>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w:t>
            </w:r>
          </w:p>
        </w:tc>
        <w:tc>
          <w:tcPr>
            <w:tcW w:w="1458" w:type="dxa"/>
            <w:vAlign w:val="center"/>
          </w:tcPr>
          <w:p w14:paraId="3A259F9A">
            <w:pPr>
              <w:jc w:val="center"/>
              <w:rPr>
                <w:rFonts w:hint="eastAsia" w:ascii="仿宋" w:hAnsi="仿宋" w:eastAsia="仿宋" w:cs="仿宋"/>
                <w:color w:val="auto"/>
                <w:sz w:val="22"/>
                <w:szCs w:val="22"/>
                <w:highlight w:val="none"/>
              </w:rPr>
            </w:pPr>
          </w:p>
        </w:tc>
        <w:tc>
          <w:tcPr>
            <w:tcW w:w="1776" w:type="dxa"/>
            <w:vAlign w:val="center"/>
          </w:tcPr>
          <w:p w14:paraId="54D68746">
            <w:pPr>
              <w:jc w:val="center"/>
              <w:rPr>
                <w:rFonts w:hint="eastAsia" w:ascii="仿宋" w:hAnsi="仿宋" w:eastAsia="仿宋" w:cs="仿宋"/>
                <w:color w:val="auto"/>
                <w:sz w:val="22"/>
                <w:szCs w:val="22"/>
                <w:highlight w:val="none"/>
              </w:rPr>
            </w:pPr>
          </w:p>
        </w:tc>
        <w:tc>
          <w:tcPr>
            <w:tcW w:w="925" w:type="dxa"/>
            <w:vAlign w:val="center"/>
          </w:tcPr>
          <w:p w14:paraId="68CABF38">
            <w:pPr>
              <w:jc w:val="center"/>
              <w:rPr>
                <w:rFonts w:hint="eastAsia" w:ascii="仿宋" w:hAnsi="仿宋" w:eastAsia="仿宋" w:cs="仿宋"/>
                <w:color w:val="auto"/>
                <w:sz w:val="22"/>
                <w:szCs w:val="22"/>
                <w:highlight w:val="none"/>
              </w:rPr>
            </w:pPr>
          </w:p>
        </w:tc>
        <w:tc>
          <w:tcPr>
            <w:tcW w:w="1130" w:type="dxa"/>
            <w:vAlign w:val="center"/>
          </w:tcPr>
          <w:p w14:paraId="10C3DE12">
            <w:pPr>
              <w:jc w:val="center"/>
              <w:rPr>
                <w:rFonts w:hint="eastAsia" w:ascii="仿宋" w:hAnsi="仿宋" w:eastAsia="仿宋" w:cs="仿宋"/>
                <w:color w:val="auto"/>
                <w:sz w:val="22"/>
                <w:szCs w:val="22"/>
                <w:highlight w:val="none"/>
              </w:rPr>
            </w:pPr>
          </w:p>
        </w:tc>
        <w:tc>
          <w:tcPr>
            <w:tcW w:w="1090" w:type="dxa"/>
            <w:vAlign w:val="center"/>
          </w:tcPr>
          <w:p w14:paraId="3F5F0E0A">
            <w:pPr>
              <w:jc w:val="center"/>
              <w:rPr>
                <w:rFonts w:hint="eastAsia" w:ascii="仿宋" w:hAnsi="仿宋" w:eastAsia="仿宋" w:cs="仿宋"/>
                <w:color w:val="auto"/>
                <w:sz w:val="22"/>
                <w:szCs w:val="22"/>
                <w:highlight w:val="none"/>
              </w:rPr>
            </w:pPr>
          </w:p>
        </w:tc>
        <w:tc>
          <w:tcPr>
            <w:tcW w:w="1420" w:type="dxa"/>
            <w:vAlign w:val="center"/>
          </w:tcPr>
          <w:p w14:paraId="345FCE59">
            <w:pPr>
              <w:jc w:val="center"/>
              <w:rPr>
                <w:rFonts w:hint="eastAsia" w:ascii="仿宋" w:hAnsi="仿宋" w:eastAsia="仿宋" w:cs="仿宋"/>
                <w:color w:val="auto"/>
                <w:sz w:val="22"/>
                <w:szCs w:val="22"/>
                <w:highlight w:val="none"/>
              </w:rPr>
            </w:pPr>
          </w:p>
        </w:tc>
        <w:tc>
          <w:tcPr>
            <w:tcW w:w="617" w:type="dxa"/>
            <w:vAlign w:val="center"/>
          </w:tcPr>
          <w:p w14:paraId="7DA4EC03">
            <w:pPr>
              <w:jc w:val="center"/>
              <w:rPr>
                <w:rFonts w:hint="eastAsia" w:ascii="仿宋" w:hAnsi="仿宋" w:eastAsia="仿宋" w:cs="仿宋"/>
                <w:color w:val="auto"/>
                <w:sz w:val="22"/>
                <w:szCs w:val="22"/>
                <w:highlight w:val="none"/>
              </w:rPr>
            </w:pPr>
          </w:p>
        </w:tc>
      </w:tr>
      <w:tr w14:paraId="2EF8EB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521" w:type="dxa"/>
            <w:vAlign w:val="center"/>
          </w:tcPr>
          <w:p w14:paraId="2A59A233">
            <w:pPr>
              <w:jc w:val="center"/>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2</w:t>
            </w:r>
          </w:p>
        </w:tc>
        <w:tc>
          <w:tcPr>
            <w:tcW w:w="1458" w:type="dxa"/>
            <w:vAlign w:val="center"/>
          </w:tcPr>
          <w:p w14:paraId="116F6ADE">
            <w:pPr>
              <w:jc w:val="center"/>
              <w:rPr>
                <w:rFonts w:hint="eastAsia" w:ascii="仿宋" w:hAnsi="仿宋" w:eastAsia="仿宋" w:cs="仿宋"/>
                <w:color w:val="auto"/>
                <w:sz w:val="22"/>
                <w:szCs w:val="22"/>
                <w:highlight w:val="none"/>
              </w:rPr>
            </w:pPr>
          </w:p>
        </w:tc>
        <w:tc>
          <w:tcPr>
            <w:tcW w:w="1776" w:type="dxa"/>
            <w:vAlign w:val="center"/>
          </w:tcPr>
          <w:p w14:paraId="6CE10EEE">
            <w:pPr>
              <w:jc w:val="center"/>
              <w:rPr>
                <w:rFonts w:hint="eastAsia" w:ascii="仿宋" w:hAnsi="仿宋" w:eastAsia="仿宋" w:cs="仿宋"/>
                <w:color w:val="auto"/>
                <w:sz w:val="22"/>
                <w:szCs w:val="22"/>
                <w:highlight w:val="none"/>
              </w:rPr>
            </w:pPr>
          </w:p>
        </w:tc>
        <w:tc>
          <w:tcPr>
            <w:tcW w:w="925" w:type="dxa"/>
            <w:vAlign w:val="center"/>
          </w:tcPr>
          <w:p w14:paraId="6AC68B62">
            <w:pPr>
              <w:jc w:val="center"/>
              <w:rPr>
                <w:rFonts w:hint="eastAsia" w:ascii="仿宋" w:hAnsi="仿宋" w:eastAsia="仿宋" w:cs="仿宋"/>
                <w:color w:val="auto"/>
                <w:sz w:val="22"/>
                <w:szCs w:val="22"/>
                <w:highlight w:val="none"/>
              </w:rPr>
            </w:pPr>
          </w:p>
        </w:tc>
        <w:tc>
          <w:tcPr>
            <w:tcW w:w="1130" w:type="dxa"/>
            <w:vAlign w:val="center"/>
          </w:tcPr>
          <w:p w14:paraId="0A01CB99">
            <w:pPr>
              <w:jc w:val="center"/>
              <w:rPr>
                <w:rFonts w:hint="eastAsia" w:ascii="仿宋" w:hAnsi="仿宋" w:eastAsia="仿宋" w:cs="仿宋"/>
                <w:color w:val="auto"/>
                <w:sz w:val="22"/>
                <w:szCs w:val="22"/>
                <w:highlight w:val="none"/>
              </w:rPr>
            </w:pPr>
          </w:p>
        </w:tc>
        <w:tc>
          <w:tcPr>
            <w:tcW w:w="1090" w:type="dxa"/>
            <w:vAlign w:val="center"/>
          </w:tcPr>
          <w:p w14:paraId="7A83D5E5">
            <w:pPr>
              <w:jc w:val="center"/>
              <w:rPr>
                <w:rFonts w:hint="eastAsia" w:ascii="仿宋" w:hAnsi="仿宋" w:eastAsia="仿宋" w:cs="仿宋"/>
                <w:color w:val="auto"/>
                <w:sz w:val="22"/>
                <w:szCs w:val="22"/>
                <w:highlight w:val="none"/>
              </w:rPr>
            </w:pPr>
          </w:p>
        </w:tc>
        <w:tc>
          <w:tcPr>
            <w:tcW w:w="1420" w:type="dxa"/>
            <w:vAlign w:val="center"/>
          </w:tcPr>
          <w:p w14:paraId="717CD732">
            <w:pPr>
              <w:jc w:val="center"/>
              <w:rPr>
                <w:rFonts w:hint="eastAsia" w:ascii="仿宋" w:hAnsi="仿宋" w:eastAsia="仿宋" w:cs="仿宋"/>
                <w:color w:val="auto"/>
                <w:sz w:val="22"/>
                <w:szCs w:val="22"/>
                <w:highlight w:val="none"/>
              </w:rPr>
            </w:pPr>
          </w:p>
        </w:tc>
        <w:tc>
          <w:tcPr>
            <w:tcW w:w="617" w:type="dxa"/>
            <w:vAlign w:val="center"/>
          </w:tcPr>
          <w:p w14:paraId="6BE9FE6C">
            <w:pPr>
              <w:jc w:val="center"/>
              <w:rPr>
                <w:rFonts w:hint="eastAsia" w:ascii="仿宋" w:hAnsi="仿宋" w:eastAsia="仿宋" w:cs="仿宋"/>
                <w:color w:val="auto"/>
                <w:sz w:val="22"/>
                <w:szCs w:val="22"/>
                <w:highlight w:val="none"/>
              </w:rPr>
            </w:pPr>
          </w:p>
        </w:tc>
      </w:tr>
      <w:tr w14:paraId="6AB40B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7" w:hRule="atLeast"/>
        </w:trPr>
        <w:tc>
          <w:tcPr>
            <w:tcW w:w="521" w:type="dxa"/>
            <w:vAlign w:val="center"/>
          </w:tcPr>
          <w:p w14:paraId="3E0D150E">
            <w:pPr>
              <w:jc w:val="center"/>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w:t>
            </w:r>
          </w:p>
        </w:tc>
        <w:tc>
          <w:tcPr>
            <w:tcW w:w="1458" w:type="dxa"/>
            <w:vAlign w:val="center"/>
          </w:tcPr>
          <w:p w14:paraId="7D869518">
            <w:pPr>
              <w:jc w:val="center"/>
              <w:rPr>
                <w:rFonts w:hint="eastAsia" w:ascii="仿宋" w:hAnsi="仿宋" w:eastAsia="仿宋" w:cs="仿宋"/>
                <w:color w:val="auto"/>
                <w:sz w:val="22"/>
                <w:szCs w:val="22"/>
                <w:highlight w:val="none"/>
              </w:rPr>
            </w:pPr>
          </w:p>
        </w:tc>
        <w:tc>
          <w:tcPr>
            <w:tcW w:w="1776" w:type="dxa"/>
            <w:vAlign w:val="center"/>
          </w:tcPr>
          <w:p w14:paraId="452133B9">
            <w:pPr>
              <w:jc w:val="center"/>
              <w:rPr>
                <w:rFonts w:hint="eastAsia" w:ascii="仿宋" w:hAnsi="仿宋" w:eastAsia="仿宋" w:cs="仿宋"/>
                <w:color w:val="auto"/>
                <w:sz w:val="22"/>
                <w:szCs w:val="22"/>
                <w:highlight w:val="none"/>
              </w:rPr>
            </w:pPr>
          </w:p>
        </w:tc>
        <w:tc>
          <w:tcPr>
            <w:tcW w:w="925" w:type="dxa"/>
            <w:vAlign w:val="center"/>
          </w:tcPr>
          <w:p w14:paraId="2AD1083E">
            <w:pPr>
              <w:jc w:val="center"/>
              <w:rPr>
                <w:rFonts w:hint="eastAsia" w:ascii="仿宋" w:hAnsi="仿宋" w:eastAsia="仿宋" w:cs="仿宋"/>
                <w:color w:val="auto"/>
                <w:sz w:val="22"/>
                <w:szCs w:val="22"/>
                <w:highlight w:val="none"/>
              </w:rPr>
            </w:pPr>
          </w:p>
        </w:tc>
        <w:tc>
          <w:tcPr>
            <w:tcW w:w="1130" w:type="dxa"/>
            <w:vAlign w:val="center"/>
          </w:tcPr>
          <w:p w14:paraId="46EE97F2">
            <w:pPr>
              <w:jc w:val="center"/>
              <w:rPr>
                <w:rFonts w:hint="eastAsia" w:ascii="仿宋" w:hAnsi="仿宋" w:eastAsia="仿宋" w:cs="仿宋"/>
                <w:color w:val="auto"/>
                <w:sz w:val="22"/>
                <w:szCs w:val="22"/>
                <w:highlight w:val="none"/>
              </w:rPr>
            </w:pPr>
          </w:p>
        </w:tc>
        <w:tc>
          <w:tcPr>
            <w:tcW w:w="1090" w:type="dxa"/>
            <w:vAlign w:val="center"/>
          </w:tcPr>
          <w:p w14:paraId="3C2F9A8A">
            <w:pPr>
              <w:jc w:val="center"/>
              <w:rPr>
                <w:rFonts w:hint="eastAsia" w:ascii="仿宋" w:hAnsi="仿宋" w:eastAsia="仿宋" w:cs="仿宋"/>
                <w:color w:val="auto"/>
                <w:sz w:val="22"/>
                <w:szCs w:val="22"/>
                <w:highlight w:val="none"/>
              </w:rPr>
            </w:pPr>
          </w:p>
        </w:tc>
        <w:tc>
          <w:tcPr>
            <w:tcW w:w="1420" w:type="dxa"/>
            <w:vAlign w:val="center"/>
          </w:tcPr>
          <w:p w14:paraId="0C3A0CA3">
            <w:pPr>
              <w:jc w:val="center"/>
              <w:rPr>
                <w:rFonts w:hint="eastAsia" w:ascii="仿宋" w:hAnsi="仿宋" w:eastAsia="仿宋" w:cs="仿宋"/>
                <w:color w:val="auto"/>
                <w:sz w:val="22"/>
                <w:szCs w:val="22"/>
                <w:highlight w:val="none"/>
              </w:rPr>
            </w:pPr>
          </w:p>
        </w:tc>
        <w:tc>
          <w:tcPr>
            <w:tcW w:w="617" w:type="dxa"/>
            <w:vAlign w:val="center"/>
          </w:tcPr>
          <w:p w14:paraId="7AFD5A4E">
            <w:pPr>
              <w:jc w:val="center"/>
              <w:rPr>
                <w:rFonts w:hint="eastAsia" w:ascii="仿宋" w:hAnsi="仿宋" w:eastAsia="仿宋" w:cs="仿宋"/>
                <w:color w:val="auto"/>
                <w:sz w:val="22"/>
                <w:szCs w:val="22"/>
                <w:highlight w:val="none"/>
              </w:rPr>
            </w:pPr>
          </w:p>
        </w:tc>
      </w:tr>
      <w:tr w14:paraId="29915E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trPr>
        <w:tc>
          <w:tcPr>
            <w:tcW w:w="3755" w:type="dxa"/>
            <w:gridSpan w:val="3"/>
            <w:vMerge w:val="restart"/>
            <w:tcBorders>
              <w:bottom w:val="nil"/>
            </w:tcBorders>
          </w:tcPr>
          <w:p w14:paraId="3D08462A">
            <w:pPr>
              <w:rPr>
                <w:rFonts w:hint="eastAsia" w:ascii="仿宋" w:hAnsi="仿宋" w:eastAsia="仿宋" w:cs="仿宋"/>
                <w:color w:val="auto"/>
                <w:sz w:val="22"/>
                <w:szCs w:val="22"/>
                <w:highlight w:val="none"/>
              </w:rPr>
            </w:pPr>
          </w:p>
          <w:p w14:paraId="65685878">
            <w:pP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合计(元)</w:t>
            </w:r>
          </w:p>
        </w:tc>
        <w:tc>
          <w:tcPr>
            <w:tcW w:w="5182" w:type="dxa"/>
            <w:gridSpan w:val="5"/>
            <w:vAlign w:val="center"/>
          </w:tcPr>
          <w:p w14:paraId="4F71E3C8">
            <w:pPr>
              <w:jc w:val="both"/>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大写：</w:t>
            </w:r>
          </w:p>
        </w:tc>
      </w:tr>
      <w:tr w14:paraId="229427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3755" w:type="dxa"/>
            <w:gridSpan w:val="3"/>
            <w:vMerge w:val="continue"/>
            <w:tcBorders>
              <w:top w:val="nil"/>
            </w:tcBorders>
          </w:tcPr>
          <w:p w14:paraId="13F9682B">
            <w:pPr>
              <w:rPr>
                <w:rFonts w:hint="eastAsia" w:ascii="仿宋" w:hAnsi="仿宋" w:eastAsia="仿宋" w:cs="仿宋"/>
                <w:color w:val="auto"/>
                <w:sz w:val="22"/>
                <w:szCs w:val="22"/>
                <w:highlight w:val="none"/>
              </w:rPr>
            </w:pPr>
          </w:p>
        </w:tc>
        <w:tc>
          <w:tcPr>
            <w:tcW w:w="5182" w:type="dxa"/>
            <w:gridSpan w:val="5"/>
            <w:vAlign w:val="center"/>
          </w:tcPr>
          <w:p w14:paraId="70EF5D0C">
            <w:pPr>
              <w:jc w:val="both"/>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小写：</w:t>
            </w:r>
            <w:r>
              <w:rPr>
                <w:rFonts w:hint="eastAsia" w:ascii="仿宋" w:hAnsi="仿宋" w:eastAsia="仿宋" w:cs="仿宋"/>
                <w:color w:val="auto"/>
                <w:sz w:val="22"/>
                <w:szCs w:val="22"/>
                <w:highlight w:val="none"/>
                <w:u w:val="single"/>
                <w:lang w:eastAsia="zh-CN"/>
              </w:rPr>
              <w:t xml:space="preserve">           </w:t>
            </w:r>
            <w:r>
              <w:rPr>
                <w:rFonts w:hint="eastAsia" w:ascii="仿宋" w:hAnsi="仿宋" w:eastAsia="仿宋" w:cs="仿宋"/>
                <w:color w:val="auto"/>
                <w:sz w:val="22"/>
                <w:szCs w:val="22"/>
                <w:highlight w:val="none"/>
              </w:rPr>
              <w:t>元</w:t>
            </w:r>
          </w:p>
        </w:tc>
      </w:tr>
    </w:tbl>
    <w:p w14:paraId="5CAC6123">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1.2 合同总额是指设备到达陕西职业技术学院指定地点、完成验收后的价格，其中已包含货物费(含备品备件费)、包装费、运杂费(含搬运、装卸、保险费等)、工程费、材料费、全部税费、安装调试费、售后服务及培训费等相关费用。</w:t>
      </w:r>
    </w:p>
    <w:p w14:paraId="1EF20FE1">
      <w:pPr>
        <w:spacing w:line="38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其中，</w:t>
      </w:r>
      <w:r>
        <w:rPr>
          <w:rFonts w:hint="eastAsia" w:ascii="仿宋" w:hAnsi="仿宋" w:eastAsia="仿宋" w:cs="仿宋"/>
          <w:color w:val="auto"/>
          <w:sz w:val="24"/>
          <w:szCs w:val="24"/>
          <w:highlight w:val="none"/>
          <w:lang w:val="en-US" w:eastAsia="zh-CN"/>
        </w:rPr>
        <w:t>不含税金额____元，增值税税额____元，适用税率____%。</w:t>
      </w:r>
    </w:p>
    <w:p w14:paraId="3E5688B4">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1.3 合同总额为一次性包死价格，不受市场价格的变化和影响，在合同不发生变更时作为付款结算的依据。</w:t>
      </w:r>
    </w:p>
    <w:p w14:paraId="5F6B90FD">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1.4 设备的技术参数要求</w:t>
      </w:r>
    </w:p>
    <w:p w14:paraId="3901001E">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1.4.1 本合同条款下提交货物的技术规格要求应等于或优于招投标文件技术规格要求(设备的技术参数和指标详见附件)。若技术规格要求中无相应规定，则应符合相应的国家有关部门最新颁布的相应正式标准。</w:t>
      </w:r>
    </w:p>
    <w:p w14:paraId="02F78EBD">
      <w:pPr>
        <w:spacing w:line="380" w:lineRule="exact"/>
        <w:ind w:firstLine="480"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 xml:space="preserve">1.4.2 </w:t>
      </w:r>
      <w:r>
        <w:rPr>
          <w:rFonts w:hint="eastAsia" w:ascii="仿宋" w:hAnsi="仿宋" w:eastAsia="仿宋" w:cs="仿宋"/>
          <w:b w:val="0"/>
          <w:bCs w:val="0"/>
          <w:color w:val="auto"/>
          <w:sz w:val="24"/>
          <w:szCs w:val="24"/>
          <w:highlight w:val="none"/>
          <w:lang w:val="en-US" w:eastAsia="zh-CN"/>
        </w:rPr>
        <w:t>所有设备和参数要与招标文件、投标文件保持一致，若关键参数不一致，以其中最优最高标准为执行标准。</w:t>
      </w:r>
    </w:p>
    <w:p w14:paraId="760B2ECA">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1.4.</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eastAsia="zh-CN"/>
        </w:rPr>
        <w:t xml:space="preserve"> 乙方应向甲方提供有关标准的中文文本。</w:t>
      </w:r>
    </w:p>
    <w:p w14:paraId="048D1084">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1.4.</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lang w:eastAsia="zh-CN"/>
        </w:rPr>
        <w:t xml:space="preserve"> 除非技术规范中另有规定，计量单位均采用中华人民共和国法定计量单位。</w:t>
      </w:r>
    </w:p>
    <w:p w14:paraId="37A99D53">
      <w:pPr>
        <w:spacing w:beforeLines="50" w:afterLines="50" w:line="360" w:lineRule="exact"/>
        <w:ind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2.包装运输要求</w:t>
      </w:r>
    </w:p>
    <w:p w14:paraId="49358207">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设备的运输方式由乙方自行选择，在生产、运输、装卸过程中的任何安全问题与甲方无关。设备运输、装卸费用由乙方承担。乙方应做好设备的安全防护工作，保证甲方收到的是无任何损伤的货物。设备包装必须符合国家标准或行业标准，满足航空、铁路或公路运输以及货物装卸要求，乙方若因自身原因出现任何安全事故，责任均由乙方承担。同时，对于在此过程中由于乙方未尽义务，造成与甲方有关人或物的损伤，乙方应承担全部责任。</w:t>
      </w:r>
    </w:p>
    <w:p w14:paraId="59E7483B">
      <w:pPr>
        <w:spacing w:beforeLines="50" w:afterLines="50" w:line="360" w:lineRule="exact"/>
        <w:ind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3.交货时间及交货地点</w:t>
      </w:r>
    </w:p>
    <w:p w14:paraId="7FAA0BC3">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3.1 本项目为交钥匙工程，乙方须提供整套合格产品，严格按照安全规范完成设备用电、照明及网络综合布线施工，确保各类设备供电稳定、网络畅通，满足正常运行使用条件，切实做好安全防护相关工作。产品交货、安装地点均为甲方指定地点。</w:t>
      </w:r>
    </w:p>
    <w:p w14:paraId="2525F611">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3.2 合同签订后</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个工作日内，乙方负责将产品运输到指定地点，并按照验收标准和验收程序完成设备的安装、调试和验收工作。乙方保证运输过程中产品包装完好，在安装调试及验收时设备外观无划痕，设备质量完好。</w:t>
      </w:r>
    </w:p>
    <w:p w14:paraId="6F615DAD">
      <w:pPr>
        <w:spacing w:beforeLines="50" w:afterLines="50" w:line="360" w:lineRule="exact"/>
        <w:ind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4.产品质量保证</w:t>
      </w:r>
    </w:p>
    <w:p w14:paraId="22DBB4B8">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4.1 乙方提供的设备及配套产品，必须是合同规定厂家制造的合格、全新、未曾使用的产品，产品内部无损坏，外表无磨损，内部包装无破损。</w:t>
      </w:r>
    </w:p>
    <w:p w14:paraId="62F55C61">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4.2 乙方提供的设备及配套产品必须等同于或优于合同技术指标要求，并能按国家标准供应、检测、调试，确保产品技术指标满足合同约定及使用要求。</w:t>
      </w:r>
    </w:p>
    <w:p w14:paraId="5154263D">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4.3 乙方须保证所提供的货物经正确安装、正常运转和保养，在其使用寿命期内须具有符合质量要求和产品说明书要求的性能。在产品质量保证期之内，乙方须对由于设计、工艺或材料的缺陷而发生的任何不足或故障负责，并免费予以改进或更换。</w:t>
      </w:r>
    </w:p>
    <w:p w14:paraId="0135CA34">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4.4 根据甲方按检验标准自行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缺陷货物。乙方在甲方发出质量异议通知后未作答复，甲方在通知书中所提出的要求应视为已被乙方接受。</w:t>
      </w:r>
    </w:p>
    <w:p w14:paraId="6C729CB0">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4.5 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利不受影响。</w:t>
      </w:r>
    </w:p>
    <w:p w14:paraId="37132609">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4.6</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产品质量保证期自最终验收合格之日起计算，其中：硬件设备质保期</w:t>
      </w:r>
      <w:r>
        <w:rPr>
          <w:rFonts w:hint="eastAsia" w:ascii="仿宋" w:hAnsi="仿宋" w:eastAsia="仿宋" w:cs="仿宋"/>
          <w:color w:val="auto"/>
          <w:sz w:val="24"/>
          <w:szCs w:val="24"/>
          <w:highlight w:val="none"/>
          <w:lang w:val="en-US" w:eastAsia="zh-CN"/>
        </w:rPr>
        <w:t>为</w:t>
      </w:r>
      <w:r>
        <w:rPr>
          <w:rFonts w:hint="eastAsia" w:ascii="仿宋" w:hAnsi="仿宋" w:eastAsia="仿宋" w:cs="仿宋"/>
          <w:color w:val="auto"/>
          <w:sz w:val="24"/>
          <w:szCs w:val="24"/>
          <w:highlight w:val="none"/>
          <w:lang w:eastAsia="zh-CN"/>
        </w:rPr>
        <w:t>____年；软件系统质保期为____年。</w:t>
      </w:r>
    </w:p>
    <w:p w14:paraId="4CDB85EE">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质保期内，乙方应</w:t>
      </w:r>
      <w:r>
        <w:rPr>
          <w:rFonts w:hint="eastAsia" w:ascii="仿宋" w:hAnsi="仿宋" w:eastAsia="仿宋" w:cs="仿宋"/>
          <w:color w:val="auto"/>
          <w:sz w:val="24"/>
          <w:szCs w:val="24"/>
          <w:highlight w:val="none"/>
          <w:lang w:val="en-US" w:eastAsia="zh-CN"/>
        </w:rPr>
        <w:t>对所有硬件设备提供免费维修、免费更换故障零部件，含人工费、上门费、备件费及运输费；对所有软件系统提供免费维护、漏洞修复、版本升级及其他常规技术支持服务；</w:t>
      </w:r>
      <w:r>
        <w:rPr>
          <w:rFonts w:hint="eastAsia" w:ascii="仿宋" w:hAnsi="仿宋" w:eastAsia="仿宋" w:cs="仿宋"/>
          <w:color w:val="auto"/>
          <w:sz w:val="24"/>
          <w:szCs w:val="24"/>
          <w:highlight w:val="none"/>
          <w:lang w:eastAsia="zh-CN"/>
        </w:rPr>
        <w:t>因产品质量或乙方安装施工原因导致的任何故障，全部维修、更换及由此产生的运输、人工等费用均由乙方承担，甲方不就此支付任何费用。</w:t>
      </w:r>
    </w:p>
    <w:p w14:paraId="6BFA2D5A">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质保期满后，乙方仍应继续提供软件系统终身免费维护，包括但不限于故障排除、数据修复、运行保障等；乙方负责硬件设备的终身维修；</w:t>
      </w:r>
      <w:r>
        <w:rPr>
          <w:rFonts w:hint="eastAsia" w:ascii="仿宋" w:hAnsi="仿宋" w:eastAsia="仿宋" w:cs="仿宋"/>
          <w:color w:val="auto"/>
          <w:sz w:val="24"/>
          <w:szCs w:val="24"/>
          <w:highlight w:val="none"/>
          <w:lang w:val="en-US" w:eastAsia="zh-CN"/>
        </w:rPr>
        <w:t>维护</w:t>
      </w:r>
      <w:r>
        <w:rPr>
          <w:rFonts w:hint="eastAsia" w:ascii="仿宋" w:hAnsi="仿宋" w:eastAsia="仿宋" w:cs="仿宋"/>
          <w:color w:val="auto"/>
          <w:sz w:val="24"/>
          <w:szCs w:val="24"/>
          <w:highlight w:val="none"/>
          <w:lang w:eastAsia="zh-CN"/>
        </w:rPr>
        <w:t>维修人工费及上门费，收费标准不得高于乙方同期向市场其他同类客户收取价格。确需更换零配件的，乙方应保证更换的零配件为原厂原装新品，仅按配件成本费收取，成本费以乙方向原厂采购的采购凭证价格为准，不另加管理费或服务费，并由乙方负责更换安装并调试至正常运行。</w:t>
      </w:r>
    </w:p>
    <w:p w14:paraId="1F9B6405">
      <w:pPr>
        <w:spacing w:beforeLines="50" w:afterLines="50" w:line="360" w:lineRule="exact"/>
        <w:ind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5.技术服务承诺</w:t>
      </w:r>
    </w:p>
    <w:p w14:paraId="2721F662">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5.1 乙方应严格按照供货时间，及时给甲方供货。</w:t>
      </w:r>
    </w:p>
    <w:p w14:paraId="67A3D56B">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5.2 乙方负责提供设备相应的技术资料，包括产品合格证、产品保修单、安装使用及维护说明书以及运输装箱清单等，并对所有技术材料的真实性、准确性、先进性、完整性负责。</w:t>
      </w:r>
    </w:p>
    <w:p w14:paraId="6F7DC956">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5.3 人员培训：乙方免费为甲方培训设备使用人员，培训内容包括设备操作、维护、简单维修等（培训内容与标准、培训安排等要求详见附件）。</w:t>
      </w:r>
    </w:p>
    <w:p w14:paraId="6A90D0CE">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5.4 售后服务：质保期内，乙方对甲方提出的服务响应不得超过</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小时，并在</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小时内</w:t>
      </w:r>
      <w:r>
        <w:rPr>
          <w:rFonts w:hint="eastAsia" w:ascii="仿宋" w:hAnsi="仿宋" w:eastAsia="仿宋" w:cs="仿宋"/>
          <w:color w:val="auto"/>
          <w:sz w:val="24"/>
          <w:szCs w:val="24"/>
          <w:highlight w:val="none"/>
          <w:lang w:eastAsia="zh-CN"/>
        </w:rPr>
        <w:t>派人到现场排除故障或制定解决方案。若设备或软件故障在约定时间内无法修复，乙方应提供性能完好的备用设备或软件供甲方使用，备用设备或软件的规格配置及性能不得低于原设备或软件要求。乙方应配有专业维修工程师，并指派专人负责与甲方联系售后服务事宜，乙方售后服务及维修专线：</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。质保期内乙方应每季度上门巡检不少于</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次，并出具设备运行报告。若乙方未在规定时间内响应或维修，甲方有权自行委托第三方维修，所产生的一切费用（包括但不限于维修费、运输费、替代设备租赁费等）均由乙方承担，甲方可直接从应付的任意一笔款项中抵扣，不足部分有权向乙方追偿。</w:t>
      </w:r>
    </w:p>
    <w:p w14:paraId="645A8A5E">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5.5 具体服务详见乙方投标文件中乙方的承诺书。</w:t>
      </w:r>
    </w:p>
    <w:p w14:paraId="06A7AB33">
      <w:pPr>
        <w:spacing w:beforeLines="50" w:afterLines="50" w:line="360" w:lineRule="exact"/>
        <w:ind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6.验收方法及标准</w:t>
      </w:r>
    </w:p>
    <w:p w14:paraId="0F4B1C88">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6.1 开箱验收</w:t>
      </w:r>
    </w:p>
    <w:p w14:paraId="4DAF0718">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6.1.1 产品运抵现场后，双方应及时开箱验收，并制作验收记录，以确认与本合同约定的数量、型号等是否一致。</w:t>
      </w:r>
    </w:p>
    <w:p w14:paraId="5A84A817">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6.1.2 乙方应在交货前对产品的质量、规格、数量等进行详细而全面的检验，并出具证明产品符合合同规定的文件。该文件将作为申请付款单据的一部分，但有关质量、规格、数量的检验不应视为最终检验。</w:t>
      </w:r>
    </w:p>
    <w:p w14:paraId="0DDD296F">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6.1.3 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0BFB5780">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6.1.4 开箱验收中如发现产品的数量、规格与合同约定不符，甲方有权拒收产品，乙方应及时按甲方要求免费对拒收产品采取更换或其他必要的补救措施，直至开箱验收合格，方视为乙方完成交货。</w:t>
      </w:r>
    </w:p>
    <w:p w14:paraId="67E612CF">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6.2 检验验收</w:t>
      </w:r>
    </w:p>
    <w:p w14:paraId="106CF311">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6.2.1 交货完成后，乙方应及时组装、调试、试运行，按照合同条款规定的试运行完成后，双方及时组织对产品进行检验验收。合同双方均须派人参加合同要求双方参加的试验、检验。</w:t>
      </w:r>
    </w:p>
    <w:p w14:paraId="6B247F70">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6.2.2 在具体实施合同规定的检验验收之前，乙方需提前提交相应的测试计划(包括测试程序、测试内容和检验标准、试验时间安排等)供甲方确认。注：本条甲乙双方协商。</w:t>
      </w:r>
    </w:p>
    <w:p w14:paraId="60C51B73">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6.2.3 除需甲方确认的试验验收外，乙方还应对所有检验验收测试的结果、步骤、原始数据等做妥善记录。如甲方要求，乙方应提供这些记录给甲方。</w:t>
      </w:r>
    </w:p>
    <w:p w14:paraId="3ED78F11">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6.2.4 检验测试出现全部或部分未达到本合同所约定的技术指标，甲方有权选择下列任一处理方式：</w:t>
      </w:r>
    </w:p>
    <w:p w14:paraId="5495E5D1">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a.重新测试直至合格为止；</w:t>
      </w:r>
    </w:p>
    <w:p w14:paraId="6B9FA1DF">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b.要求乙方对货物进行免费更换，然后重新测试直至合格为止；无论选择何种方式，甲方因此而发生的、因乙方原因引起的所有费用均由乙方负担，并承担造成延迟交付的违约责任。</w:t>
      </w:r>
    </w:p>
    <w:p w14:paraId="265C6EF2">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6.3 使用过程检验</w:t>
      </w:r>
    </w:p>
    <w:p w14:paraId="3AD037BA">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6.3.1 在合同规定的质量保证期内，发现设备的质量或规格与合同规定不符，或证明设备有缺陷，包括潜在的缺陷或使用不合适的原材料等，由甲方组织质检(相关检测费用由乙方承担),根据质检报告及质量保证条款向乙方提出索赔，此索赔并不免除乙方应承担的合同义务。</w:t>
      </w:r>
    </w:p>
    <w:p w14:paraId="2CAC5C68">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6.3.2 如果合同双方对乙方提供的上述试验结果报告的解释有分歧，双方须于出现分歧后</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天内给对方声明，以陈述己方的观点。声明须附有关证据。分歧应通过协商解决。</w:t>
      </w:r>
    </w:p>
    <w:p w14:paraId="074C03FB">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6.4 所有验收合格，但不能免除乙方应该承担的质保责任。</w:t>
      </w:r>
    </w:p>
    <w:p w14:paraId="0EC66195">
      <w:pPr>
        <w:spacing w:beforeLines="50" w:afterLines="50" w:line="360" w:lineRule="exact"/>
        <w:ind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7.合同款项支付方式</w:t>
      </w:r>
    </w:p>
    <w:p w14:paraId="1FD12700">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7.1 履约保证金</w:t>
      </w:r>
    </w:p>
    <w:p w14:paraId="1379DC8C">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7.1.1 乙方应在收到中标(成交)通知书后、合同签订前</w:t>
      </w:r>
      <w:r>
        <w:rPr>
          <w:rFonts w:hint="eastAsia" w:ascii="仿宋" w:hAnsi="仿宋" w:eastAsia="仿宋" w:cs="仿宋"/>
          <w:color w:val="auto"/>
          <w:sz w:val="24"/>
          <w:szCs w:val="24"/>
          <w:highlight w:val="none"/>
          <w:u w:val="single"/>
          <w:lang w:eastAsia="zh-CN"/>
        </w:rPr>
        <w:t xml:space="preserve"> 5 </w:t>
      </w:r>
      <w:r>
        <w:rPr>
          <w:rFonts w:hint="eastAsia" w:ascii="仿宋" w:hAnsi="仿宋" w:eastAsia="仿宋" w:cs="仿宋"/>
          <w:color w:val="auto"/>
          <w:sz w:val="24"/>
          <w:szCs w:val="24"/>
          <w:highlight w:val="none"/>
          <w:lang w:eastAsia="zh-CN"/>
        </w:rPr>
        <w:t>个工作日内，向甲方提交合同总价</w:t>
      </w:r>
      <w:r>
        <w:rPr>
          <w:rFonts w:hint="eastAsia" w:ascii="仿宋" w:hAnsi="仿宋" w:eastAsia="仿宋" w:cs="仿宋"/>
          <w:color w:val="auto"/>
          <w:sz w:val="24"/>
          <w:szCs w:val="24"/>
          <w:highlight w:val="none"/>
          <w:u w:val="single"/>
          <w:lang w:eastAsia="zh-CN"/>
        </w:rPr>
        <w:t xml:space="preserve"> 5  </w:t>
      </w:r>
      <w:r>
        <w:rPr>
          <w:rFonts w:hint="eastAsia" w:ascii="仿宋" w:hAnsi="仿宋" w:eastAsia="仿宋" w:cs="仿宋"/>
          <w:color w:val="auto"/>
          <w:sz w:val="24"/>
          <w:szCs w:val="24"/>
          <w:highlight w:val="none"/>
          <w:lang w:eastAsia="zh-CN"/>
        </w:rPr>
        <w:t>%的履约保证金（投标人可自主选择以银行转账、支票、汇票、本票或银行保函等非现金形式缴纳履约保证金，乙方应于提交前就所选缴纳方式的具体要求与甲方财务部门确认）。</w:t>
      </w:r>
    </w:p>
    <w:p w14:paraId="7F2CB656">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7.1.2 设备到货并由甲方验收合格后，采购人在收到供应商书面申请，经采购人确认供应商履行了合同约定的义务，无违约情形一次性予以无息退还。</w:t>
      </w:r>
    </w:p>
    <w:p w14:paraId="5AC4BB80">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7.2 合同款支付</w:t>
      </w:r>
    </w:p>
    <w:p w14:paraId="7E7D8208">
      <w:pPr>
        <w:spacing w:line="380" w:lineRule="exact"/>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eastAsia="zh-CN"/>
        </w:rPr>
        <w:t>签订合同后，设备到达指定地点、安装调试完成并验收合格后，</w:t>
      </w:r>
      <w:r>
        <w:rPr>
          <w:rFonts w:hint="eastAsia" w:ascii="仿宋" w:hAnsi="仿宋" w:eastAsia="仿宋" w:cs="仿宋"/>
          <w:color w:val="auto"/>
          <w:sz w:val="24"/>
          <w:szCs w:val="24"/>
          <w:highlight w:val="none"/>
          <w:u w:val="single"/>
        </w:rPr>
        <w:t>并完成甲方所有内部付款审批程序，满足付款条件起10个工作日内支付合同总价的100%。</w:t>
      </w:r>
    </w:p>
    <w:p w14:paraId="553C6BB5">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7.3 甲方向乙方付款前，乙方必须先提供等额的增值税专用发票，在乙方提供后，方可办理付款手续（税票及其相关资料办理具体问题与学校财务部门咨询或协商</w:t>
      </w:r>
      <w:r>
        <w:rPr>
          <w:rFonts w:hint="eastAsia" w:ascii="仿宋" w:hAnsi="仿宋" w:eastAsia="仿宋" w:cs="仿宋"/>
          <w:color w:val="auto"/>
          <w:sz w:val="24"/>
          <w:szCs w:val="24"/>
          <w:highlight w:val="none"/>
          <w:lang w:eastAsia="zh-CN"/>
        </w:rPr>
        <w:t>，乙方开具发票时，须在发票中逐项列明所供设备的名称、规格型号、数量及单价，不得合并开具</w:t>
      </w:r>
      <w:r>
        <w:rPr>
          <w:rFonts w:hint="eastAsia" w:ascii="仿宋" w:hAnsi="仿宋" w:eastAsia="仿宋" w:cs="仿宋"/>
          <w:color w:val="auto"/>
          <w:sz w:val="24"/>
          <w:szCs w:val="24"/>
          <w:highlight w:val="none"/>
          <w:lang w:eastAsia="zh-CN"/>
        </w:rPr>
        <w:t>）。若乙方不能按照学校财务部门的要求出具发票，甲方有权不予付款，由此所造成的一切损失由乙方自行承担，如因发票问题使得甲方蒙受损失（包含但不限于罚款、处理费用、声誉影响等）的，乙方应当承担全部责任，并赔偿损失。</w:t>
      </w:r>
    </w:p>
    <w:p w14:paraId="5460AB53">
      <w:pPr>
        <w:spacing w:beforeLines="50" w:afterLines="50" w:line="360" w:lineRule="exact"/>
        <w:ind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8.安全生产和文明施工</w:t>
      </w:r>
    </w:p>
    <w:p w14:paraId="1333A86D">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8.1 现场安全文明施工由乙方编制专项详细方案并严格执行。</w:t>
      </w:r>
    </w:p>
    <w:p w14:paraId="03E9A71C">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8.2 乙方必须认真执行省市有关施工安全生产条例和规定以及甲方管理要求，并做好安全管理工作，避免并杜绝安全事故的发生。如发生安全事故，一切责任与后果均由乙方承担，同时，给甲方造成损失，由乙方承担甲方相应经济赔偿责任。</w:t>
      </w:r>
    </w:p>
    <w:p w14:paraId="33D00349">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8.3 在设备安装施工全过程中，乙方应服从甲方的各项管理，并对乙方施工人员进行安全管理。</w:t>
      </w:r>
    </w:p>
    <w:p w14:paraId="438FD0DA">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8.4 确保现场建筑物及相关设施设备完好无损，如施工过程中出现损坏，乙方负责修复赔偿。</w:t>
      </w:r>
    </w:p>
    <w:p w14:paraId="0152E479">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8.5 乙方应对安装施工人员相关岗位上岗资格进行审查，并对相关后果负责。</w:t>
      </w:r>
    </w:p>
    <w:p w14:paraId="54FD5D63">
      <w:pPr>
        <w:spacing w:beforeLines="50" w:afterLines="50" w:line="360" w:lineRule="exact"/>
        <w:ind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9.索赔</w:t>
      </w:r>
    </w:p>
    <w:p w14:paraId="1C2FEC59">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9.1 产品的质量、规格、型号、数量、性能、产地及零配件等与合同约定不符，或在质量保证期内证实货物存有缺陷，包括潜在的缺陷或使用不符合要求的材料等，甲方有权根据有资质的权威质检机构的检验结果向乙方提出索赔。</w:t>
      </w:r>
    </w:p>
    <w:p w14:paraId="68D0CC23">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9.2 在验收合格前，乙方对甲方提出的索赔负有责任，乙方应按照甲方同意的下列一种或多种方式解决索赔事宜：</w:t>
      </w:r>
    </w:p>
    <w:p w14:paraId="5AD15B88">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9.2.1 在法定的退货期内，乙方应按合同规定将货款全额退还给甲方，并承担由此发生的一切损失和费用，包括利息、银行手续费、运费、保险费、检验费、仓储费、装卸费以及为保护退回货物所需的其他必要费用。如已超过退货期，但乙方同意退货，可比照上述办法办理，或由双方协商处理。</w:t>
      </w:r>
    </w:p>
    <w:p w14:paraId="11A8EA78">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9.2.2 根据货物低劣程度、损坏程度以及甲方所遭受损失的数额，经甲乙双方商定降低货物的价格，或由有资质的中介机构评估，以降低后的价格或评估价格为准。</w:t>
      </w:r>
    </w:p>
    <w:p w14:paraId="0D7E18B7">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9.2.3 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6B2B5CFE">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9.3 乙方收到甲方发出的索赔通知之日起</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u w:val="single"/>
          <w:lang w:val="en-US" w:eastAsia="zh-CN"/>
        </w:rPr>
        <w:t>5</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个工作日内未作答复的，甲方可从合同款或履约保证金中扣回索赔金额，如金额不足以补偿索赔金额，乙方应补足差额部分。</w:t>
      </w:r>
    </w:p>
    <w:p w14:paraId="6263C837">
      <w:pPr>
        <w:spacing w:beforeLines="50" w:afterLines="50" w:line="360" w:lineRule="exact"/>
        <w:ind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10.违约责任</w:t>
      </w:r>
    </w:p>
    <w:p w14:paraId="31616F93">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10.1 合同生效后，甲乙双方应按合同规定认真全面履约。合同履约责任只涉及合同甲乙双方，不考虑第三方因素。</w:t>
      </w:r>
    </w:p>
    <w:p w14:paraId="51C669DC">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10.2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25763770">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10.3 如乙方产品质量不符合国家标准、行业内控标准或本合同技术附件要求的，甲方有权退货，乙方应退还全部货款，并承担合同总价款</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u w:val="single"/>
          <w:lang w:val="en-US" w:eastAsia="zh-CN"/>
        </w:rPr>
        <w:t>10</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%的违约金及其他损失。</w:t>
      </w:r>
    </w:p>
    <w:p w14:paraId="26202ECF">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10.4 在合同规定的供货期内乙方未全部交货，除应如数补齐外，还应承担合同总款的</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u w:val="single"/>
          <w:lang w:val="en-US" w:eastAsia="zh-CN"/>
        </w:rPr>
        <w:t>10</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%违约金。</w:t>
      </w:r>
    </w:p>
    <w:p w14:paraId="5C1EBD47">
      <w:pPr>
        <w:spacing w:line="380" w:lineRule="exact"/>
        <w:ind w:firstLine="480" w:firstLineChars="200"/>
        <w:jc w:val="both"/>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10.5 乙方对货物不按招标文件要求，擅自更换，除恢复原招标产品外，应承担更换部分价款</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u w:val="single"/>
          <w:lang w:val="en-US" w:eastAsia="zh-CN"/>
        </w:rPr>
        <w:t>10</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%的违约金；乙方如对产品材质、随机配品以次充好，除全部按要求恢复外，应承担此部分价款</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u w:val="single"/>
          <w:lang w:val="en-US" w:eastAsia="zh-CN"/>
        </w:rPr>
        <w:t>10</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%的违约金。</w:t>
      </w:r>
    </w:p>
    <w:p w14:paraId="312A864C">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10.6 除不可抗力因素外，乙方没有按照合同规定的时间交货，甲方可要求乙方支付违约金，违约金每日按合同总价款的</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u w:val="single"/>
          <w:lang w:val="en-US" w:eastAsia="zh-CN"/>
        </w:rPr>
        <w:t>5</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‰计收。</w:t>
      </w:r>
    </w:p>
    <w:p w14:paraId="32A450C3">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10.7 乙方</w:t>
      </w:r>
      <w:r>
        <w:rPr>
          <w:rFonts w:hint="eastAsia" w:ascii="仿宋" w:hAnsi="仿宋" w:eastAsia="仿宋" w:cs="仿宋"/>
          <w:color w:val="auto"/>
          <w:sz w:val="24"/>
          <w:szCs w:val="24"/>
          <w:highlight w:val="none"/>
          <w:lang w:eastAsia="zh-CN"/>
        </w:rPr>
        <w:t>对所供产品出现的问题推诿、拖延，</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u w:val="single"/>
          <w:lang w:val="en-US" w:eastAsia="zh-CN"/>
        </w:rPr>
        <w:t>24</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小时未作出服务响应和提供服务，甲方可要求乙方支付违约金，违约金每日按合同总价款的</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u w:val="single"/>
          <w:lang w:val="en-US" w:eastAsia="zh-CN"/>
        </w:rPr>
        <w:t>0.5</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‰计收。否则，甲方有权拒绝乙方以后参加学校竞标。</w:t>
      </w:r>
    </w:p>
    <w:p w14:paraId="3DB1A7DF">
      <w:pPr>
        <w:spacing w:beforeLines="50" w:afterLines="50" w:line="360" w:lineRule="exact"/>
        <w:ind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11.合同争议的解决</w:t>
      </w:r>
    </w:p>
    <w:p w14:paraId="47DEC312">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11.1 甲乙双方由于本合同的履行而发生任何争议时，双方可先通过协商解决。</w:t>
      </w:r>
    </w:p>
    <w:p w14:paraId="4F8DAF72">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11.2 任何一方不愿通过协商或通过协商仍不能解决争议，则双方中任何一方均应向甲方所在地人民法院起诉。</w:t>
      </w:r>
    </w:p>
    <w:p w14:paraId="6C60B2A5">
      <w:pPr>
        <w:spacing w:line="380" w:lineRule="exact"/>
        <w:ind w:firstLine="482" w:firstLineChars="200"/>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t>12.违约解除合同</w:t>
      </w:r>
    </w:p>
    <w:p w14:paraId="33A5AC4E">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12.1 出现下列情形之一的，视为乙方违约。甲方可向乙方发出书面通知，部分或全部终止合同，同时保留向乙方索赔及追究其违约责任的权利。</w:t>
      </w:r>
    </w:p>
    <w:p w14:paraId="573667D8">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12.1.1 乙方未能在合同规定的限期或甲方同意延长的限期内，提供全部或部分货物的；</w:t>
      </w:r>
    </w:p>
    <w:p w14:paraId="0ED9BAAF">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12.1.2 乙方未能履行合同规定的其他主要义务的；</w:t>
      </w:r>
    </w:p>
    <w:p w14:paraId="035EDF1C">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12.1.3 乙方在本合同履行过程中有欺诈行为的。</w:t>
      </w:r>
    </w:p>
    <w:p w14:paraId="5FC2620A">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12.2 甲方全部或部分解除合同之后，乙方应承担甲方再次购买类似货物或服务而产生的支出。部分解除合同的，乙方应继续履行合同中未解除的部分。</w:t>
      </w:r>
    </w:p>
    <w:p w14:paraId="528B6B65">
      <w:pPr>
        <w:shd w:val="clear" w:color="auto" w:fill="auto"/>
        <w:spacing w:line="380" w:lineRule="exact"/>
        <w:ind w:firstLine="480" w:firstLineChars="200"/>
        <w:outlineLvl w:val="9"/>
        <w:rPr>
          <w:rFonts w:hint="eastAsia" w:ascii="仿宋" w:hAnsi="仿宋" w:eastAsia="仿宋" w:cs="仿宋"/>
          <w:b w:val="0"/>
          <w:bCs w:val="0"/>
          <w:color w:val="auto"/>
          <w:sz w:val="24"/>
          <w:szCs w:val="24"/>
          <w:highlight w:val="none"/>
          <w:lang w:eastAsia="zh-CN"/>
        </w:rPr>
      </w:pPr>
      <w:r>
        <w:rPr>
          <w:rFonts w:hint="eastAsia" w:ascii="仿宋" w:hAnsi="仿宋" w:eastAsia="仿宋" w:cs="仿宋"/>
          <w:color w:val="auto"/>
          <w:sz w:val="24"/>
          <w:szCs w:val="24"/>
          <w:highlight w:val="none"/>
          <w:lang w:eastAsia="zh-CN"/>
        </w:rPr>
        <w:t>13.</w:t>
      </w:r>
      <w:r>
        <w:rPr>
          <w:rFonts w:hint="eastAsia" w:ascii="仿宋" w:hAnsi="仿宋" w:eastAsia="仿宋" w:cs="仿宋"/>
          <w:b w:val="0"/>
          <w:bCs w:val="0"/>
          <w:color w:val="auto"/>
          <w:sz w:val="24"/>
          <w:szCs w:val="24"/>
          <w:highlight w:val="none"/>
          <w:lang w:eastAsia="zh-CN"/>
        </w:rPr>
        <w:t>不可抗力</w:t>
      </w:r>
    </w:p>
    <w:p w14:paraId="6F963CC8">
      <w:pPr>
        <w:shd w:val="clear" w:color="auto" w:fill="auto"/>
        <w:spacing w:line="380" w:lineRule="exact"/>
        <w:ind w:firstLine="480" w:firstLineChars="200"/>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eastAsia="zh-CN"/>
        </w:rPr>
        <w:t>13.1</w:t>
      </w:r>
      <w:r>
        <w:rPr>
          <w:rFonts w:hint="eastAsia" w:ascii="仿宋" w:hAnsi="仿宋" w:eastAsia="仿宋" w:cs="仿宋"/>
          <w:color w:val="auto"/>
          <w:sz w:val="24"/>
          <w:szCs w:val="24"/>
          <w:highlight w:val="none"/>
          <w:lang w:eastAsia="zh-CN"/>
        </w:rPr>
        <w:t xml:space="preserve"> </w:t>
      </w:r>
      <w:r>
        <w:rPr>
          <w:rFonts w:hint="eastAsia" w:ascii="仿宋" w:hAnsi="仿宋" w:eastAsia="仿宋" w:cs="仿宋"/>
          <w:color w:val="auto"/>
          <w:kern w:val="0"/>
          <w:sz w:val="24"/>
          <w:szCs w:val="24"/>
          <w:highlight w:val="none"/>
          <w:lang w:eastAsia="zh-CN"/>
        </w:rPr>
        <w:t>本合同项下的“不可抗力”是指不能预见，不能避免且不能克服的客观情况，使得本合同一方当事人无法履行合同义务，如战争、严重火灾、水灾、风灾和地震属于不可抗力的事故。</w:t>
      </w:r>
    </w:p>
    <w:p w14:paraId="0062DD15">
      <w:pPr>
        <w:shd w:val="clear" w:color="auto" w:fill="auto"/>
        <w:spacing w:line="380" w:lineRule="exact"/>
        <w:ind w:firstLine="480" w:firstLineChars="200"/>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eastAsia="zh-CN"/>
        </w:rPr>
        <w:t>13.2</w:t>
      </w:r>
      <w:r>
        <w:rPr>
          <w:rFonts w:hint="eastAsia" w:ascii="仿宋" w:hAnsi="仿宋" w:eastAsia="仿宋" w:cs="仿宋"/>
          <w:color w:val="auto"/>
          <w:sz w:val="24"/>
          <w:szCs w:val="24"/>
          <w:highlight w:val="none"/>
          <w:lang w:eastAsia="zh-CN"/>
        </w:rPr>
        <w:t xml:space="preserve"> </w:t>
      </w:r>
      <w:r>
        <w:rPr>
          <w:rFonts w:hint="eastAsia" w:ascii="仿宋" w:hAnsi="仿宋" w:eastAsia="仿宋" w:cs="仿宋"/>
          <w:color w:val="auto"/>
          <w:kern w:val="0"/>
          <w:sz w:val="24"/>
          <w:szCs w:val="24"/>
          <w:highlight w:val="none"/>
          <w:lang w:eastAsia="zh-CN"/>
        </w:rPr>
        <w:t>一方因不可抗力不能履行合同或不能完全履行合同的，根据不可抗力的影响，可以部分或全部地免除责任。由于不可抗力原因致使项目开发中断时，项目交付日期及付款日期相应顺延，各方不承担违约责任。</w:t>
      </w:r>
    </w:p>
    <w:p w14:paraId="1C6364E4">
      <w:pPr>
        <w:shd w:val="clear" w:color="auto" w:fill="auto"/>
        <w:spacing w:line="380" w:lineRule="exact"/>
        <w:ind w:firstLine="480" w:firstLineChars="200"/>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eastAsia="zh-CN"/>
        </w:rPr>
        <w:t>13.3</w:t>
      </w:r>
      <w:r>
        <w:rPr>
          <w:rFonts w:hint="eastAsia" w:ascii="仿宋" w:hAnsi="仿宋" w:eastAsia="仿宋" w:cs="仿宋"/>
          <w:color w:val="auto"/>
          <w:sz w:val="24"/>
          <w:szCs w:val="24"/>
          <w:highlight w:val="none"/>
          <w:lang w:eastAsia="zh-CN"/>
        </w:rPr>
        <w:t xml:space="preserve"> </w:t>
      </w:r>
      <w:r>
        <w:rPr>
          <w:rFonts w:hint="eastAsia" w:ascii="仿宋" w:hAnsi="仿宋" w:eastAsia="仿宋" w:cs="仿宋"/>
          <w:color w:val="auto"/>
          <w:kern w:val="0"/>
          <w:sz w:val="24"/>
          <w:szCs w:val="24"/>
          <w:highlight w:val="none"/>
          <w:lang w:eastAsia="zh-CN"/>
        </w:rPr>
        <w:t>如不可抗力事件延续120天以上的，各方通过协商达成在合理的时间内继续履行合同，或部分履行合同，或终止合同的履行。</w:t>
      </w:r>
    </w:p>
    <w:p w14:paraId="5B144F1F">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13.</w:t>
      </w:r>
      <w:r>
        <w:rPr>
          <w:rFonts w:hint="eastAsia" w:ascii="仿宋" w:hAnsi="仿宋" w:eastAsia="仿宋" w:cs="仿宋"/>
          <w:color w:val="auto"/>
          <w:kern w:val="0"/>
          <w:sz w:val="24"/>
          <w:szCs w:val="24"/>
          <w:highlight w:val="none"/>
          <w:lang w:eastAsia="zh-CN"/>
        </w:rPr>
        <w:t>4</w:t>
      </w:r>
      <w:r>
        <w:rPr>
          <w:rFonts w:hint="eastAsia" w:ascii="仿宋" w:hAnsi="仿宋" w:eastAsia="仿宋" w:cs="仿宋"/>
          <w:color w:val="auto"/>
          <w:sz w:val="24"/>
          <w:szCs w:val="24"/>
          <w:highlight w:val="none"/>
          <w:lang w:eastAsia="zh-CN"/>
        </w:rPr>
        <w:t xml:space="preserve"> </w:t>
      </w:r>
      <w:r>
        <w:rPr>
          <w:rFonts w:hint="eastAsia" w:ascii="仿宋" w:hAnsi="仿宋" w:eastAsia="仿宋" w:cs="仿宋"/>
          <w:color w:val="auto"/>
          <w:kern w:val="0"/>
          <w:sz w:val="24"/>
          <w:szCs w:val="24"/>
          <w:highlight w:val="none"/>
          <w:lang w:eastAsia="zh-CN"/>
        </w:rPr>
        <w:t>一方迟延履行后发生不可抗力的，不能免除责任。</w:t>
      </w:r>
    </w:p>
    <w:p w14:paraId="4932AFC6">
      <w:pPr>
        <w:spacing w:beforeLines="-2147483648" w:afterLines="-2147483648" w:line="380" w:lineRule="exact"/>
        <w:ind w:firstLine="480" w:firstLineChars="200"/>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14.其他事项</w:t>
      </w:r>
    </w:p>
    <w:p w14:paraId="71D335E2">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14.1 合同经双方签字盖章后生效。本合同一式六份，甲方执五份，乙方执一份，执行完毕后自行失效。</w:t>
      </w:r>
    </w:p>
    <w:p w14:paraId="7C18F784">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14.2 下述文件为本合同一部分，并与本合同一起阅读和理解，且具有同等法律效力；本合同的附件、投标文件均作为本合同不可分割的内容，且具有同等法律效力。合同的附件由甲方使用单位负责审核并签章。</w:t>
      </w:r>
    </w:p>
    <w:p w14:paraId="5B06B9FC">
      <w:pPr>
        <w:spacing w:line="38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a.合同附件（设备和软件的具体配置及技术参数，</w:t>
      </w:r>
      <w:r>
        <w:rPr>
          <w:rFonts w:hint="eastAsia" w:ascii="仿宋" w:hAnsi="仿宋" w:eastAsia="仿宋" w:cs="仿宋"/>
          <w:color w:val="auto"/>
          <w:sz w:val="24"/>
          <w:szCs w:val="24"/>
          <w:highlight w:val="none"/>
          <w:lang w:eastAsia="zh-CN"/>
        </w:rPr>
        <w:t>培训内容、标准和安排</w:t>
      </w:r>
      <w:r>
        <w:rPr>
          <w:rFonts w:hint="eastAsia" w:ascii="仿宋" w:hAnsi="仿宋" w:eastAsia="仿宋" w:cs="仿宋"/>
          <w:color w:val="auto"/>
          <w:sz w:val="24"/>
          <w:szCs w:val="24"/>
          <w:highlight w:val="none"/>
          <w:lang w:val="en-US" w:eastAsia="zh-CN"/>
        </w:rPr>
        <w:t>）；</w:t>
      </w:r>
    </w:p>
    <w:p w14:paraId="0CB09EAC">
      <w:pPr>
        <w:spacing w:line="38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b.招标文件；</w:t>
      </w:r>
    </w:p>
    <w:p w14:paraId="07E19863">
      <w:pPr>
        <w:spacing w:line="38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c.投标文件；</w:t>
      </w:r>
    </w:p>
    <w:p w14:paraId="2BC47DA7">
      <w:pPr>
        <w:spacing w:line="38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d.进出口代理协议；</w:t>
      </w:r>
    </w:p>
    <w:p w14:paraId="33CCC9EF">
      <w:pPr>
        <w:spacing w:line="38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d.中标通知书。</w:t>
      </w:r>
    </w:p>
    <w:p w14:paraId="0013AAE6">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14.3 通知和合同修改；在本合同执行过程中，一方给另一方的通知，都应以书面形式（信函、传真）发送至对方，对本合同条款进行任何改动或补充，均须由甲乙双方签署书面合同修改签证，方为有效。</w:t>
      </w:r>
    </w:p>
    <w:p w14:paraId="3D35A39C">
      <w:pPr>
        <w:shd w:val="clear" w:color="auto" w:fill="auto"/>
        <w:spacing w:line="380" w:lineRule="exact"/>
        <w:ind w:firstLine="480" w:firstLineChars="200"/>
        <w:rPr>
          <w:rFonts w:hint="eastAsia" w:ascii="仿宋" w:hAnsi="仿宋" w:eastAsia="仿宋" w:cs="仿宋"/>
          <w:color w:val="auto"/>
          <w:kern w:val="0"/>
          <w:sz w:val="24"/>
          <w:szCs w:val="24"/>
          <w:highlight w:val="none"/>
          <w:lang w:eastAsia="zh-CN"/>
        </w:rPr>
      </w:pPr>
      <w:r>
        <w:rPr>
          <w:rFonts w:hint="eastAsia" w:ascii="仿宋" w:hAnsi="仿宋" w:eastAsia="仿宋" w:cs="仿宋"/>
          <w:b w:val="0"/>
          <w:bCs w:val="0"/>
          <w:color w:val="auto"/>
          <w:sz w:val="24"/>
          <w:szCs w:val="24"/>
          <w:highlight w:val="none"/>
          <w:lang w:eastAsia="zh-CN"/>
        </w:rPr>
        <w:t>1</w:t>
      </w:r>
      <w:r>
        <w:rPr>
          <w:rFonts w:hint="eastAsia" w:ascii="仿宋" w:hAnsi="仿宋" w:eastAsia="仿宋" w:cs="仿宋"/>
          <w:color w:val="auto"/>
          <w:sz w:val="24"/>
          <w:szCs w:val="24"/>
          <w:highlight w:val="none"/>
          <w:lang w:eastAsia="zh-CN"/>
        </w:rPr>
        <w:t>4</w:t>
      </w:r>
      <w:r>
        <w:rPr>
          <w:rFonts w:hint="eastAsia" w:ascii="仿宋" w:hAnsi="仿宋" w:eastAsia="仿宋" w:cs="仿宋"/>
          <w:b w:val="0"/>
          <w:bCs w:val="0"/>
          <w:color w:val="auto"/>
          <w:sz w:val="24"/>
          <w:szCs w:val="24"/>
          <w:highlight w:val="none"/>
          <w:lang w:eastAsia="zh-CN"/>
        </w:rPr>
        <w:t>.4</w:t>
      </w:r>
      <w:r>
        <w:rPr>
          <w:rFonts w:hint="eastAsia" w:ascii="仿宋" w:hAnsi="仿宋" w:eastAsia="仿宋" w:cs="仿宋"/>
          <w:color w:val="auto"/>
          <w:sz w:val="24"/>
          <w:szCs w:val="24"/>
          <w:highlight w:val="none"/>
          <w:lang w:eastAsia="zh-CN"/>
        </w:rPr>
        <w:t xml:space="preserve">  </w:t>
      </w:r>
      <w:r>
        <w:rPr>
          <w:rFonts w:hint="eastAsia" w:ascii="仿宋" w:hAnsi="仿宋" w:eastAsia="仿宋" w:cs="仿宋"/>
          <w:color w:val="auto"/>
          <w:kern w:val="0"/>
          <w:sz w:val="24"/>
          <w:szCs w:val="24"/>
          <w:highlight w:val="none"/>
          <w:lang w:eastAsia="zh-CN"/>
        </w:rPr>
        <w:t>本合同未尽事宜由双方协商，另行订立补充协议，补充协议与本协议具有同样的法律效力。如果本合同之附件与本合同规定不符, 以本合同规定为准。</w:t>
      </w:r>
    </w:p>
    <w:p w14:paraId="2740C712">
      <w:pPr>
        <w:spacing w:line="38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14.5 本合同履行过程中，双方就本合同项下事宜所发出的任何通知、函件、文件、资料等（以下合称“通知”），均应按本合同双方确认的地址、联系人、联系电话及邮箱送达。各方确认合同所填写地址为有效送达地址，并保证该地址准确、有效。收件方签收当日视为送达。特快专递或挂号信寄出后第3日（以邮戳为准）视为送达，即使发生拒收、退回等情形。电子邮件自进入收件方指定电子邮箱系统时视为送达（发送成功即视为进入，无论是否阅读）。若采用多种方式，以最早到达时间为准。任何一方变更地址，应提前3个工作日书面通知对方；否则，原地址仍有效，依此发出的通知一经发出即视为送达，由此产生的后果由未通知方自行承担。</w:t>
      </w:r>
    </w:p>
    <w:p w14:paraId="13ED9D79">
      <w:pPr>
        <w:spacing w:line="380" w:lineRule="exact"/>
        <w:ind w:firstLine="480" w:firstLineChars="200"/>
        <w:rPr>
          <w:rFonts w:hint="eastAsia" w:ascii="仿宋" w:hAnsi="仿宋" w:eastAsia="仿宋" w:cs="仿宋"/>
          <w:color w:val="auto"/>
          <w:sz w:val="24"/>
          <w:szCs w:val="24"/>
          <w:highlight w:val="none"/>
          <w:lang w:eastAsia="zh-CN"/>
        </w:rPr>
      </w:pPr>
    </w:p>
    <w:p w14:paraId="46C59A1A">
      <w:pPr>
        <w:spacing w:beforeLines="50" w:afterLines="5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合同签订地点：陕西职业技术学院</w:t>
      </w:r>
    </w:p>
    <w:p w14:paraId="2F39564E">
      <w:pPr>
        <w:spacing w:beforeLines="50" w:afterLines="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合同签订时间：</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rPr>
        <w:t>日</w:t>
      </w:r>
    </w:p>
    <w:tbl>
      <w:tblPr>
        <w:tblStyle w:val="13"/>
        <w:tblW w:w="901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34"/>
        <w:gridCol w:w="4485"/>
      </w:tblGrid>
      <w:tr w14:paraId="602332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trPr>
        <w:tc>
          <w:tcPr>
            <w:tcW w:w="4534" w:type="dxa"/>
            <w:vAlign w:val="center"/>
          </w:tcPr>
          <w:p w14:paraId="0AC66B7E">
            <w:pPr>
              <w:jc w:val="both"/>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甲方(盖章):陕西职业技术学院</w:t>
            </w:r>
          </w:p>
        </w:tc>
        <w:tc>
          <w:tcPr>
            <w:tcW w:w="4485" w:type="dxa"/>
            <w:vAlign w:val="center"/>
          </w:tcPr>
          <w:p w14:paraId="7227EEB3">
            <w:pPr>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乙方(盖章):</w:t>
            </w:r>
          </w:p>
        </w:tc>
      </w:tr>
      <w:tr w14:paraId="6A0385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1D95E6CF">
            <w:pPr>
              <w:jc w:val="both"/>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地址：西安市灞桥区狄寨路2028号</w:t>
            </w:r>
          </w:p>
        </w:tc>
        <w:tc>
          <w:tcPr>
            <w:tcW w:w="4485" w:type="dxa"/>
            <w:vAlign w:val="center"/>
          </w:tcPr>
          <w:p w14:paraId="1BA8137D">
            <w:pPr>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r>
      <w:tr w14:paraId="0DD850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4534" w:type="dxa"/>
            <w:vAlign w:val="center"/>
          </w:tcPr>
          <w:p w14:paraId="46B584BF">
            <w:pPr>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w:t>
            </w:r>
          </w:p>
        </w:tc>
        <w:tc>
          <w:tcPr>
            <w:tcW w:w="4485" w:type="dxa"/>
            <w:vAlign w:val="center"/>
          </w:tcPr>
          <w:p w14:paraId="59018722">
            <w:pPr>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w:t>
            </w:r>
          </w:p>
        </w:tc>
      </w:tr>
      <w:tr w14:paraId="25B1EB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5" w:hRule="atLeast"/>
        </w:trPr>
        <w:tc>
          <w:tcPr>
            <w:tcW w:w="4534" w:type="dxa"/>
            <w:vAlign w:val="center"/>
          </w:tcPr>
          <w:p w14:paraId="2E05220B">
            <w:pPr>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委托代理人(签字):</w:t>
            </w:r>
          </w:p>
        </w:tc>
        <w:tc>
          <w:tcPr>
            <w:tcW w:w="4485" w:type="dxa"/>
            <w:vAlign w:val="center"/>
          </w:tcPr>
          <w:p w14:paraId="5D5752BC">
            <w:pPr>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委托代理人(签字)</w:t>
            </w:r>
          </w:p>
        </w:tc>
      </w:tr>
      <w:tr w14:paraId="69E4B4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3180093D">
            <w:pPr>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联系人：</w:t>
            </w:r>
          </w:p>
        </w:tc>
        <w:tc>
          <w:tcPr>
            <w:tcW w:w="4485" w:type="dxa"/>
            <w:vAlign w:val="center"/>
          </w:tcPr>
          <w:p w14:paraId="7879091D">
            <w:pPr>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联系人：</w:t>
            </w:r>
          </w:p>
        </w:tc>
      </w:tr>
      <w:tr w14:paraId="32DE13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1" w:hRule="atLeast"/>
        </w:trPr>
        <w:tc>
          <w:tcPr>
            <w:tcW w:w="4534" w:type="dxa"/>
            <w:vAlign w:val="center"/>
          </w:tcPr>
          <w:p w14:paraId="09437AE3">
            <w:pPr>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p>
        </w:tc>
        <w:tc>
          <w:tcPr>
            <w:tcW w:w="4485" w:type="dxa"/>
            <w:vAlign w:val="center"/>
          </w:tcPr>
          <w:p w14:paraId="0295C87D">
            <w:pPr>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p>
        </w:tc>
      </w:tr>
      <w:tr w14:paraId="000BF5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4" w:hRule="atLeast"/>
        </w:trPr>
        <w:tc>
          <w:tcPr>
            <w:tcW w:w="4534" w:type="dxa"/>
            <w:vAlign w:val="center"/>
          </w:tcPr>
          <w:p w14:paraId="0E42A02A">
            <w:pPr>
              <w:jc w:val="both"/>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电子邮箱：</w:t>
            </w:r>
          </w:p>
        </w:tc>
        <w:tc>
          <w:tcPr>
            <w:tcW w:w="4485" w:type="dxa"/>
            <w:vAlign w:val="center"/>
          </w:tcPr>
          <w:p w14:paraId="310721F5">
            <w:pPr>
              <w:jc w:val="both"/>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电子邮箱：</w:t>
            </w:r>
          </w:p>
        </w:tc>
      </w:tr>
    </w:tbl>
    <w:p w14:paraId="0F5CC6AF">
      <w:pPr>
        <w:rPr>
          <w:rFonts w:hint="eastAsia" w:ascii="仿宋" w:hAnsi="仿宋" w:eastAsia="仿宋" w:cs="仿宋"/>
          <w:color w:val="auto"/>
          <w:highlight w:val="none"/>
          <w:lang w:eastAsia="zh-CN"/>
        </w:rPr>
      </w:pPr>
    </w:p>
    <w:p w14:paraId="27466852">
      <w:pPr>
        <w:pStyle w:val="14"/>
        <w:rPr>
          <w:rFonts w:hint="eastAsia" w:ascii="仿宋" w:hAnsi="仿宋" w:eastAsia="仿宋" w:cs="仿宋"/>
          <w:color w:val="auto"/>
          <w:highlight w:val="none"/>
          <w:lang w:val="en-US" w:eastAsia="zh-Hans"/>
        </w:rPr>
      </w:pPr>
    </w:p>
    <w:p w14:paraId="520175E3">
      <w:pPr>
        <w:pStyle w:val="14"/>
        <w:rPr>
          <w:rFonts w:hint="eastAsia"/>
          <w:color w:val="auto"/>
          <w:highlight w:val="none"/>
          <w:lang w:val="en-US" w:eastAsia="zh-Hans"/>
        </w:rPr>
      </w:pPr>
    </w:p>
    <w:p w14:paraId="63431A3C">
      <w:pPr>
        <w:rPr>
          <w:rFonts w:hint="eastAsia"/>
          <w:color w:val="auto"/>
          <w:highlight w:val="none"/>
        </w:rPr>
      </w:pPr>
    </w:p>
    <w:bookmarkEnd w:id="0"/>
    <w:sectPr>
      <w:footerReference r:id="rId3" w:type="default"/>
      <w:pgSz w:w="11906" w:h="16838"/>
      <w:pgMar w:top="1440" w:right="1440" w:bottom="1440" w:left="144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18048">
    <w:pPr>
      <w:pStyle w:val="6"/>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v:imagedata o:title=""/>
          <o:lock v:ext="edit" aspectratio="f"/>
          <v:textbox inset="0mm,0mm,0mm,0mm" style="mso-fit-shape-to-text:t;">
            <w:txbxContent>
              <w:p w14:paraId="0CCA5CA2">
                <w:pPr>
                  <w:pStyle w:val="6"/>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WNlMDZjMzNkNmFhYmMxMTExNDdhYjA3MmM1OTBiOTUifQ=="/>
  </w:docVars>
  <w:rsids>
    <w:rsidRoot w:val="00557FB6"/>
    <w:rsid w:val="00142EA8"/>
    <w:rsid w:val="00263520"/>
    <w:rsid w:val="002B3606"/>
    <w:rsid w:val="002C2299"/>
    <w:rsid w:val="00364DE4"/>
    <w:rsid w:val="003905EB"/>
    <w:rsid w:val="003A5407"/>
    <w:rsid w:val="00482B40"/>
    <w:rsid w:val="004C08DC"/>
    <w:rsid w:val="004D47E3"/>
    <w:rsid w:val="00557FB6"/>
    <w:rsid w:val="00603266"/>
    <w:rsid w:val="0064619E"/>
    <w:rsid w:val="006E0C10"/>
    <w:rsid w:val="007D4B86"/>
    <w:rsid w:val="008332E1"/>
    <w:rsid w:val="00842182"/>
    <w:rsid w:val="00860A81"/>
    <w:rsid w:val="008903DD"/>
    <w:rsid w:val="008D330C"/>
    <w:rsid w:val="00903678"/>
    <w:rsid w:val="00911137"/>
    <w:rsid w:val="00936F22"/>
    <w:rsid w:val="009817F0"/>
    <w:rsid w:val="00986681"/>
    <w:rsid w:val="00A8471A"/>
    <w:rsid w:val="00AA4B3E"/>
    <w:rsid w:val="00AB501A"/>
    <w:rsid w:val="00B057A4"/>
    <w:rsid w:val="00B95912"/>
    <w:rsid w:val="00BB236D"/>
    <w:rsid w:val="00BF1F87"/>
    <w:rsid w:val="00E24583"/>
    <w:rsid w:val="00E2508E"/>
    <w:rsid w:val="00E4611D"/>
    <w:rsid w:val="00EB18EF"/>
    <w:rsid w:val="00F22D4C"/>
    <w:rsid w:val="00F5358B"/>
    <w:rsid w:val="00FA7C9B"/>
    <w:rsid w:val="00FB1DF6"/>
    <w:rsid w:val="04E84670"/>
    <w:rsid w:val="081F4440"/>
    <w:rsid w:val="0A6D2DFC"/>
    <w:rsid w:val="0BB71511"/>
    <w:rsid w:val="17B60A4A"/>
    <w:rsid w:val="1BED6A38"/>
    <w:rsid w:val="1EB66348"/>
    <w:rsid w:val="1F080FF5"/>
    <w:rsid w:val="21F45DDF"/>
    <w:rsid w:val="24BF75D6"/>
    <w:rsid w:val="27741719"/>
    <w:rsid w:val="2D902BB8"/>
    <w:rsid w:val="30002781"/>
    <w:rsid w:val="3A8E12EF"/>
    <w:rsid w:val="3C3710F4"/>
    <w:rsid w:val="40DC0B82"/>
    <w:rsid w:val="43AF03B2"/>
    <w:rsid w:val="44CA47E8"/>
    <w:rsid w:val="480E5284"/>
    <w:rsid w:val="517B4897"/>
    <w:rsid w:val="528125D9"/>
    <w:rsid w:val="538400C8"/>
    <w:rsid w:val="53A90B96"/>
    <w:rsid w:val="56113377"/>
    <w:rsid w:val="5D3477C3"/>
    <w:rsid w:val="5FC4468B"/>
    <w:rsid w:val="624B1296"/>
    <w:rsid w:val="69BB6FFA"/>
    <w:rsid w:val="6EE027D9"/>
    <w:rsid w:val="72DA4C29"/>
    <w:rsid w:val="73F1491F"/>
    <w:rsid w:val="78201ABD"/>
    <w:rsid w:val="78E356DE"/>
    <w:rsid w:val="79F4156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1"/>
    <w:qFormat/>
    <w:uiPriority w:val="0"/>
    <w:pPr>
      <w:tabs>
        <w:tab w:val="left" w:pos="720"/>
      </w:tabs>
      <w:spacing w:line="0" w:lineRule="atLeast"/>
    </w:pPr>
    <w:rPr>
      <w:sz w:val="28"/>
    </w:rPr>
  </w:style>
  <w:style w:type="paragraph" w:styleId="5">
    <w:name w:val="Body Text Indent 2"/>
    <w:basedOn w:val="1"/>
    <w:qFormat/>
    <w:uiPriority w:val="0"/>
    <w:pPr>
      <w:ind w:left="555"/>
    </w:pPr>
    <w:rPr>
      <w:sz w:val="28"/>
      <w:szCs w:val="20"/>
    </w:rPr>
  </w:style>
  <w:style w:type="paragraph" w:styleId="6">
    <w:name w:val="footer"/>
    <w:basedOn w:val="1"/>
    <w:link w:val="11"/>
    <w:qFormat/>
    <w:uiPriority w:val="0"/>
    <w:pPr>
      <w:tabs>
        <w:tab w:val="center" w:pos="4153"/>
        <w:tab w:val="right" w:pos="8306"/>
      </w:tabs>
      <w:snapToGrid w:val="0"/>
      <w:jc w:val="left"/>
    </w:pPr>
    <w:rPr>
      <w:sz w:val="18"/>
      <w:szCs w:val="18"/>
    </w:rPr>
  </w:style>
  <w:style w:type="paragraph" w:styleId="7">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脚 Char"/>
    <w:basedOn w:val="10"/>
    <w:link w:val="6"/>
    <w:qFormat/>
    <w:uiPriority w:val="0"/>
    <w:rPr>
      <w:kern w:val="2"/>
      <w:sz w:val="18"/>
      <w:szCs w:val="18"/>
    </w:rPr>
  </w:style>
  <w:style w:type="character" w:customStyle="1" w:styleId="12">
    <w:name w:val="页眉 Char"/>
    <w:basedOn w:val="10"/>
    <w:link w:val="7"/>
    <w:qFormat/>
    <w:uiPriority w:val="0"/>
    <w:rPr>
      <w:kern w:val="2"/>
      <w:sz w:val="18"/>
      <w:szCs w:val="18"/>
    </w:rPr>
  </w:style>
  <w:style w:type="table" w:customStyle="1" w:styleId="13">
    <w:name w:val="Table Normal"/>
    <w:semiHidden/>
    <w:unhideWhenUsed/>
    <w:qFormat/>
    <w:uiPriority w:val="0"/>
    <w:rPr>
      <w:rFonts w:ascii="Arial" w:hAnsi="Arial" w:cs="Arial"/>
      <w:kern w:val="0"/>
      <w:sz w:val="20"/>
      <w:szCs w:val="20"/>
    </w:rPr>
    <w:tblPr>
      <w:tblCellMar>
        <w:top w:w="0" w:type="dxa"/>
        <w:left w:w="0" w:type="dxa"/>
        <w:bottom w:w="0" w:type="dxa"/>
        <w:right w:w="0" w:type="dxa"/>
      </w:tblCellMar>
    </w:tbl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6313</Words>
  <Characters>6596</Characters>
  <Lines>16</Lines>
  <Paragraphs>4</Paragraphs>
  <TotalTime>0</TotalTime>
  <ScaleCrop>false</ScaleCrop>
  <LinksUpToDate>false</LinksUpToDate>
  <CharactersWithSpaces>6850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2007-04-09T01:20:00Z</dcterms:created>
  <dc:creator>Billgates</dc:creator>
  <cp:lastModifiedBy>李雨</cp:lastModifiedBy>
  <cp:lastPrinted>2004-08-17T04:14:00Z</cp:lastPrinted>
  <dcterms:modified xsi:type="dcterms:W3CDTF">2026-07-30T07:38:51Z</dcterms:modified>
  <dc:title>西北大学购货合同</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7A6A72AE94B440F2B166CBB4DBDD3F76_13</vt:lpwstr>
  </property>
  <property fmtid="{D5CDD505-2E9C-101B-9397-08002B2CF9AE}" pid="4" name="KSOTemplateDocerSaveRecord">
    <vt:lpwstr>eyJoZGlkIjoiNDI0YzZjNGVmMzA5N2Y4ZmZlZDQxNGEyYzcyYzQ3YzUiLCJ1c2VySWQiOiIyNTg5NTgwNjkifQ==</vt:lpwstr>
  </property>
</Properties>
</file>