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版本号：ZCSP-渭南市-2026-0021020260623001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渭南市十五五水土保持规划项目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ZCSP-渭南市-2026-00210</w:t>
      </w:r>
      <w:r>
        <w:br/>
      </w:r>
      <w:r>
        <w:br/>
      </w:r>
      <w:r>
        <w:br/>
      </w:r>
    </w:p>
    <w:p>
      <w:pPr>
        <w:pStyle w:val="null3"/>
        <w:jc w:val="center"/>
        <w:outlineLvl w:val="2"/>
      </w:pPr>
      <w:r>
        <w:rPr>
          <w:rFonts w:ascii="仿宋_GB2312" w:hAnsi="仿宋_GB2312" w:cs="仿宋_GB2312" w:eastAsia="仿宋_GB2312"/>
          <w:sz w:val="28"/>
          <w:b/>
        </w:rPr>
        <w:t>渭南市水土保持和移民工作中心</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渭南市水土保持和移民工作中心</w:t>
      </w:r>
      <w:r>
        <w:rPr>
          <w:rFonts w:ascii="仿宋_GB2312" w:hAnsi="仿宋_GB2312" w:cs="仿宋_GB2312" w:eastAsia="仿宋_GB2312"/>
        </w:rPr>
        <w:t>委托，拟对</w:t>
      </w:r>
      <w:r>
        <w:rPr>
          <w:rFonts w:ascii="仿宋_GB2312" w:hAnsi="仿宋_GB2312" w:cs="仿宋_GB2312" w:eastAsia="仿宋_GB2312"/>
        </w:rPr>
        <w:t>渭南市十五五水土保持规划项目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渭南市十五五水土保持规划项目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编制内容包括：规划概要、规划背景及必要性、基本情况、现状评价与需求分析、指导思想与目标、水土保持区划及总体布局、重点项目布局、水土保持生态产品价值转换、水土保持监督管理规划、水土保持监测规划、智慧水土保持、科普宣传、投资匡算与资金筹措、效益分析、保障措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采购包1（渭南市十五五水土保持规划项目）：属于专门面向中小企业采购。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人身份证明书：法定代表人参与磋商时需提供法定代表人身份证明书（附法定代表人身份证复印件）；被授权人参与磋商时需提供法人身份证明书及法定代表人授权委托书（附法定代表人及被授权人身份证复印件）</w:t>
      </w:r>
    </w:p>
    <w:p>
      <w:pPr>
        <w:pStyle w:val="null3"/>
      </w:pPr>
      <w:r>
        <w:rPr>
          <w:rFonts w:ascii="仿宋_GB2312" w:hAnsi="仿宋_GB2312" w:cs="仿宋_GB2312" w:eastAsia="仿宋_GB2312"/>
        </w:rPr>
        <w:t>2、磋商保证金：磋商保证金交纳凭证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渭南市水土保持和移民工作中心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渭南市临渭区西南京路46号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渭南市水土保持和移民工作中心经办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13309138998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陕西省渭南市临渭区乐天大街福乐新村东1号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杨曦彤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采购包1保证金金额：3,100.00元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渭南市水土保持和移民工作中心</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渭南市水土保持和移民工作中心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渭南市水土保持和移民工作中心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1、质量标准：成果文件及配套服务达到国家及行业验收合格标准。2、成果文件按需通过行业主管部门评审，取得批复文件，同时，供应商须根据采购人要求完成后续配合服务。 3、本项目由采购人及相关部门定期对项目进行阶段性验收，服务质量达到国家相关法律法规要求、磋商文件、响应文件及采购人要求。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联系人：田晶</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地址：陕西省渭南市临渭区乐天大街福乐新村东1号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编制内容包括:规划概要、规划背景及必要性、基本情况、现状评价与需求分析、指导思想与目标、水土保持区划及总体布局、重点项目布局、水土保持生态产品价值转换、水土保持监督管理规划、水土保持监测规划、智慧水土保持、科普宣传、投资匡算与资金筹措、效益分析、保障措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305,000.00</w:t>
      </w:r>
    </w:p>
    <w:p>
      <w:pPr>
        <w:pStyle w:val="null3"/>
      </w:pPr>
      <w:r>
        <w:rPr>
          <w:rFonts w:ascii="仿宋_GB2312" w:hAnsi="仿宋_GB2312" w:cs="仿宋_GB2312" w:eastAsia="仿宋_GB2312"/>
        </w:rPr>
        <w:t>采购包最高限价（元）: 305,000.00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渭南市十五五水土保持规划项目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标的名称：渭南市十五五水土保持规划项目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1、项目概况：规划范围为渭南市全市，包括华州区、临渭区、澄城县、大荔县、白水县、合阳县、蒲城县、富平县、华阴市、潼关 县、韩城市，总面积13030.79km²。</w:t>
            </w:r>
          </w:p>
          <w:p>
            <w:pPr>
              <w:pStyle w:val="null3"/>
            </w:pPr>
            <w:r>
              <w:rPr>
                <w:rFonts w:ascii="仿宋_GB2312" w:hAnsi="仿宋_GB2312" w:cs="仿宋_GB2312" w:eastAsia="仿宋_GB2312"/>
              </w:rPr>
              <w:t>渭南市十五五水土保持规划编制主要编制内容包括：规划概要、 规划背景及必要性、基本情况、现状评价与需求分析、指导思想与目 标、水土保持区划及总体布局、重点项目布局、水土保持生态产品价 值转换、水土保持监督管理规划、水土保持监测规划、智慧水土保持、 科普宣传、投资匡算与资金筹措、效益分析、保障措施。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2、规划目标：规划基准年：2025年，规划水平年：2030年。</w:t>
            </w:r>
          </w:p>
          <w:p>
            <w:pPr>
              <w:pStyle w:val="null3"/>
            </w:pPr>
            <w:r>
              <w:rPr>
                <w:rFonts w:ascii="仿宋_GB2312" w:hAnsi="仿宋_GB2312" w:cs="仿宋_GB2312" w:eastAsia="仿宋_GB2312"/>
              </w:rPr>
              <w:t>规划目标：近到2025年，与陕西省、渭南市水土保持生态建设 目标相协调，人为水土流失得到有效控制，水土流失严重区域基本得 到治理，水土流失状况得到明显好转。通过综合治理、生态修复、预 防保护、监督管理等措施的实施，水土保持率达到88.04%,全面建 成与社会经济发展和生态文明建设相适应的水土流失综合防治体系， 建立完善的智慧水土保持预防及监管体系，全市水土流失得到全面治 理，水土流失综合治理效果显著。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3、成果要求：规划编制成果主要包括规划文本、规划图表、匡算等资料，提交纸质文件10套，电子版(光盘)1份。且成果文件必须通过市级主管部门组织的专家审查，取得相关主管部门批复文件。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1、供应商应及时向采购人汇报该项目完成进度。 2、在服务期间，若供应商所拟派的工作人员发生任何伤害，采购人概不负责，由供应商自行处理。 3、供应商除提供成果文件外，还应负责协助采购人完成成果文件的评审、验收等工作。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1、质量标准：成果文件及配套服务达到国家及行业验收合格标准。 2、成果文件按需通过行业主管部门评审，取得批复文件，同时，供应商须根据采购人要求完成后续配合服务。 3、本项目由采购人及相关部门定期对项目进行阶段性验收，服务质量达到国家相关法律法规要求、磋商文件、响应文件及采购人要求。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进度款，本项目服务费根据项目进度进行支付，合同签订后支付合同总价 款的40%，达到付款条件起10个工作日内，支付合同总金额的40.0%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进度款，完成规划初稿(送审稿)，并经专家审查完成，修改完成报批稿后再支付合同总价款的40%，达到付款条件起10个工作日内，支付合同总金额的40.0%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进度款，取得批 复文件后付剩余20%尾款，达到付款条件起10个工作日内，支付合同总金额的20.0%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1.合同双⽅必须遵守本合同并执⾏合同中的各项规定，保证本合同的正常履⾏。 2.如因供应商⼯作⼈员在履⾏职务过程中的的疏忽、失职、过错等故意或者过失原因给采购⼈造成损失或侵害，包括但不限于采购⼈本⾝的财产损失、由此⽽导致的采购⼈对任何第三⽅的法律责任等，供应商对此均应承担全部的赔偿责任。3.双方在执行合同中所发生的一切争议，应通过协商解决。如协商不成，可向采购人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递交的纸质版文件内容确保与线上电子文件保持一致，不允许修改和补充。2、关于印发中小企业划型标准规定的通知（工信部联企业〔2011〕300号），中小企业划型标准规定：（十六）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（2）税收缴纳证明：提供响应文件递交截止时间前一年内任意一个月的缴费凭据；依法免税的应提供相关文件证明； （3）社会保障资金缴纳证明：提供响应文件递交截止时间前一年内任意一个月的社保缴费凭据或社保机构开具的社会保险参保缴费情况证明；依法不需要缴纳社会保障资金的供应商应提供相关文件证明； 注：根据陕西省财政厅《关于进一步优化政府采购营商环境有关事项的通知》（陕财办采〔2023〕4号）关于供应商参与政府采购活动实行“承诺+信用管理”准入制度的要求，以上三项内容若采用承诺制，供应商可按本招标文件格式要求出具承诺函；若供应商提供证明材料，则无需填写此承诺书；若二者同时提供，评审时以证明材料为准。中标供应商的承诺函将与中标结果一并公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具有履行合同所必需的设备和专业技术能力的承诺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参加政府采购活动前三年内在经营活动中无重大违法记录的承诺</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参与的供应商（联合体）服务全部由符合政策要求的中小企业承接。本项目所属行业：其他未列明行业。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法人授权委托书/法人身份证明书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法定代表人参与磋商时需提供法定代表人身份证明书（附法定代表人身份证复印件）；被授权人参与磋商时需提供法人身份证明书及法定代表人授权委托书（附法定代表人及被授权人身份证复印件）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响应文件按竞争性磋商文件要求进行签章</w:t>
            </w:r>
          </w:p>
        </w:tc>
        <w:tc>
          <w:tcPr>
            <w:tcW w:type="dxa" w:w="1661"/>
          </w:tcPr>
          <w:p>
            <w:pPr>
              <w:pStyle w:val="null3"/>
            </w:pPr>
            <w:r>
              <w:rPr>
                <w:rFonts w:ascii="仿宋_GB2312" w:hAnsi="仿宋_GB2312" w:cs="仿宋_GB2312" w:eastAsia="仿宋_GB2312"/>
              </w:rPr>
              <w:t>响应文件封面 政府采购供应商拒绝政府采购领域商业贿赂承诺书.docx 中小企业声明函 残疾人福利性单位声明函 商务应答表 服务方案 服务内容及服务要求应答表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磋商报价没有超出本项目最高限价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满足竞争性磋商文件规定</w:t>
            </w:r>
          </w:p>
        </w:tc>
        <w:tc>
          <w:tcPr>
            <w:tcW w:type="dxa" w:w="1661"/>
          </w:tcPr>
          <w:p>
            <w:pPr>
              <w:pStyle w:val="null3"/>
            </w:pPr>
            <w:r>
              <w:rPr>
                <w:rFonts w:ascii="仿宋_GB2312" w:hAnsi="仿宋_GB2312" w:cs="仿宋_GB2312" w:eastAsia="仿宋_GB2312"/>
              </w:rPr>
              <w:t>响应文件封面 政府采购供应商拒绝政府采购领域商业贿赂承诺书.docx 中小企业声明函 残疾人福利性单位声明函 商务应答表 服务方案 服务内容及服务要求应答表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无其他做无效投标处理的情况</w:t>
            </w:r>
          </w:p>
        </w:tc>
        <w:tc>
          <w:tcPr>
            <w:tcW w:type="dxa" w:w="1661"/>
          </w:tcPr>
          <w:p>
            <w:pPr>
              <w:pStyle w:val="null3"/>
            </w:pPr>
            <w:r>
              <w:rPr>
                <w:rFonts w:ascii="仿宋_GB2312" w:hAnsi="仿宋_GB2312" w:cs="仿宋_GB2312" w:eastAsia="仿宋_GB2312"/>
              </w:rPr>
              <w:t>响应文件封面 政府采购供应商拒绝政府采购领域商业贿赂承诺书.docx 中小企业声明函 残疾人福利性单位声明函 商务应答表 服务方案 服务内容及服务要求应答表 标的清单 报价表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总体服务管理方案</w:t>
            </w:r>
          </w:p>
        </w:tc>
        <w:tc>
          <w:tcPr>
            <w:tcW w:type="dxa" w:w="2492"/>
          </w:tcPr>
          <w:p>
            <w:pPr>
              <w:pStyle w:val="null3"/>
            </w:pPr>
            <w:r>
              <w:rPr>
                <w:rFonts w:ascii="仿宋_GB2312" w:hAnsi="仿宋_GB2312" w:cs="仿宋_GB2312" w:eastAsia="仿宋_GB2312"/>
              </w:rPr>
              <w:t>（一）评审内容： （1）团队分工管理；（2）对外对接管理；（3）现场踏勘管理；（4）资料台账管理； （二）评审标准： （1）每项评审内容完整无缺陷得2分；未提供得0分； （2）每项评审内容每存在一处缺陷扣0.5分，扣完为止。(缺陷是指：①存在抄袭、套用其他地区或项目内容；编制内容与本项目不吻合，内容层次未细化拆解。②论述未立足项目实际，不贴合项目背景及核心需求；内容缺少详细阐述，实操实施性较差。③前后逻辑矛盾，文字表述存在歧义。④存在科学原理、基础常识类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进度计划安排及保障措施</w:t>
            </w:r>
          </w:p>
        </w:tc>
        <w:tc>
          <w:tcPr>
            <w:tcW w:type="dxa" w:w="2492"/>
          </w:tcPr>
          <w:p>
            <w:pPr>
              <w:pStyle w:val="null3"/>
            </w:pPr>
            <w:r>
              <w:rPr>
                <w:rFonts w:ascii="仿宋_GB2312" w:hAnsi="仿宋_GB2312" w:cs="仿宋_GB2312" w:eastAsia="仿宋_GB2312"/>
              </w:rPr>
              <w:t>（一）评审内容：（1）全周期编制进度排布； （2）进度滞后防控措施；（3）阶段性报批节点保障。 （二）评审标准： （1）每项评审内容完整无缺陷得2分；未提供得0分； （2）每项评审内容每存在一处缺陷扣0.5分，扣完为止。(缺陷是指：①存在抄袭、套用其他地区或项目内容；编制内容与本项目不吻合，内容层次未细化拆解。②论述未立足项目实际，不贴合项目背景及核心需求；内容缺少详细阐述，实操实施性较差。③前后逻辑矛盾，文字表述存在歧义。④存在科学原理、基础常识类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十五五规划编制服务方案</w:t>
            </w:r>
          </w:p>
        </w:tc>
        <w:tc>
          <w:tcPr>
            <w:tcW w:type="dxa" w:w="2492"/>
          </w:tcPr>
          <w:p>
            <w:pPr>
              <w:pStyle w:val="null3"/>
            </w:pPr>
            <w:r>
              <w:rPr>
                <w:rFonts w:ascii="仿宋_GB2312" w:hAnsi="仿宋_GB2312" w:cs="仿宋_GB2312" w:eastAsia="仿宋_GB2312"/>
              </w:rPr>
              <w:t>（一）评审内容：（1） 现状调研研判；（2）分区水土流失评价；（3）规划指标编制；（4）治理措施布局；（5）成果编制报批。 （二）评审标准： （1）每项评审内容完整无缺陷得2分；未提供得0分； （2）每项评审内容每存在一处缺陷扣0.5分，扣完为止。(缺陷是指：①存在抄袭、套用其他地区或项目内容；编制内容与本项目不吻合，内容层次未细化拆解。②论述未立足项目实际，不贴合项目背景及核心需求；内容缺少详细阐述，实操实施性较差。③前后逻辑矛盾，文字表述存在歧义。④存在科学原理、基础常识类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（1）项目涉密资料管控； （2）人员涉密责任管控。 （二）评审标准： （1）每项评审内容完整无缺陷得2分；未提供得0分； （2）每项评审内容每存在一处缺陷扣0.5分，扣完为止。(缺陷是指：①存在抄袭、套用其他地区或项目内容；编制内容与本项目不吻合，内容层次未细化拆解。②论述未立足项目实际，不贴合项目背景及核心需求；内容缺少详细阐述，实操实施性较差。③前后逻辑矛盾，文字表述存在歧义。④存在科学原理、基础常识类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（1）编制内审质控；（2）行业标准合规质控；（3）专家评审整改质控。 （二）评审标准： （1）每项评审内容完整无缺陷得2分；未提供得0分； （2）每项评审内容每存在一处缺陷扣0.5分，扣完为止。(缺陷是指：①存在抄袭、套用其他地区或项目内容；编制内容与本项目不吻合，内容层次未细化拆解。②论述未立足项目实际，不贴合项目背景及核心需求；内容缺少详细阐述，实操实施性较差。③前后逻辑矛盾，文字表述存在歧义。④存在科学原理、基础常识类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应急保障及其他服务措施</w:t>
            </w:r>
          </w:p>
        </w:tc>
        <w:tc>
          <w:tcPr>
            <w:tcW w:type="dxa" w:w="2492"/>
          </w:tcPr>
          <w:p>
            <w:pPr>
              <w:pStyle w:val="null3"/>
            </w:pPr>
            <w:r>
              <w:rPr>
                <w:rFonts w:ascii="仿宋_GB2312" w:hAnsi="仿宋_GB2312" w:cs="仿宋_GB2312" w:eastAsia="仿宋_GB2312"/>
              </w:rPr>
              <w:t>（一）评审内容：（1）人员异动应急措施；（2）外业踏勘突发应急措施；（3）沟通协调及综合协助措施。 （二）评审标准： （1）每项评审内容完整无缺陷得2分；未提供得0分； （2）每项评审内容每存在一处缺陷扣0.5分，扣完为止。(缺陷是指：①存在抄袭、套用其他地区或项目内容；编制内容与本项目不吻合，内容层次未细化拆解。②论述未立足项目实际，不贴合项目背景及核心需求；内容缺少详细阐述，实操实施性较差。③前后逻辑矛盾，文字表述存在歧义。④存在科学原理、基础常识类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依据服务内容配置服务所需设施设备；提供证明材料（需提供以下材料至少一项，亦可提交其他相关证明材料，例如：设备实物图、发票、合同等），每配备一项设备（不同类型）得1分，最多得5分。未提供证明材料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供应商近五年（2021年6月至今）具有类似项目业绩（以合同签订日期为准）。 一个业绩得1分，最高得5分。供应商须提供业绩合同复印件加盖公章，未按要求提供不得分。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职称等级（6分）：项目负责人具备水利行业相关专业高级职称得6分；具备水利行业相关专业中级职称得3分；无有效职称0分；（2）项目经验（4分）：近五年具备同类规划编制项目负责人服务经验，每1项得1分，最多得4分；须提供佐证材料（包括不限于合同负责人页、项目成果文件、验收材料等任一均可），未提供佐证此项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专业服务团队保障</w:t>
            </w:r>
          </w:p>
        </w:tc>
        <w:tc>
          <w:tcPr>
            <w:tcW w:type="dxa" w:w="2492"/>
          </w:tcPr>
          <w:p>
            <w:pPr>
              <w:pStyle w:val="null3"/>
            </w:pPr>
            <w:r>
              <w:rPr>
                <w:rFonts w:ascii="仿宋_GB2312" w:hAnsi="仿宋_GB2312" w:cs="仿宋_GB2312" w:eastAsia="仿宋_GB2312"/>
              </w:rPr>
              <w:t>项目服务团队中（不含项目负责人）每配备1名水利行业相关专业高级职称人员，得4分；每配备1名水利行业相关专业中级职称人员，得2分；本项满分20分；须提供人员职称证书等佐证材料，人员不得重复计分，无佐证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满足采购文件要求且最后报价最低的供应商价格为基准价得20分； 其他供应商的价格分按下列公式计算： 报价得分=（基准价/最终报价）×20%×100。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