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B624B">
      <w:pPr>
        <w:spacing w:before="62" w:line="360" w:lineRule="auto"/>
        <w:jc w:val="center"/>
        <w:outlineLvl w:val="0"/>
        <w:rPr>
          <w:rFonts w:ascii="宋体" w:hAnsi="宋体" w:eastAsia="宋体" w:cs="宋体"/>
          <w:b/>
          <w:bCs/>
          <w:spacing w:val="0"/>
          <w:w w:val="100"/>
          <w:sz w:val="36"/>
          <w:szCs w:val="36"/>
          <w:highlight w:val="none"/>
        </w:rPr>
      </w:pPr>
      <w:bookmarkStart w:id="0" w:name="_Toc27894"/>
      <w:bookmarkStart w:id="1" w:name="_Toc25175"/>
      <w:r>
        <w:rPr>
          <w:rFonts w:ascii="宋体" w:hAnsi="宋体" w:eastAsia="宋体" w:cs="宋体"/>
          <w:b/>
          <w:bCs/>
          <w:spacing w:val="0"/>
          <w:w w:val="100"/>
          <w:sz w:val="36"/>
          <w:szCs w:val="36"/>
          <w:highlight w:val="none"/>
        </w:rPr>
        <w:t>第八章 拟签订采购合同文本</w:t>
      </w:r>
      <w:bookmarkEnd w:id="0"/>
      <w:bookmarkEnd w:id="1"/>
    </w:p>
    <w:p w14:paraId="0AC9DEF4">
      <w:pPr>
        <w:spacing w:before="325" w:line="219" w:lineRule="auto"/>
        <w:jc w:val="center"/>
        <w:rPr>
          <w:rFonts w:hint="eastAsia" w:ascii="宋体" w:hAnsi="宋体" w:eastAsia="宋体" w:cs="宋体"/>
          <w:b/>
          <w:bCs/>
          <w:sz w:val="24"/>
        </w:rPr>
      </w:pPr>
      <w:bookmarkStart w:id="2" w:name="_GoBack"/>
      <w:bookmarkEnd w:id="2"/>
    </w:p>
    <w:p w14:paraId="5BCB7764">
      <w:pPr>
        <w:spacing w:before="325" w:line="219" w:lineRule="auto"/>
        <w:jc w:val="center"/>
        <w:rPr>
          <w:rFonts w:hint="eastAsia" w:ascii="宋体" w:hAnsi="宋体" w:eastAsia="宋体" w:cs="宋体"/>
          <w:b/>
          <w:bCs/>
          <w:sz w:val="27"/>
          <w:szCs w:val="27"/>
        </w:rPr>
      </w:pPr>
      <w:r>
        <w:rPr>
          <w:rFonts w:hint="eastAsia" w:ascii="宋体" w:hAnsi="宋体" w:eastAsia="宋体" w:cs="宋体"/>
          <w:b/>
          <w:bCs/>
          <w:sz w:val="27"/>
          <w:szCs w:val="27"/>
        </w:rPr>
        <w:t>陕西省汉江丹江流域涉金属矿产开发生态环境综合整治规划中期评估及优化项目</w:t>
      </w:r>
    </w:p>
    <w:p w14:paraId="6EEC5556">
      <w:pPr>
        <w:spacing w:before="325" w:line="219" w:lineRule="auto"/>
        <w:jc w:val="center"/>
        <w:rPr>
          <w:rFonts w:hint="eastAsia" w:ascii="宋体" w:hAnsi="宋体" w:eastAsia="宋体" w:cs="宋体"/>
          <w:b/>
          <w:bCs/>
          <w:sz w:val="27"/>
          <w:szCs w:val="27"/>
        </w:rPr>
      </w:pPr>
      <w:r>
        <w:rPr>
          <w:rFonts w:hint="eastAsia" w:ascii="宋体" w:hAnsi="宋体" w:eastAsia="宋体" w:cs="宋体"/>
          <w:b/>
          <w:bCs/>
          <w:sz w:val="27"/>
          <w:szCs w:val="27"/>
        </w:rPr>
        <w:t>合同书</w:t>
      </w:r>
    </w:p>
    <w:p w14:paraId="72864E0D">
      <w:pPr>
        <w:spacing w:before="74" w:line="384" w:lineRule="auto"/>
        <w:rPr>
          <w:rFonts w:hint="eastAsia" w:ascii="宋体" w:hAnsi="宋体" w:eastAsia="宋体" w:cs="宋体"/>
          <w:b/>
          <w:bCs/>
          <w:sz w:val="23"/>
          <w:szCs w:val="23"/>
        </w:rPr>
      </w:pPr>
    </w:p>
    <w:p w14:paraId="49BFBE15">
      <w:pPr>
        <w:widowControl/>
        <w:kinsoku w:val="0"/>
        <w:autoSpaceDE w:val="0"/>
        <w:autoSpaceDN w:val="0"/>
        <w:adjustRightInd w:val="0"/>
        <w:snapToGrid w:val="0"/>
        <w:spacing w:before="74" w:line="360" w:lineRule="auto"/>
        <w:ind w:left="108"/>
        <w:textAlignment w:val="baseline"/>
        <w:rPr>
          <w:rFonts w:hint="eastAsia" w:ascii="宋体" w:hAnsi="宋体" w:eastAsia="宋体" w:cs="宋体"/>
          <w:sz w:val="24"/>
        </w:rPr>
      </w:pPr>
      <w:r>
        <w:rPr>
          <w:rFonts w:ascii="宋体" w:hAnsi="宋体" w:eastAsia="宋体" w:cs="宋体"/>
          <w:b/>
          <w:bCs/>
          <w:sz w:val="23"/>
          <w:szCs w:val="23"/>
        </w:rPr>
        <w:t>委</w:t>
      </w:r>
      <w:r>
        <w:rPr>
          <w:rFonts w:hint="eastAsia" w:ascii="宋体" w:hAnsi="宋体" w:eastAsia="宋体" w:cs="宋体"/>
          <w:b/>
          <w:bCs/>
          <w:sz w:val="24"/>
        </w:rPr>
        <w:t>托方(甲方):陕西省生态环境厅</w:t>
      </w:r>
    </w:p>
    <w:p w14:paraId="3D12EB93">
      <w:pPr>
        <w:widowControl/>
        <w:kinsoku w:val="0"/>
        <w:autoSpaceDE w:val="0"/>
        <w:autoSpaceDN w:val="0"/>
        <w:adjustRightInd w:val="0"/>
        <w:snapToGrid w:val="0"/>
        <w:spacing w:line="360" w:lineRule="auto"/>
        <w:ind w:left="108"/>
        <w:textAlignment w:val="baseline"/>
        <w:rPr>
          <w:rFonts w:hint="eastAsia" w:ascii="宋体" w:hAnsi="宋体" w:eastAsia="宋体" w:cs="宋体"/>
          <w:sz w:val="24"/>
        </w:rPr>
      </w:pPr>
      <w:r>
        <w:rPr>
          <w:rFonts w:hint="eastAsia" w:ascii="宋体" w:hAnsi="宋体" w:eastAsia="宋体" w:cs="宋体"/>
          <w:b/>
          <w:bCs/>
          <w:sz w:val="24"/>
        </w:rPr>
        <w:t>承接方(乙方):</w:t>
      </w:r>
    </w:p>
    <w:p w14:paraId="2E430FC7">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依据《中华人民共和国民法典》、《中华人民共和国政府采购法》和生态环境行业有关法律法规，按照项目招标文件、投标文件、中标通知书等相关内容要求，甲方委托乙方承担</w:t>
      </w:r>
      <w:r>
        <w:rPr>
          <w:rFonts w:hint="eastAsia" w:ascii="宋体" w:hAnsi="宋体" w:eastAsia="宋体" w:cs="宋体"/>
          <w:sz w:val="24"/>
          <w:u w:val="single"/>
        </w:rPr>
        <w:t>陕西省汉江丹江流域涉金属矿产开发生态环境综合整治规划中期评估及优化项目</w:t>
      </w:r>
      <w:r>
        <w:rPr>
          <w:rFonts w:hint="eastAsia" w:ascii="宋体" w:hAnsi="宋体" w:eastAsia="宋体" w:cs="宋体"/>
          <w:sz w:val="24"/>
        </w:rPr>
        <w:t>，经甲乙双方协商一致，签订本合同。</w:t>
      </w:r>
    </w:p>
    <w:p w14:paraId="6F15CFCB">
      <w:pPr>
        <w:widowControl/>
        <w:kinsoku w:val="0"/>
        <w:autoSpaceDE w:val="0"/>
        <w:autoSpaceDN w:val="0"/>
        <w:adjustRightInd w:val="0"/>
        <w:snapToGrid w:val="0"/>
        <w:spacing w:before="75" w:line="360" w:lineRule="auto"/>
        <w:textAlignment w:val="baseline"/>
        <w:rPr>
          <w:rFonts w:hint="eastAsia" w:ascii="宋体" w:hAnsi="宋体" w:eastAsia="宋体" w:cs="宋体"/>
          <w:sz w:val="24"/>
        </w:rPr>
      </w:pPr>
      <w:r>
        <w:rPr>
          <w:rFonts w:hint="eastAsia" w:ascii="宋体" w:hAnsi="宋体" w:eastAsia="宋体" w:cs="宋体"/>
          <w:b/>
          <w:bCs/>
          <w:sz w:val="24"/>
        </w:rPr>
        <w:t>第一条 服务内容和要求</w:t>
      </w:r>
    </w:p>
    <w:p w14:paraId="683C123A">
      <w:pPr>
        <w:pStyle w:val="12"/>
        <w:widowControl/>
        <w:numPr>
          <w:ilvl w:val="0"/>
          <w:numId w:val="2"/>
        </w:numPr>
        <w:spacing w:line="360" w:lineRule="auto"/>
        <w:ind w:firstLineChars="0"/>
        <w:jc w:val="left"/>
        <w:rPr>
          <w:rFonts w:hint="eastAsia" w:ascii="宋体" w:hAnsi="宋体" w:eastAsia="宋体" w:cs="宋体"/>
          <w:sz w:val="24"/>
        </w:rPr>
      </w:pPr>
      <w:r>
        <w:rPr>
          <w:rFonts w:hint="eastAsia" w:ascii="宋体" w:hAnsi="宋体" w:eastAsia="宋体" w:cs="宋体"/>
          <w:sz w:val="24"/>
        </w:rPr>
        <w:t>服务内容</w:t>
      </w:r>
    </w:p>
    <w:p w14:paraId="161177AC">
      <w:pPr>
        <w:pStyle w:val="2"/>
        <w:ind w:firstLine="240"/>
      </w:pPr>
    </w:p>
    <w:p w14:paraId="2C840960">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二、技术服务要求</w:t>
      </w:r>
    </w:p>
    <w:p w14:paraId="51063ABB">
      <w:pPr>
        <w:pStyle w:val="2"/>
        <w:ind w:firstLine="240"/>
        <w:rPr>
          <w:rFonts w:hint="eastAsia"/>
        </w:rPr>
      </w:pPr>
    </w:p>
    <w:p w14:paraId="700D19DB">
      <w:pPr>
        <w:widowControl/>
        <w:kinsoku w:val="0"/>
        <w:autoSpaceDE w:val="0"/>
        <w:autoSpaceDN w:val="0"/>
        <w:adjustRightInd w:val="0"/>
        <w:snapToGrid w:val="0"/>
        <w:spacing w:before="76" w:line="360" w:lineRule="auto"/>
        <w:textAlignment w:val="baseline"/>
        <w:rPr>
          <w:rFonts w:hint="eastAsia" w:ascii="宋体" w:hAnsi="宋体" w:eastAsia="宋体" w:cs="宋体"/>
          <w:sz w:val="24"/>
        </w:rPr>
      </w:pPr>
      <w:r>
        <w:rPr>
          <w:rFonts w:hint="eastAsia" w:ascii="宋体" w:hAnsi="宋体" w:eastAsia="宋体" w:cs="宋体"/>
          <w:b/>
          <w:bCs/>
          <w:sz w:val="24"/>
        </w:rPr>
        <w:t>第二条服务期限</w:t>
      </w:r>
    </w:p>
    <w:p w14:paraId="0EDB1152">
      <w:pPr>
        <w:widowControl/>
        <w:spacing w:line="360" w:lineRule="auto"/>
        <w:ind w:firstLine="480"/>
        <w:jc w:val="lef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日至</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BD7F8B7">
      <w:pPr>
        <w:widowControl/>
        <w:kinsoku w:val="0"/>
        <w:autoSpaceDE w:val="0"/>
        <w:autoSpaceDN w:val="0"/>
        <w:adjustRightInd w:val="0"/>
        <w:snapToGrid w:val="0"/>
        <w:spacing w:before="76" w:line="360" w:lineRule="auto"/>
        <w:textAlignment w:val="baseline"/>
        <w:rPr>
          <w:rFonts w:hint="eastAsia" w:ascii="宋体" w:hAnsi="宋体" w:eastAsia="宋体" w:cs="宋体"/>
          <w:b/>
          <w:bCs/>
          <w:sz w:val="24"/>
        </w:rPr>
      </w:pPr>
      <w:r>
        <w:rPr>
          <w:rFonts w:hint="eastAsia" w:ascii="宋体" w:hAnsi="宋体" w:eastAsia="宋体" w:cs="宋体"/>
          <w:b/>
          <w:bCs/>
          <w:sz w:val="24"/>
        </w:rPr>
        <w:t>第三条合同价款</w:t>
      </w:r>
    </w:p>
    <w:p w14:paraId="567FC1FE">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本项目合同总金额为：</w:t>
      </w:r>
      <w:r>
        <w:rPr>
          <w:rFonts w:hint="eastAsia" w:ascii="宋体" w:hAnsi="宋体" w:eastAsia="宋体" w:cs="宋体"/>
          <w:sz w:val="24"/>
          <w:u w:val="single"/>
        </w:rPr>
        <w:t>人民币大写：       （小写￥     ）</w:t>
      </w:r>
      <w:r>
        <w:rPr>
          <w:rFonts w:hint="eastAsia" w:ascii="宋体" w:hAnsi="宋体" w:eastAsia="宋体" w:cs="宋体"/>
          <w:sz w:val="24"/>
        </w:rPr>
        <w:t>以上费用为含税价，包含乙方履行本合同所需的全部费用，甲方无需再向乙方支付其他任何价款、费用或报销。此价格为合同执行不变价，不因国家政策变化而变化。</w:t>
      </w:r>
    </w:p>
    <w:p w14:paraId="58ED7220">
      <w:pPr>
        <w:widowControl/>
        <w:kinsoku w:val="0"/>
        <w:autoSpaceDE w:val="0"/>
        <w:autoSpaceDN w:val="0"/>
        <w:adjustRightInd w:val="0"/>
        <w:snapToGrid w:val="0"/>
        <w:spacing w:before="78" w:line="360" w:lineRule="auto"/>
        <w:textAlignment w:val="baseline"/>
        <w:rPr>
          <w:rFonts w:hint="eastAsia" w:ascii="宋体" w:hAnsi="宋体" w:eastAsia="宋体" w:cs="宋体"/>
          <w:sz w:val="24"/>
        </w:rPr>
      </w:pPr>
      <w:r>
        <w:rPr>
          <w:rFonts w:hint="eastAsia" w:ascii="宋体" w:hAnsi="宋体" w:eastAsia="宋体" w:cs="宋体"/>
          <w:b/>
          <w:bCs/>
          <w:sz w:val="24"/>
        </w:rPr>
        <w:t>第四条支付方式</w:t>
      </w:r>
    </w:p>
    <w:p w14:paraId="571B3919">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1、预付款，合同签订生效后10个工作日内，支付合同总金额的</w:t>
      </w:r>
      <w:r>
        <w:rPr>
          <w:rFonts w:hint="eastAsia" w:ascii="宋体" w:hAnsi="宋体" w:cs="宋体"/>
          <w:sz w:val="24"/>
          <w:lang w:val="en-US" w:eastAsia="zh-CN"/>
        </w:rPr>
        <w:t>6</w:t>
      </w:r>
      <w:r>
        <w:rPr>
          <w:rFonts w:hint="eastAsia" w:ascii="宋体" w:hAnsi="宋体" w:eastAsia="宋体" w:cs="宋体"/>
          <w:sz w:val="24"/>
        </w:rPr>
        <w:t>0%；</w:t>
      </w:r>
    </w:p>
    <w:p w14:paraId="7BA1B0B9">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2.尾款，项目成果通过专家评审后10个工作日内，支付合同总金额的</w:t>
      </w:r>
      <w:r>
        <w:rPr>
          <w:rFonts w:hint="eastAsia" w:ascii="宋体" w:hAnsi="宋体" w:cs="宋体"/>
          <w:sz w:val="24"/>
          <w:lang w:val="en-US" w:eastAsia="zh-CN"/>
        </w:rPr>
        <w:t>4</w:t>
      </w:r>
      <w:r>
        <w:rPr>
          <w:rFonts w:hint="eastAsia" w:ascii="宋体" w:hAnsi="宋体" w:eastAsia="宋体" w:cs="宋体"/>
          <w:sz w:val="24"/>
        </w:rPr>
        <w:t>0%；</w:t>
      </w:r>
    </w:p>
    <w:p w14:paraId="041EA06D">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3.供应商在采购人办理以上各期付款的支付手续前，应向采购人出具等额的符合国家规定的发票；</w:t>
      </w:r>
    </w:p>
    <w:p w14:paraId="6A3ED82C">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4.上述时间不包括采购人正常办理支付报批手续的时间。</w:t>
      </w:r>
    </w:p>
    <w:p w14:paraId="0569D392">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乙方账户信息：</w:t>
      </w:r>
    </w:p>
    <w:p w14:paraId="0A6D079D">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户 名：</w:t>
      </w:r>
    </w:p>
    <w:p w14:paraId="59FD3CB8">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纳税人识别号：</w:t>
      </w:r>
    </w:p>
    <w:p w14:paraId="1586A749">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开户行：</w:t>
      </w:r>
    </w:p>
    <w:p w14:paraId="76DB3884">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账  号：</w:t>
      </w:r>
    </w:p>
    <w:p w14:paraId="694BB7B9">
      <w:pPr>
        <w:widowControl/>
        <w:kinsoku w:val="0"/>
        <w:autoSpaceDE w:val="0"/>
        <w:autoSpaceDN w:val="0"/>
        <w:adjustRightInd w:val="0"/>
        <w:snapToGrid w:val="0"/>
        <w:spacing w:before="79" w:line="360" w:lineRule="auto"/>
        <w:textAlignment w:val="baseline"/>
        <w:rPr>
          <w:rFonts w:hint="eastAsia" w:ascii="宋体" w:hAnsi="宋体" w:eastAsia="宋体" w:cs="宋体"/>
          <w:sz w:val="24"/>
        </w:rPr>
      </w:pPr>
      <w:r>
        <w:rPr>
          <w:rFonts w:hint="eastAsia" w:ascii="宋体" w:hAnsi="宋体" w:eastAsia="宋体" w:cs="宋体"/>
          <w:b/>
          <w:bCs/>
          <w:sz w:val="24"/>
        </w:rPr>
        <w:t>第五条甲方责任</w:t>
      </w:r>
    </w:p>
    <w:p w14:paraId="5D0C1B2E">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1.甲方按照本合同相关规定按时向乙方支付应付服务费用；</w:t>
      </w:r>
    </w:p>
    <w:p w14:paraId="18FDF893">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2.甲方负责协助向乙方提供相关成果资料；</w:t>
      </w:r>
    </w:p>
    <w:p w14:paraId="24955E3A">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3.甲方组织协调服务成果的审定、验收；</w:t>
      </w:r>
    </w:p>
    <w:p w14:paraId="757C1FA7">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4.甲方有权对合同规定范围内乙方的服务进行监督检查。</w:t>
      </w:r>
    </w:p>
    <w:p w14:paraId="4679A897">
      <w:pPr>
        <w:widowControl/>
        <w:spacing w:line="360" w:lineRule="auto"/>
        <w:jc w:val="left"/>
        <w:rPr>
          <w:rFonts w:hint="eastAsia" w:ascii="宋体" w:hAnsi="宋体" w:eastAsia="宋体" w:cs="宋体"/>
          <w:sz w:val="24"/>
        </w:rPr>
      </w:pPr>
      <w:r>
        <w:rPr>
          <w:rFonts w:hint="eastAsia" w:ascii="宋体" w:hAnsi="宋体" w:eastAsia="宋体" w:cs="宋体"/>
          <w:b/>
          <w:bCs/>
          <w:sz w:val="24"/>
        </w:rPr>
        <w:t>第六条乙方责任</w:t>
      </w:r>
    </w:p>
    <w:p w14:paraId="505E4034">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1.乙方按照本合同要求开展相关技术服务工作，提交成果须通过甲方组织的验收：</w:t>
      </w:r>
    </w:p>
    <w:p w14:paraId="7562D229">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2.乙方按照甲方的任务要求保质保量，按规定期限完成工作；</w:t>
      </w:r>
    </w:p>
    <w:p w14:paraId="33744570">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3.乙方及时向甲方通告项目服务范围内有关重大事项，并配合处理投诉；</w:t>
      </w:r>
    </w:p>
    <w:p w14:paraId="36D2124E">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4.乙方严格遵守国家有关法律法规，严格执行相关规范技术规定。</w:t>
      </w:r>
    </w:p>
    <w:p w14:paraId="5F4BABD0">
      <w:pPr>
        <w:widowControl/>
        <w:kinsoku w:val="0"/>
        <w:autoSpaceDE w:val="0"/>
        <w:autoSpaceDN w:val="0"/>
        <w:adjustRightInd w:val="0"/>
        <w:snapToGrid w:val="0"/>
        <w:spacing w:before="78" w:line="360" w:lineRule="auto"/>
        <w:textAlignment w:val="baseline"/>
        <w:rPr>
          <w:rFonts w:hint="eastAsia" w:ascii="宋体" w:hAnsi="宋体" w:eastAsia="宋体" w:cs="宋体"/>
          <w:sz w:val="24"/>
        </w:rPr>
      </w:pPr>
      <w:r>
        <w:rPr>
          <w:rFonts w:hint="eastAsia" w:ascii="宋体" w:hAnsi="宋体" w:eastAsia="宋体" w:cs="宋体"/>
          <w:b/>
          <w:bCs/>
          <w:sz w:val="24"/>
        </w:rPr>
        <w:t>第七条违约责任</w:t>
      </w:r>
    </w:p>
    <w:p w14:paraId="0C1993A3">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本合同生效后对甲乙双方均具有约束力，双方应严格执行合同条款，否则即构成违约，承担相应的违约责任。</w:t>
      </w:r>
    </w:p>
    <w:p w14:paraId="633D2DAF">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1.在履行本合同期间，甲方无故要求终止或解除合同，应根据乙方已进行的实际工作量，经双方据实结算后予以支付。</w:t>
      </w:r>
    </w:p>
    <w:p w14:paraId="0580A3A2">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2.在履行本合同期间，乙方未征得甲方同意单方面终止解除合同，甲方有权拒绝支付费用，并有权向其主张合同总金额的百分之二十作为违约金。</w:t>
      </w:r>
    </w:p>
    <w:p w14:paraId="74D369C7">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3.乙方未按约定提供服务的，甲方有权要求乙方承担重作、扣减服务费用、甲方委托第三方提供服务并要求乙方承担费用等违约责任，并要求乙方赔偿全部损失。</w:t>
      </w:r>
    </w:p>
    <w:p w14:paraId="57B701E5">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4.如乙方逾期交付服务成果，每逾期1日乙方向甲方支付合同总金额千分之五的滞纳金。如逾期交付超过30日，甲方有权决定是否继续履行合同，如甲方决定终止履行合同的，乙方应向甲方支付合同总金额百分之二十的违约金，并且赔偿甲方因此所遭受的损失。</w:t>
      </w:r>
    </w:p>
    <w:p w14:paraId="612DC1D3">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5.乙方遇到可能非因客观原因而妨碍按时交付(完工)和提供服务的情况，应当及时以书面形式通知甲方，说明原由、拖延的期限等；甲方在接收到通知后，尽快进行情况评估，若有必要则向乙方发出书面许可，乙方凭此可相应延长交付(完工)时间。若乙方未经甲方书面许可而自行延期的，视为逾期交付服务成果，每逾期一日应向甲方支付合同总金额的千分之五的滞纳金。</w:t>
      </w:r>
    </w:p>
    <w:p w14:paraId="098036BA">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6.乙方应严格按照相关技术规程实施，并确保研究报告编制参与人员人身和财产安全，合同履行期间一切安全事故由乙方全部负责。</w:t>
      </w:r>
    </w:p>
    <w:p w14:paraId="2C67215F">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7.在履行本合同期间，因不可抗力等因素导致项目部分或者全部失败或无法继续履行，风险责任由甲乙双方共同承担。如乙方声称遇到不可抗力应立即通报甲方，并在其后的15天内提供证明不可抗力发生及其持续时间的足够证据，甲方可书面允许乙方延期履行、部分履行，并根据情况可部分免予承担违约责任。</w:t>
      </w:r>
    </w:p>
    <w:p w14:paraId="4670BC8D">
      <w:pPr>
        <w:widowControl/>
        <w:kinsoku w:val="0"/>
        <w:autoSpaceDE w:val="0"/>
        <w:autoSpaceDN w:val="0"/>
        <w:adjustRightInd w:val="0"/>
        <w:snapToGrid w:val="0"/>
        <w:spacing w:before="197" w:line="360" w:lineRule="auto"/>
        <w:ind w:left="104"/>
        <w:textAlignment w:val="baseline"/>
        <w:rPr>
          <w:rFonts w:hint="eastAsia" w:ascii="宋体" w:hAnsi="宋体" w:eastAsia="宋体" w:cs="宋体"/>
          <w:sz w:val="24"/>
        </w:rPr>
      </w:pPr>
      <w:r>
        <w:rPr>
          <w:rFonts w:hint="eastAsia" w:ascii="宋体" w:hAnsi="宋体" w:eastAsia="宋体" w:cs="宋体"/>
          <w:b/>
          <w:bCs/>
          <w:sz w:val="24"/>
        </w:rPr>
        <w:t>第八条验收</w:t>
      </w:r>
    </w:p>
    <w:p w14:paraId="5BDD29D6">
      <w:pPr>
        <w:pStyle w:val="2"/>
        <w:ind w:firstLine="240"/>
        <w:rPr>
          <w:rFonts w:hint="eastAsia"/>
        </w:rPr>
      </w:pPr>
      <w:r>
        <w:rPr>
          <w:rFonts w:ascii="宋体" w:hAnsi="宋体" w:eastAsia="宋体" w:cs="宋体"/>
        </w:rPr>
        <w:t>1.</w:t>
      </w:r>
      <w:r>
        <w:rPr>
          <w:rFonts w:hint="eastAsia" w:ascii="宋体" w:hAnsi="宋体" w:eastAsia="宋体" w:cs="宋体"/>
        </w:rPr>
        <w:t>乙方完成服务工作后，</w:t>
      </w:r>
      <w:r>
        <w:t>由</w:t>
      </w:r>
      <w:r>
        <w:rPr>
          <w:rFonts w:hint="eastAsia"/>
        </w:rPr>
        <w:t>甲方</w:t>
      </w:r>
      <w:r>
        <w:t>组织有关专家进行评审，通过专家评审即为验收合格。</w:t>
      </w:r>
    </w:p>
    <w:p w14:paraId="0C888B33">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验收不合格的，甲方有权要求乙方限期整改，乙方拒绝整改或整改后再次不合格的，甲方有权单方解除合同并拒付合同价款，乙方需向甲方退还已支付的合同价款。同时乙方应向甲方支付合同总金额百分之二十的违约金。</w:t>
      </w:r>
    </w:p>
    <w:p w14:paraId="207EB15E">
      <w:pPr>
        <w:widowControl/>
        <w:kinsoku w:val="0"/>
        <w:autoSpaceDE w:val="0"/>
        <w:autoSpaceDN w:val="0"/>
        <w:adjustRightInd w:val="0"/>
        <w:snapToGrid w:val="0"/>
        <w:spacing w:before="79" w:line="360" w:lineRule="auto"/>
        <w:textAlignment w:val="baseline"/>
        <w:rPr>
          <w:rFonts w:hint="eastAsia" w:ascii="宋体" w:hAnsi="宋体" w:eastAsia="宋体" w:cs="宋体"/>
          <w:sz w:val="24"/>
        </w:rPr>
      </w:pPr>
      <w:r>
        <w:rPr>
          <w:rFonts w:hint="eastAsia" w:ascii="宋体" w:hAnsi="宋体" w:eastAsia="宋体" w:cs="宋体"/>
          <w:b/>
          <w:bCs/>
          <w:sz w:val="24"/>
        </w:rPr>
        <w:t>第九条知识产权</w:t>
      </w:r>
    </w:p>
    <w:p w14:paraId="18B4633A">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乙方须对甲方提供的相关数据、资料严格保密且只能用于本次技术服务工作，不得转借他人或者其它单位和用于其它事宜。本协议终止之后，乙方在本条规定下的保密义务并不随之终止，仍需履行保密义务，直到甲方同意其解除此项义务时为止。</w:t>
      </w:r>
    </w:p>
    <w:p w14:paraId="447DD5DA">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2.本次项目知识产权归甲方所有。</w:t>
      </w:r>
    </w:p>
    <w:p w14:paraId="7BBDB37A">
      <w:pPr>
        <w:widowControl/>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保证其所供服务不存在侵犯第三方知识产权的行为，如发生第三方提出的侵犯其专利权、商标权或其他知识产权的纠纷，视为乙方违约，乙方须向甲方支付合同总价款百分之二十的违约金，并由乙方承担一切责任；如因此给甲方造成损失的，乙方负责全额赔偿。</w:t>
      </w:r>
    </w:p>
    <w:p w14:paraId="56F714DC">
      <w:pPr>
        <w:pStyle w:val="2"/>
        <w:ind w:firstLine="240"/>
        <w:rPr>
          <w:color w:val="auto"/>
          <w:highlight w:val="none"/>
        </w:rPr>
      </w:pPr>
      <w:r>
        <w:rPr>
          <w:rFonts w:hint="eastAsia"/>
          <w:color w:val="auto"/>
          <w:highlight w:val="none"/>
        </w:rPr>
        <w:t>4．其他必要的合理内容。</w:t>
      </w:r>
    </w:p>
    <w:p w14:paraId="7F99288E">
      <w:pPr>
        <w:widowControl/>
        <w:kinsoku w:val="0"/>
        <w:autoSpaceDE w:val="0"/>
        <w:autoSpaceDN w:val="0"/>
        <w:adjustRightInd w:val="0"/>
        <w:snapToGrid w:val="0"/>
        <w:spacing w:before="79" w:line="360" w:lineRule="auto"/>
        <w:textAlignment w:val="baseline"/>
        <w:rPr>
          <w:rFonts w:hint="eastAsia" w:ascii="宋体" w:hAnsi="宋体" w:eastAsia="宋体" w:cs="宋体"/>
          <w:b/>
          <w:bCs/>
          <w:sz w:val="24"/>
        </w:rPr>
      </w:pPr>
      <w:r>
        <w:rPr>
          <w:rFonts w:hint="eastAsia" w:ascii="宋体" w:hAnsi="宋体" w:eastAsia="宋体" w:cs="宋体"/>
          <w:b/>
          <w:bCs/>
          <w:sz w:val="24"/>
        </w:rPr>
        <w:t>第十条其他</w:t>
      </w:r>
    </w:p>
    <w:p w14:paraId="0A12323D">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1.因履行本合同产生的纠纷，甲乙双方协商解决，协商不成时向甲方所在地人民法院诉讼解决。</w:t>
      </w:r>
    </w:p>
    <w:p w14:paraId="1449326B">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2.本合同未尽事宜，由甲乙双方协商解决，可签订补充协议，与本合同具有同等法律效力。</w:t>
      </w:r>
    </w:p>
    <w:p w14:paraId="5184C6CD">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3.本合同自双方法人代表或其授权代表签字、盖章之日起生效，自双方履行完合同约定的义务后自动终止。</w:t>
      </w:r>
    </w:p>
    <w:p w14:paraId="46D64976">
      <w:pPr>
        <w:widowControl/>
        <w:spacing w:line="360" w:lineRule="auto"/>
        <w:ind w:firstLine="480"/>
        <w:jc w:val="left"/>
        <w:rPr>
          <w:rFonts w:hint="eastAsia" w:ascii="宋体" w:hAnsi="宋体" w:eastAsia="宋体" w:cs="宋体"/>
          <w:sz w:val="24"/>
        </w:rPr>
      </w:pPr>
      <w:r>
        <w:rPr>
          <w:rFonts w:hint="eastAsia" w:ascii="宋体" w:hAnsi="宋体" w:eastAsia="宋体" w:cs="宋体"/>
          <w:sz w:val="24"/>
        </w:rPr>
        <w:t>4.本合同一式肆份，甲方执贰份、乙方执壹份、采购代理机构执壹份，具有同等法律效力。</w:t>
      </w:r>
    </w:p>
    <w:p w14:paraId="60762566">
      <w:pPr>
        <w:widowControl/>
        <w:kinsoku w:val="0"/>
        <w:autoSpaceDE w:val="0"/>
        <w:autoSpaceDN w:val="0"/>
        <w:adjustRightInd w:val="0"/>
        <w:snapToGrid w:val="0"/>
        <w:spacing w:before="37" w:line="360" w:lineRule="auto"/>
        <w:textAlignment w:val="baseline"/>
        <w:rPr>
          <w:rFonts w:hint="eastAsia" w:ascii="宋体" w:hAnsi="宋体" w:eastAsia="宋体" w:cs="宋体"/>
          <w:b/>
          <w:bCs/>
          <w:sz w:val="24"/>
        </w:rPr>
      </w:pPr>
      <w:r>
        <w:rPr>
          <w:rFonts w:hint="eastAsia" w:ascii="宋体" w:hAnsi="宋体" w:eastAsia="宋体" w:cs="宋体"/>
          <w:b/>
          <w:bCs/>
          <w:sz w:val="24"/>
        </w:rPr>
        <w:t>第十一条 附件</w:t>
      </w:r>
    </w:p>
    <w:p w14:paraId="07223220">
      <w:pPr>
        <w:widowControl/>
        <w:kinsoku w:val="0"/>
        <w:autoSpaceDE w:val="0"/>
        <w:autoSpaceDN w:val="0"/>
        <w:adjustRightInd w:val="0"/>
        <w:snapToGrid w:val="0"/>
        <w:spacing w:before="37"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中标通知书、招标文件、投标文件</w:t>
      </w:r>
    </w:p>
    <w:p w14:paraId="5169A25E">
      <w:pPr>
        <w:rPr>
          <w:rFonts w:hint="eastAsia" w:ascii="宋体" w:hAnsi="宋体" w:eastAsia="宋体" w:cs="宋体"/>
          <w:sz w:val="24"/>
        </w:rPr>
      </w:pPr>
      <w:r>
        <w:rPr>
          <w:rFonts w:hint="eastAsia" w:ascii="宋体" w:hAnsi="宋体" w:eastAsia="宋体" w:cs="宋体"/>
          <w:sz w:val="24"/>
        </w:rPr>
        <w:br w:type="page"/>
      </w:r>
    </w:p>
    <w:p w14:paraId="155EC71E">
      <w:pPr>
        <w:pStyle w:val="2"/>
        <w:ind w:firstLine="240"/>
      </w:pPr>
    </w:p>
    <w:tbl>
      <w:tblPr>
        <w:tblStyle w:val="11"/>
        <w:tblpPr w:leftFromText="180" w:rightFromText="180" w:vertAnchor="text" w:horzAnchor="page" w:tblpX="1891" w:tblpY="79"/>
        <w:tblOverlap w:val="never"/>
        <w:tblW w:w="81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80"/>
        <w:gridCol w:w="4150"/>
      </w:tblGrid>
      <w:tr w14:paraId="2C779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3980" w:type="dxa"/>
            <w:noWrap w:val="0"/>
            <w:vAlign w:val="center"/>
          </w:tcPr>
          <w:p w14:paraId="082B63AA">
            <w:pPr>
              <w:pStyle w:val="10"/>
              <w:spacing w:before="94" w:line="221" w:lineRule="auto"/>
              <w:ind w:left="115"/>
              <w:jc w:val="center"/>
              <w:rPr>
                <w:rFonts w:hint="eastAsia" w:ascii="宋体" w:hAnsi="宋体" w:eastAsia="宋体" w:cs="宋体"/>
                <w:sz w:val="21"/>
                <w:szCs w:val="21"/>
              </w:rPr>
            </w:pPr>
            <w:r>
              <w:rPr>
                <w:rFonts w:hint="eastAsia" w:ascii="宋体" w:hAnsi="宋体" w:eastAsia="宋体" w:cs="宋体"/>
                <w:sz w:val="21"/>
                <w:szCs w:val="21"/>
              </w:rPr>
              <w:t>甲  方</w:t>
            </w:r>
          </w:p>
        </w:tc>
        <w:tc>
          <w:tcPr>
            <w:tcW w:w="4150" w:type="dxa"/>
            <w:noWrap w:val="0"/>
            <w:vAlign w:val="center"/>
          </w:tcPr>
          <w:p w14:paraId="21D2564B">
            <w:pPr>
              <w:pStyle w:val="10"/>
              <w:spacing w:before="94" w:line="221" w:lineRule="auto"/>
              <w:ind w:left="125"/>
              <w:jc w:val="center"/>
              <w:rPr>
                <w:rFonts w:hint="eastAsia" w:ascii="宋体" w:hAnsi="宋体" w:eastAsia="宋体" w:cs="宋体"/>
                <w:sz w:val="21"/>
                <w:szCs w:val="21"/>
              </w:rPr>
            </w:pPr>
            <w:r>
              <w:rPr>
                <w:rFonts w:hint="eastAsia" w:ascii="宋体" w:hAnsi="宋体" w:eastAsia="宋体" w:cs="宋体"/>
                <w:sz w:val="21"/>
                <w:szCs w:val="21"/>
              </w:rPr>
              <w:t>乙  方</w:t>
            </w:r>
          </w:p>
        </w:tc>
      </w:tr>
      <w:tr w14:paraId="0F2AB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9" w:hRule="atLeast"/>
        </w:trPr>
        <w:tc>
          <w:tcPr>
            <w:tcW w:w="3980" w:type="dxa"/>
            <w:noWrap w:val="0"/>
            <w:vAlign w:val="center"/>
          </w:tcPr>
          <w:p w14:paraId="6E05C81C">
            <w:pPr>
              <w:pStyle w:val="10"/>
              <w:spacing w:before="65" w:line="219"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陕西省生态环境厅(盖章)</w:t>
            </w:r>
          </w:p>
        </w:tc>
        <w:tc>
          <w:tcPr>
            <w:tcW w:w="4150" w:type="dxa"/>
            <w:noWrap w:val="0"/>
            <w:vAlign w:val="center"/>
          </w:tcPr>
          <w:p w14:paraId="5E9943B9">
            <w:pPr>
              <w:pStyle w:val="10"/>
              <w:spacing w:before="65" w:line="219" w:lineRule="auto"/>
              <w:jc w:val="center"/>
              <w:rPr>
                <w:rFonts w:hint="eastAsia" w:ascii="宋体" w:hAnsi="宋体" w:eastAsia="宋体" w:cs="宋体"/>
                <w:sz w:val="21"/>
                <w:szCs w:val="21"/>
              </w:rPr>
            </w:pPr>
            <w:r>
              <w:rPr>
                <w:rFonts w:hint="eastAsia" w:ascii="宋体" w:hAnsi="宋体" w:eastAsia="宋体" w:cs="宋体"/>
                <w:sz w:val="21"/>
                <w:szCs w:val="21"/>
                <w:lang w:eastAsia="zh-CN"/>
              </w:rPr>
              <w:t>（盖章）</w:t>
            </w:r>
          </w:p>
        </w:tc>
      </w:tr>
      <w:tr w14:paraId="37F2D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atLeast"/>
        </w:trPr>
        <w:tc>
          <w:tcPr>
            <w:tcW w:w="3980" w:type="dxa"/>
            <w:noWrap w:val="0"/>
            <w:vAlign w:val="top"/>
          </w:tcPr>
          <w:p w14:paraId="7AE70C9F">
            <w:pPr>
              <w:pStyle w:val="10"/>
              <w:spacing w:before="100" w:line="219" w:lineRule="auto"/>
              <w:ind w:left="115"/>
              <w:rPr>
                <w:rFonts w:hint="eastAsia" w:ascii="宋体" w:hAnsi="宋体" w:eastAsia="宋体" w:cs="宋体"/>
                <w:sz w:val="21"/>
                <w:szCs w:val="21"/>
                <w:lang w:eastAsia="zh-CN"/>
              </w:rPr>
            </w:pPr>
            <w:r>
              <w:rPr>
                <w:rFonts w:hint="eastAsia" w:ascii="宋体" w:hAnsi="宋体" w:eastAsia="宋体" w:cs="宋体"/>
                <w:sz w:val="21"/>
                <w:szCs w:val="21"/>
                <w:lang w:eastAsia="zh-CN"/>
              </w:rPr>
              <w:t>地址：省政府前大楼10层西侧</w:t>
            </w:r>
          </w:p>
        </w:tc>
        <w:tc>
          <w:tcPr>
            <w:tcW w:w="4150" w:type="dxa"/>
            <w:noWrap w:val="0"/>
            <w:vAlign w:val="top"/>
          </w:tcPr>
          <w:p w14:paraId="315FF025">
            <w:pPr>
              <w:pStyle w:val="10"/>
              <w:spacing w:before="100" w:line="219" w:lineRule="auto"/>
              <w:ind w:left="125"/>
              <w:rPr>
                <w:rFonts w:hint="eastAsia" w:ascii="宋体" w:hAnsi="宋体" w:eastAsia="宋体" w:cs="宋体"/>
                <w:sz w:val="21"/>
                <w:szCs w:val="21"/>
              </w:rPr>
            </w:pPr>
            <w:r>
              <w:rPr>
                <w:rFonts w:hint="eastAsia" w:ascii="宋体" w:hAnsi="宋体" w:eastAsia="宋体" w:cs="宋体"/>
                <w:sz w:val="21"/>
                <w:szCs w:val="21"/>
              </w:rPr>
              <w:t>地址：</w:t>
            </w:r>
          </w:p>
        </w:tc>
      </w:tr>
      <w:tr w14:paraId="642224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3980" w:type="dxa"/>
            <w:noWrap w:val="0"/>
            <w:vAlign w:val="top"/>
          </w:tcPr>
          <w:p w14:paraId="4CDB36DE">
            <w:pPr>
              <w:pStyle w:val="10"/>
              <w:spacing w:before="91" w:line="219" w:lineRule="auto"/>
              <w:ind w:left="115"/>
              <w:rPr>
                <w:rFonts w:hint="eastAsia" w:ascii="宋体" w:hAnsi="宋体" w:eastAsia="宋体" w:cs="宋体"/>
                <w:sz w:val="21"/>
                <w:szCs w:val="21"/>
              </w:rPr>
            </w:pPr>
            <w:r>
              <w:rPr>
                <w:rFonts w:hint="eastAsia" w:ascii="宋体" w:hAnsi="宋体" w:eastAsia="宋体" w:cs="宋体"/>
                <w:sz w:val="21"/>
                <w:szCs w:val="21"/>
              </w:rPr>
              <w:t>邮编：</w:t>
            </w:r>
            <w:r>
              <w:rPr>
                <w:rFonts w:hint="eastAsia" w:ascii="宋体" w:hAnsi="宋体" w:eastAsia="宋体" w:cs="宋体"/>
                <w:kern w:val="0"/>
                <w:sz w:val="24"/>
                <w:szCs w:val="24"/>
                <w:lang w:eastAsia="zh-CN"/>
              </w:rPr>
              <w:t>710004</w:t>
            </w:r>
          </w:p>
        </w:tc>
        <w:tc>
          <w:tcPr>
            <w:tcW w:w="4150" w:type="dxa"/>
            <w:noWrap w:val="0"/>
            <w:vAlign w:val="top"/>
          </w:tcPr>
          <w:p w14:paraId="6A0942EB">
            <w:pPr>
              <w:pStyle w:val="10"/>
              <w:spacing w:before="91" w:line="219" w:lineRule="auto"/>
              <w:ind w:left="125"/>
              <w:rPr>
                <w:rFonts w:hint="eastAsia" w:ascii="宋体" w:hAnsi="宋体" w:eastAsia="宋体" w:cs="宋体"/>
                <w:sz w:val="21"/>
                <w:szCs w:val="21"/>
              </w:rPr>
            </w:pPr>
            <w:r>
              <w:rPr>
                <w:rFonts w:hint="eastAsia" w:ascii="宋体" w:hAnsi="宋体" w:eastAsia="宋体" w:cs="宋体"/>
                <w:sz w:val="21"/>
                <w:szCs w:val="21"/>
              </w:rPr>
              <w:t>邮编：</w:t>
            </w:r>
          </w:p>
        </w:tc>
      </w:tr>
      <w:tr w14:paraId="47AD4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9" w:hRule="atLeast"/>
        </w:trPr>
        <w:tc>
          <w:tcPr>
            <w:tcW w:w="3980" w:type="dxa"/>
            <w:noWrap w:val="0"/>
            <w:vAlign w:val="top"/>
          </w:tcPr>
          <w:p w14:paraId="6323E952">
            <w:pPr>
              <w:spacing w:line="304" w:lineRule="auto"/>
              <w:rPr>
                <w:rFonts w:hint="eastAsia" w:ascii="宋体" w:hAnsi="宋体" w:eastAsia="宋体" w:cs="宋体"/>
                <w:szCs w:val="21"/>
              </w:rPr>
            </w:pPr>
          </w:p>
          <w:p w14:paraId="36361E17">
            <w:pPr>
              <w:pStyle w:val="10"/>
              <w:spacing w:before="65" w:line="219" w:lineRule="auto"/>
              <w:ind w:left="115"/>
              <w:rPr>
                <w:rFonts w:hint="eastAsia" w:ascii="宋体" w:hAnsi="宋体" w:eastAsia="宋体" w:cs="宋体"/>
                <w:sz w:val="21"/>
                <w:szCs w:val="21"/>
              </w:rPr>
            </w:pPr>
            <w:r>
              <w:rPr>
                <w:rFonts w:hint="eastAsia" w:ascii="宋体" w:hAnsi="宋体" w:eastAsia="宋体" w:cs="宋体"/>
                <w:sz w:val="21"/>
                <w:szCs w:val="21"/>
              </w:rPr>
              <w:t>全权代表：    (签字)</w:t>
            </w:r>
          </w:p>
        </w:tc>
        <w:tc>
          <w:tcPr>
            <w:tcW w:w="4150" w:type="dxa"/>
            <w:noWrap w:val="0"/>
            <w:vAlign w:val="top"/>
          </w:tcPr>
          <w:p w14:paraId="68773C78">
            <w:pPr>
              <w:spacing w:line="304" w:lineRule="auto"/>
              <w:rPr>
                <w:rFonts w:hint="eastAsia" w:ascii="宋体" w:hAnsi="宋体" w:eastAsia="宋体" w:cs="宋体"/>
                <w:szCs w:val="21"/>
              </w:rPr>
            </w:pPr>
          </w:p>
          <w:p w14:paraId="05717C28">
            <w:pPr>
              <w:pStyle w:val="10"/>
              <w:spacing w:before="65" w:line="219" w:lineRule="auto"/>
              <w:ind w:left="125"/>
              <w:rPr>
                <w:rFonts w:hint="eastAsia" w:ascii="宋体" w:hAnsi="宋体" w:eastAsia="宋体" w:cs="宋体"/>
                <w:sz w:val="21"/>
                <w:szCs w:val="21"/>
                <w:lang w:eastAsia="zh-CN"/>
              </w:rPr>
            </w:pPr>
            <w:r>
              <w:rPr>
                <w:rFonts w:hint="eastAsia" w:ascii="宋体" w:hAnsi="宋体" w:eastAsia="宋体" w:cs="宋体"/>
                <w:sz w:val="21"/>
                <w:szCs w:val="21"/>
              </w:rPr>
              <w:t>授权代表</w:t>
            </w:r>
            <w:r>
              <w:rPr>
                <w:rFonts w:hint="eastAsia" w:ascii="宋体" w:hAnsi="宋体" w:eastAsia="宋体" w:cs="宋体"/>
                <w:sz w:val="21"/>
                <w:szCs w:val="21"/>
                <w:lang w:eastAsia="zh-CN"/>
              </w:rPr>
              <w:t>：</w:t>
            </w:r>
            <w:r>
              <w:rPr>
                <w:rFonts w:hint="eastAsia" w:ascii="宋体" w:hAnsi="宋体" w:eastAsia="宋体" w:cs="宋体"/>
                <w:sz w:val="21"/>
                <w:szCs w:val="21"/>
              </w:rPr>
              <w:t xml:space="preserve">    (签字)</w:t>
            </w:r>
          </w:p>
        </w:tc>
      </w:tr>
      <w:tr w14:paraId="140C1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3980" w:type="dxa"/>
            <w:noWrap w:val="0"/>
            <w:vAlign w:val="top"/>
          </w:tcPr>
          <w:p w14:paraId="33077C36">
            <w:pPr>
              <w:pStyle w:val="10"/>
              <w:spacing w:before="104" w:line="221" w:lineRule="auto"/>
              <w:ind w:left="115"/>
              <w:rPr>
                <w:rFonts w:hint="eastAsia" w:ascii="宋体" w:hAnsi="宋体" w:eastAsia="宋体" w:cs="宋体"/>
                <w:sz w:val="21"/>
                <w:szCs w:val="21"/>
              </w:rPr>
            </w:pPr>
            <w:r>
              <w:rPr>
                <w:rFonts w:hint="eastAsia" w:ascii="宋体" w:hAnsi="宋体" w:eastAsia="宋体" w:cs="宋体"/>
                <w:sz w:val="21"/>
                <w:szCs w:val="21"/>
              </w:rPr>
              <w:t>电话：</w:t>
            </w:r>
          </w:p>
        </w:tc>
        <w:tc>
          <w:tcPr>
            <w:tcW w:w="4150" w:type="dxa"/>
            <w:noWrap w:val="0"/>
            <w:vAlign w:val="top"/>
          </w:tcPr>
          <w:p w14:paraId="4E2D25E4">
            <w:pPr>
              <w:pStyle w:val="10"/>
              <w:spacing w:before="104" w:line="221" w:lineRule="auto"/>
              <w:ind w:left="125"/>
              <w:rPr>
                <w:rFonts w:hint="eastAsia" w:ascii="宋体" w:hAnsi="宋体" w:eastAsia="宋体" w:cs="宋体"/>
                <w:sz w:val="21"/>
                <w:szCs w:val="21"/>
              </w:rPr>
            </w:pPr>
            <w:r>
              <w:rPr>
                <w:rFonts w:hint="eastAsia" w:ascii="宋体" w:hAnsi="宋体" w:eastAsia="宋体" w:cs="宋体"/>
                <w:sz w:val="21"/>
                <w:szCs w:val="21"/>
              </w:rPr>
              <w:t>电话：</w:t>
            </w:r>
          </w:p>
        </w:tc>
      </w:tr>
      <w:tr w14:paraId="0A5F0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3980" w:type="dxa"/>
            <w:vMerge w:val="restart"/>
            <w:tcBorders>
              <w:bottom w:val="nil"/>
            </w:tcBorders>
            <w:noWrap w:val="0"/>
            <w:vAlign w:val="top"/>
          </w:tcPr>
          <w:p w14:paraId="7D787074">
            <w:pPr>
              <w:spacing w:line="423" w:lineRule="auto"/>
              <w:rPr>
                <w:rFonts w:hint="eastAsia" w:ascii="宋体" w:hAnsi="宋体" w:eastAsia="宋体" w:cs="宋体"/>
                <w:szCs w:val="21"/>
              </w:rPr>
            </w:pPr>
          </w:p>
          <w:p w14:paraId="72268911">
            <w:pPr>
              <w:pStyle w:val="10"/>
              <w:spacing w:before="65" w:line="219" w:lineRule="auto"/>
              <w:ind w:left="115"/>
              <w:rPr>
                <w:rFonts w:hint="eastAsia" w:ascii="宋体" w:hAnsi="宋体" w:eastAsia="宋体" w:cs="宋体"/>
                <w:sz w:val="21"/>
                <w:szCs w:val="21"/>
              </w:rPr>
            </w:pPr>
            <w:r>
              <w:rPr>
                <w:rFonts w:hint="eastAsia" w:ascii="宋体" w:hAnsi="宋体" w:eastAsia="宋体" w:cs="宋体"/>
                <w:sz w:val="21"/>
                <w:szCs w:val="21"/>
              </w:rPr>
              <w:t>传真：</w:t>
            </w:r>
          </w:p>
        </w:tc>
        <w:tc>
          <w:tcPr>
            <w:tcW w:w="4150" w:type="dxa"/>
            <w:noWrap w:val="0"/>
            <w:vAlign w:val="top"/>
          </w:tcPr>
          <w:p w14:paraId="4DD4E512">
            <w:pPr>
              <w:pStyle w:val="10"/>
              <w:spacing w:before="90" w:line="219" w:lineRule="auto"/>
              <w:ind w:left="125"/>
              <w:rPr>
                <w:rFonts w:hint="eastAsia" w:ascii="宋体" w:hAnsi="宋体" w:eastAsia="宋体" w:cs="宋体"/>
                <w:sz w:val="21"/>
                <w:szCs w:val="21"/>
              </w:rPr>
            </w:pPr>
            <w:r>
              <w:rPr>
                <w:rFonts w:hint="eastAsia" w:ascii="宋体" w:hAnsi="宋体" w:eastAsia="宋体" w:cs="宋体"/>
                <w:sz w:val="21"/>
                <w:szCs w:val="21"/>
              </w:rPr>
              <w:t>传真：</w:t>
            </w:r>
          </w:p>
        </w:tc>
      </w:tr>
      <w:tr w14:paraId="5572F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3980" w:type="dxa"/>
            <w:vMerge w:val="continue"/>
            <w:tcBorders>
              <w:top w:val="nil"/>
              <w:bottom w:val="nil"/>
            </w:tcBorders>
            <w:noWrap w:val="0"/>
            <w:vAlign w:val="top"/>
          </w:tcPr>
          <w:p w14:paraId="27B900F4">
            <w:pPr>
              <w:rPr>
                <w:rFonts w:hint="eastAsia" w:ascii="宋体" w:hAnsi="宋体" w:eastAsia="宋体" w:cs="宋体"/>
                <w:szCs w:val="21"/>
              </w:rPr>
            </w:pPr>
          </w:p>
        </w:tc>
        <w:tc>
          <w:tcPr>
            <w:tcW w:w="4150" w:type="dxa"/>
            <w:noWrap w:val="0"/>
            <w:vAlign w:val="top"/>
          </w:tcPr>
          <w:p w14:paraId="47725845">
            <w:pPr>
              <w:pStyle w:val="10"/>
              <w:spacing w:before="102" w:line="219" w:lineRule="auto"/>
              <w:ind w:left="125"/>
              <w:rPr>
                <w:rFonts w:hint="eastAsia" w:ascii="宋体" w:hAnsi="宋体" w:eastAsia="宋体" w:cs="宋体"/>
                <w:sz w:val="21"/>
                <w:szCs w:val="21"/>
              </w:rPr>
            </w:pPr>
            <w:r>
              <w:rPr>
                <w:rFonts w:hint="eastAsia" w:ascii="宋体" w:hAnsi="宋体" w:eastAsia="宋体" w:cs="宋体"/>
                <w:sz w:val="21"/>
                <w:szCs w:val="21"/>
              </w:rPr>
              <w:t>开户银行：</w:t>
            </w:r>
          </w:p>
        </w:tc>
      </w:tr>
      <w:tr w14:paraId="3E4B3F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4" w:hRule="atLeast"/>
        </w:trPr>
        <w:tc>
          <w:tcPr>
            <w:tcW w:w="3980" w:type="dxa"/>
            <w:vMerge w:val="continue"/>
            <w:tcBorders>
              <w:top w:val="nil"/>
            </w:tcBorders>
            <w:noWrap w:val="0"/>
            <w:vAlign w:val="top"/>
          </w:tcPr>
          <w:p w14:paraId="4DAABD5F">
            <w:pPr>
              <w:rPr>
                <w:rFonts w:hint="eastAsia" w:ascii="宋体" w:hAnsi="宋体" w:eastAsia="宋体" w:cs="宋体"/>
                <w:szCs w:val="21"/>
              </w:rPr>
            </w:pPr>
          </w:p>
        </w:tc>
        <w:tc>
          <w:tcPr>
            <w:tcW w:w="4150" w:type="dxa"/>
            <w:noWrap w:val="0"/>
            <w:vAlign w:val="top"/>
          </w:tcPr>
          <w:p w14:paraId="751038E9">
            <w:pPr>
              <w:pStyle w:val="10"/>
              <w:spacing w:before="94" w:line="221" w:lineRule="auto"/>
              <w:ind w:left="125"/>
              <w:rPr>
                <w:rFonts w:hint="eastAsia" w:ascii="宋体" w:hAnsi="宋体" w:eastAsia="宋体" w:cs="宋体"/>
                <w:sz w:val="21"/>
                <w:szCs w:val="21"/>
              </w:rPr>
            </w:pPr>
            <w:r>
              <w:rPr>
                <w:rFonts w:hint="eastAsia" w:ascii="宋体" w:hAnsi="宋体" w:eastAsia="宋体" w:cs="宋体"/>
                <w:sz w:val="21"/>
                <w:szCs w:val="21"/>
              </w:rPr>
              <w:t>账号：</w:t>
            </w:r>
          </w:p>
        </w:tc>
      </w:tr>
      <w:tr w14:paraId="09E5E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3980" w:type="dxa"/>
            <w:tcBorders>
              <w:right w:val="nil"/>
            </w:tcBorders>
            <w:noWrap w:val="0"/>
            <w:vAlign w:val="top"/>
          </w:tcPr>
          <w:p w14:paraId="31039AB3">
            <w:pPr>
              <w:pStyle w:val="10"/>
              <w:spacing w:before="194" w:line="220" w:lineRule="auto"/>
              <w:ind w:left="115"/>
              <w:rPr>
                <w:rFonts w:hint="eastAsia" w:ascii="宋体" w:hAnsi="宋体" w:eastAsia="宋体" w:cs="宋体"/>
                <w:sz w:val="21"/>
                <w:szCs w:val="21"/>
              </w:rPr>
            </w:pPr>
            <w:r>
              <w:rPr>
                <w:rFonts w:hint="eastAsia" w:ascii="宋体" w:hAnsi="宋体" w:eastAsia="宋体" w:cs="宋体"/>
                <w:sz w:val="21"/>
                <w:szCs w:val="21"/>
              </w:rPr>
              <w:t>日 期 ：</w:t>
            </w:r>
          </w:p>
        </w:tc>
        <w:tc>
          <w:tcPr>
            <w:tcW w:w="4150" w:type="dxa"/>
            <w:noWrap w:val="0"/>
            <w:vAlign w:val="top"/>
          </w:tcPr>
          <w:p w14:paraId="34D290F1">
            <w:pPr>
              <w:pStyle w:val="10"/>
              <w:spacing w:before="224" w:line="220" w:lineRule="auto"/>
              <w:ind w:left="125"/>
              <w:rPr>
                <w:rFonts w:hint="eastAsia" w:ascii="宋体" w:hAnsi="宋体" w:eastAsia="宋体" w:cs="宋体"/>
                <w:sz w:val="21"/>
                <w:szCs w:val="21"/>
              </w:rPr>
            </w:pPr>
            <w:r>
              <w:rPr>
                <w:rFonts w:hint="eastAsia" w:ascii="宋体" w:hAnsi="宋体" w:eastAsia="宋体" w:cs="宋体"/>
                <w:sz w:val="21"/>
                <w:szCs w:val="21"/>
              </w:rPr>
              <w:t>日期：</w:t>
            </w:r>
          </w:p>
        </w:tc>
      </w:tr>
    </w:tbl>
    <w:p w14:paraId="1C2BD4AA">
      <w:pPr>
        <w:widowControl/>
        <w:kinsoku w:val="0"/>
        <w:autoSpaceDE w:val="0"/>
        <w:autoSpaceDN w:val="0"/>
        <w:adjustRightInd w:val="0"/>
        <w:snapToGrid w:val="0"/>
        <w:spacing w:line="360" w:lineRule="auto"/>
        <w:textAlignment w:val="baseline"/>
        <w:rPr>
          <w:rFonts w:hint="eastAsia" w:ascii="宋体" w:hAnsi="宋体" w:eastAsia="宋体" w:cs="宋体"/>
          <w:sz w:val="24"/>
        </w:rPr>
      </w:pPr>
    </w:p>
    <w:p w14:paraId="44B8A6A9">
      <w:pPr>
        <w:spacing w:after="156" w:line="560" w:lineRule="exact"/>
        <w:rPr>
          <w:rFonts w:ascii="Calibri" w:hAnsi="Calibri" w:eastAsia="宋体" w:cs="宋体"/>
        </w:rPr>
      </w:pPr>
    </w:p>
    <w:p w14:paraId="24218FD7"/>
    <w:p w14:paraId="793B8C5C">
      <w:pPr>
        <w:spacing w:line="360" w:lineRule="auto"/>
        <w:rPr>
          <w:rFonts w:ascii="Lucida Sans Unicode" w:hAnsi="Lucida Sans Unicode" w:eastAsia="Lucida Sans Unicode" w:cs="Lucida Sans Unicode"/>
          <w:sz w:val="24"/>
        </w:rPr>
      </w:pPr>
    </w:p>
    <w:p w14:paraId="15281887">
      <w:pPr>
        <w:bidi w:val="0"/>
        <w:rPr>
          <w:highlight w:val="none"/>
          <w:lang w:val="en-US" w:eastAsia="zh-CN"/>
        </w:rPr>
      </w:pPr>
    </w:p>
    <w:p w14:paraId="7F93F5AC">
      <w:pPr>
        <w:bidi w:val="0"/>
        <w:rPr>
          <w:highlight w:val="none"/>
          <w:lang w:val="en-US" w:eastAsia="zh-CN"/>
        </w:rPr>
      </w:pPr>
    </w:p>
    <w:p w14:paraId="5609B061">
      <w:pPr>
        <w:rPr>
          <w:highlight w:val="none"/>
        </w:rPr>
      </w:pPr>
    </w:p>
    <w:p w14:paraId="24CB5B53"/>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CBED8">
    <w:pPr>
      <w:pStyle w:val="3"/>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3714115</wp:posOffset>
              </wp:positionH>
              <wp:positionV relativeFrom="page">
                <wp:posOffset>9925050</wp:posOffset>
              </wp:positionV>
              <wp:extent cx="133350" cy="1524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33350" cy="152400"/>
                      </a:xfrm>
                      <a:prstGeom prst="rect">
                        <a:avLst/>
                      </a:prstGeom>
                      <a:noFill/>
                      <a:ln>
                        <a:noFill/>
                      </a:ln>
                    </wps:spPr>
                    <wps:txbx>
                      <w:txbxContent>
                        <w:p w14:paraId="2491757B">
                          <w:pPr>
                            <w:spacing w:before="12"/>
                            <w:ind w:left="6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2.45pt;margin-top:781.5pt;height:12pt;width:10.5pt;mso-position-horizontal-relative:page;mso-position-vertical-relative:page;z-index:-251657216;mso-width-relative:page;mso-height-relative:page;" filled="f" stroked="f" coordsize="21600,21600" o:gfxdata="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Es8FU2QAAAA0BAAAPAAAAAAAAAAEAIAAAACIAAABkcnMvZG93bnJldi54bWxQSwEC&#10;FAAUAAAACACHTuJAv7WYY7oBAABxAwAADgAAAAAAAAABACAAAAAoAQAAZHJzL2Uyb0RvYy54bWxQ&#10;SwUGAAAAAAYABgBZAQAAVAUAAAAA&#10;">
              <v:fill on="f" focussize="0,0"/>
              <v:stroke on="f"/>
              <v:imagedata o:title=""/>
              <o:lock v:ext="edit" aspectratio="f"/>
              <v:textbox inset="0mm,0mm,0mm,0mm">
                <w:txbxContent>
                  <w:p w14:paraId="2491757B">
                    <w:pPr>
                      <w:spacing w:before="12"/>
                      <w:ind w:left="6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4D185D"/>
    <w:multiLevelType w:val="multilevel"/>
    <w:tmpl w:val="1B4D185D"/>
    <w:lvl w:ilvl="0" w:tentative="0">
      <w:start w:val="1"/>
      <w:numFmt w:val="decimal"/>
      <w:pStyle w:val="12"/>
      <w:lvlText w:val="%1."/>
      <w:lvlJc w:val="left"/>
      <w:pPr>
        <w:ind w:left="922" w:hanging="440"/>
      </w:pPr>
    </w:lvl>
    <w:lvl w:ilvl="1" w:tentative="0">
      <w:start w:val="1"/>
      <w:numFmt w:val="decimal"/>
      <w:lvlText w:val="%2、"/>
      <w:lvlJc w:val="left"/>
      <w:pPr>
        <w:ind w:left="1642" w:hanging="720"/>
      </w:pPr>
      <w:rPr>
        <w:rFonts w:hint="default"/>
      </w:r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1">
    <w:nsid w:val="76880676"/>
    <w:multiLevelType w:val="multilevel"/>
    <w:tmpl w:val="76880676"/>
    <w:lvl w:ilvl="0" w:tentative="0">
      <w:start w:val="1"/>
      <w:numFmt w:val="japaneseCounting"/>
      <w:lvlText w:val="%1、"/>
      <w:lvlJc w:val="left"/>
      <w:pPr>
        <w:ind w:left="960" w:hanging="48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N2FmMzQwOTEwMmUzMzIxODEwYjczZTBiNjRlYWQifQ=="/>
  </w:docVars>
  <w:rsids>
    <w:rsidRoot w:val="00000000"/>
    <w:rsid w:val="46A8711F"/>
    <w:rsid w:val="7FC93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360" w:lineRule="auto"/>
      <w:jc w:val="both"/>
      <w:textAlignment w:val="baseline"/>
    </w:pPr>
    <w:rPr>
      <w:rFonts w:ascii="Arial" w:hAnsi="Arial" w:eastAsia="宋体" w:cs="Arial"/>
      <w:snapToGrid w:val="0"/>
      <w:color w:val="000000"/>
      <w:kern w:val="0"/>
      <w:sz w:val="24"/>
      <w:szCs w:val="21"/>
      <w:lang w:val="en-US" w:eastAsia="en-US" w:bidi="ar-SA"/>
    </w:rPr>
  </w:style>
  <w:style w:type="paragraph" w:styleId="4">
    <w:name w:val="heading 1"/>
    <w:basedOn w:val="1"/>
    <w:next w:val="1"/>
    <w:qFormat/>
    <w:uiPriority w:val="1"/>
    <w:pPr>
      <w:spacing w:before="35"/>
      <w:ind w:left="109"/>
      <w:outlineLvl w:val="1"/>
    </w:pPr>
    <w:rPr>
      <w:rFonts w:ascii="Microsoft YaHei UI" w:hAnsi="Microsoft YaHei UI" w:eastAsia="Microsoft YaHei UI" w:cs="Microsoft YaHei UI"/>
      <w:b/>
      <w:bCs/>
      <w:sz w:val="32"/>
      <w:szCs w:val="3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5">
    <w:name w:val="Title"/>
    <w:basedOn w:val="1"/>
    <w:qFormat/>
    <w:uiPriority w:val="1"/>
    <w:pPr>
      <w:ind w:left="1464" w:right="1684"/>
      <w:jc w:val="center"/>
    </w:pPr>
    <w:rPr>
      <w:rFonts w:ascii="宋体" w:hAnsi="宋体" w:eastAsia="宋体" w:cs="宋体"/>
      <w:sz w:val="84"/>
      <w:szCs w:val="84"/>
      <w:lang w:val="en-US" w:eastAsia="zh-CN" w:bidi="ar-SA"/>
    </w:rPr>
  </w:style>
  <w:style w:type="paragraph" w:customStyle="1" w:styleId="8">
    <w:name w:val="Table Paragraph"/>
    <w:basedOn w:val="1"/>
    <w:qFormat/>
    <w:uiPriority w:val="1"/>
    <w:rPr>
      <w:rFonts w:ascii="宋体" w:hAnsi="宋体" w:eastAsia="宋体" w:cs="宋体"/>
      <w:lang w:val="en-US" w:eastAsia="zh-CN" w:bidi="ar-SA"/>
    </w:rPr>
  </w:style>
  <w:style w:type="paragraph" w:customStyle="1" w:styleId="9">
    <w:name w:val="图"/>
    <w:basedOn w:val="1"/>
    <w:qFormat/>
    <w:uiPriority w:val="0"/>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0">
    <w:name w:val="Table Text"/>
    <w:basedOn w:val="1"/>
    <w:semiHidden/>
    <w:qFormat/>
    <w:uiPriority w:val="0"/>
    <w:rPr>
      <w:rFonts w:ascii="宋体" w:hAnsi="宋体" w:eastAsia="宋体" w:cs="宋体"/>
      <w:sz w:val="19"/>
      <w:szCs w:val="19"/>
      <w:lang w:val="en-US" w:eastAsia="en-US" w:bidi="ar-SA"/>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List Paragraph"/>
    <w:basedOn w:val="1"/>
    <w:qFormat/>
    <w:uiPriority w:val="34"/>
    <w:pPr>
      <w:numPr>
        <w:ilvl w:val="0"/>
        <w:numId w:val="1"/>
      </w:numPr>
      <w:ind w:firstLine="0" w:firstLineChars="0"/>
    </w:pPr>
    <w:rPr>
      <w:rFonts w:ascii="宋体" w:hAnsi="宋体"/>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4362</Words>
  <Characters>4385</Characters>
  <Lines>0</Lines>
  <Paragraphs>0</Paragraphs>
  <TotalTime>0</TotalTime>
  <ScaleCrop>false</ScaleCrop>
  <LinksUpToDate>false</LinksUpToDate>
  <CharactersWithSpaces>4611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2024-10-09T09:36:00Z</dcterms:created>
  <dc:creator>PC</dc:creator>
  <cp:lastModifiedBy>admin</cp:lastModifiedBy>
  <dcterms:modified xsi:type="dcterms:W3CDTF">2026-08-10T12:15:11Z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758C0B72C23D41599AEE068E61218BD0_12</vt:lpwstr>
  </property>
  <property fmtid="{D5CDD505-2E9C-101B-9397-08002B2CF9AE}" pid="4" name="KSOTemplateDocerSaveRecord">
    <vt:lpwstr>eyJoZGlkIjoiMWIxM2MyYTM4NjQxMmZlNDM5Mzc3ZGE5ZmRjMmIzMzUiLCJ1c2VySWQiOiIyMzI0Njk3NzUifQ==</vt:lpwstr>
  </property>
</Properties>
</file>