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版本号：GXCZ-C-2657022920260608002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省厅网络保密自监管系统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GXCZ-C-26570229</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国信招标集团股份有限公司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国信招标集团股份有限公司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省厅网络保密自监管系统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GXCZ-C-26570229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省厅网络保密自监管系统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加强我省交通运输行业网络保密监管工作，消除网络窃密泄密风险隐患，计划建设部署网络保密自监管系统，通过该系统，打造失泄密事件检查监测、攻击窃密检测于一体的互联网监测预警体系，实现对省厅互联网出口及计算机终端的全面保密监管，提升安全保密自监管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肖君玲、贾天佼、杜静、张海飞、刘洋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85%计算，若单项目服务费不足5000元按5000元计取，按“服务类”向成交供应商收取代理服务费。 户名：国信招标集团股份有限公司陕西分公司 开户银行：招商银行西安城南支行 虚拟账号：1299104125105012600012934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国信招标集团股份有限公司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国信招标集团股份有限公司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国信招标集团股份有限公司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联系人：肖君玲、贾天佼、刘洋</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地址：陕西省西安市南二环成长大厦20楼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加强我省交通运输行业网络保密监管工作，消除网络窃密泄密风险隐患，计划建设部署网络保密自监管系统，通过该系统，打造失泄密事件检查监测、攻击窃密检测于一体的互联网监测预警体系，实现对省厅互联网出口及计算机终端的全面保密监管，提升安全保密自监管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省厅网络保密自监管系统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标的名称：省厅网络保密自监管系统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硬件：互联网接入口前端检测器（可利旧）</w:t>
            </w:r>
          </w:p>
          <w:p>
            <w:pPr>
              <w:pStyle w:val="null3"/>
            </w:pPr>
            <w:r>
              <w:rPr>
                <w:rFonts w:ascii="仿宋_GB2312" w:hAnsi="仿宋_GB2312" w:cs="仿宋_GB2312" w:eastAsia="仿宋_GB2312"/>
              </w:rPr>
              <w:t>软件：</w:t>
            </w:r>
          </w:p>
          <w:p>
            <w:pPr>
              <w:pStyle w:val="null3"/>
            </w:pPr>
            <w:r>
              <w:rPr>
                <w:rFonts w:ascii="仿宋_GB2312" w:hAnsi="仿宋_GB2312" w:cs="仿宋_GB2312" w:eastAsia="仿宋_GB2312"/>
              </w:rPr>
              <w:t>1.终端保密检测组件。在办公终端安装保密检测组件客户端，用于监测终端用户处理涉密敏感数据情况并上传监测数据。计划采购约250个终端用户量。</w:t>
            </w:r>
          </w:p>
          <w:p>
            <w:pPr>
              <w:pStyle w:val="null3"/>
            </w:pPr>
            <w:r>
              <w:rPr>
                <w:rFonts w:ascii="仿宋_GB2312" w:hAnsi="仿宋_GB2312" w:cs="仿宋_GB2312" w:eastAsia="仿宋_GB2312"/>
              </w:rPr>
              <w:t>2.互联网保密自监管处置系统。接收互联网接入口前端检测器和终端保密组件上传的告警数据进行解析并存储，实现对传输失泄密和攻击窃密事件的研判处置、分析、综合管理和动态展示。计划采购1套。</w:t>
            </w:r>
          </w:p>
          <w:tbl>
            <w:tblPr>
              <w:tblBorders>
                <w:top w:val="none" w:color="000000" w:sz="4"/>
                <w:left w:val="none" w:color="000000" w:sz="4"/>
                <w:bottom w:val="none" w:color="000000" w:sz="4"/>
                <w:right w:val="none" w:color="000000" w:sz="4"/>
                <w:insideH w:val="none"/>
                <w:insideV w:val="none"/>
              </w:tblBorders>
            </w:tblPr>
            <w:tblGrid>
              <w:gridCol w:w="123"/>
              <w:gridCol w:w="202"/>
              <w:gridCol w:w="2218"/>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2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互联网</w:t>
                  </w:r>
                  <w:r>
                    <w:rPr>
                      <w:rFonts w:ascii="仿宋_GB2312" w:hAnsi="仿宋_GB2312" w:cs="仿宋_GB2312" w:eastAsia="仿宋_GB2312"/>
                      <w:sz w:val="20"/>
                    </w:rPr>
                    <w:t>保密</w:t>
                  </w:r>
                  <w:r>
                    <w:rPr>
                      <w:rFonts w:ascii="仿宋_GB2312" w:hAnsi="仿宋_GB2312" w:cs="仿宋_GB2312" w:eastAsia="仿宋_GB2312"/>
                      <w:sz w:val="20"/>
                    </w:rPr>
                    <w:t>自监管处置平台</w:t>
                  </w:r>
                </w:p>
              </w:tc>
              <w:tc>
                <w:tcPr>
                  <w:tcW w:type="dxa" w:w="2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支持终端下载和安装终端保密检测组件；</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▲支持用户查看接入的终端保密检测组件运行状态，包括组件所在终端注册信息（主机名、主机MAC、操作系统、部门、责任人等）、IP、在线状态、最近上线时间、软件版本等</w:t>
                  </w:r>
                  <w:r>
                    <w:rPr>
                      <w:rFonts w:ascii="仿宋_GB2312" w:hAnsi="仿宋_GB2312" w:cs="仿宋_GB2312" w:eastAsia="仿宋_GB2312"/>
                      <w:sz w:val="20"/>
                    </w:rPr>
                    <w:t>（提供具备</w:t>
                  </w:r>
                  <w:r>
                    <w:rPr>
                      <w:rFonts w:ascii="仿宋_GB2312" w:hAnsi="仿宋_GB2312" w:cs="仿宋_GB2312" w:eastAsia="仿宋_GB2312"/>
                      <w:sz w:val="20"/>
                    </w:rPr>
                    <w:t>CMA、CNAS认证的第三方权威机构出具的测试报告首页及本项测试点的测试结果截图</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支持对接入的自监管检测器进行注册认证、状态展示；</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支持配置关键词检测策略并下发至终端保密检测组件、自监管监测器；</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系统默认设立系统管理员、授权管理员、安全审计管理员三类角色，分别负责系统运行维护、关键操作授权和安全审计工作；</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系统提供对用户的综合管理功能，包括对用户角色进行配置和管理，为各类角色分配不同权限，提供身份认证功能；</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支持利用知识库、机器学习等技术，采用多引擎分析和决策系统，对高疑似的国家秘密文件进行智能推荐，对采集筛选的信息进行无关信息过滤；</w:t>
                  </w:r>
                </w:p>
                <w:p>
                  <w:pPr>
                    <w:pStyle w:val="null3"/>
                    <w:ind w:left="420"/>
                    <w:jc w:val="both"/>
                  </w:pPr>
                  <w:r>
                    <w:rPr>
                      <w:rFonts w:ascii="仿宋_GB2312" w:hAnsi="仿宋_GB2312" w:cs="仿宋_GB2312" w:eastAsia="仿宋_GB2312"/>
                      <w:sz w:val="20"/>
                      <w:b/>
                    </w:rPr>
                    <w:t>8.</w:t>
                  </w:r>
                  <w:r>
                    <w:rPr>
                      <w:rFonts w:ascii="仿宋_GB2312" w:hAnsi="仿宋_GB2312" w:cs="仿宋_GB2312" w:eastAsia="仿宋_GB2312"/>
                      <w:sz w:val="20"/>
                    </w:rPr>
                    <w:t>▲支持用户自定义推荐规则配置，用户可以通过与或非表达式、正则表达式自定义设置推荐规则</w:t>
                  </w:r>
                  <w:r>
                    <w:rPr>
                      <w:rFonts w:ascii="仿宋_GB2312" w:hAnsi="仿宋_GB2312" w:cs="仿宋_GB2312" w:eastAsia="仿宋_GB2312"/>
                      <w:sz w:val="20"/>
                    </w:rPr>
                    <w:t>（提供具备</w:t>
                  </w:r>
                  <w:r>
                    <w:rPr>
                      <w:rFonts w:ascii="仿宋_GB2312" w:hAnsi="仿宋_GB2312" w:cs="仿宋_GB2312" w:eastAsia="仿宋_GB2312"/>
                      <w:sz w:val="20"/>
                    </w:rPr>
                    <w:t>CMA、CNAS认证的第三方权威机构出具的测试报告首页及本项测试点的测试结果截图</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▲支持文本文件（txt、rtf），网页文件（xml、htm、html、mht、mhtml），图片文件（</w:t>
                  </w:r>
                  <w:r>
                    <w:rPr>
                      <w:rFonts w:ascii="仿宋_GB2312" w:hAnsi="仿宋_GB2312" w:cs="仿宋_GB2312" w:eastAsia="仿宋_GB2312"/>
                      <w:sz w:val="20"/>
                    </w:rPr>
                    <w:t>png、jpg、jpeg、bmp、gif、tif、tiff、dib、raw</w:t>
                  </w:r>
                  <w:r>
                    <w:rPr>
                      <w:rFonts w:ascii="仿宋_GB2312" w:hAnsi="仿宋_GB2312" w:cs="仿宋_GB2312" w:eastAsia="仿宋_GB2312"/>
                      <w:sz w:val="20"/>
                    </w:rPr>
                    <w:t>、</w:t>
                  </w:r>
                  <w:r>
                    <w:rPr>
                      <w:rFonts w:ascii="仿宋_GB2312" w:hAnsi="仿宋_GB2312" w:cs="仿宋_GB2312" w:eastAsia="仿宋_GB2312"/>
                      <w:sz w:val="20"/>
                    </w:rPr>
                    <w:t>SMP</w:t>
                  </w:r>
                  <w:r>
                    <w:rPr>
                      <w:rFonts w:ascii="仿宋_GB2312" w:hAnsi="仿宋_GB2312" w:cs="仿宋_GB2312" w:eastAsia="仿宋_GB2312"/>
                      <w:sz w:val="20"/>
                    </w:rPr>
                    <w:t>）</w:t>
                  </w:r>
                  <w:r>
                    <w:rPr>
                      <w:rFonts w:ascii="仿宋_GB2312" w:hAnsi="仿宋_GB2312" w:cs="仿宋_GB2312" w:eastAsia="仿宋_GB2312"/>
                      <w:sz w:val="20"/>
                    </w:rPr>
                    <w:t>，金山</w:t>
                  </w:r>
                  <w:r>
                    <w:rPr>
                      <w:rFonts w:ascii="仿宋_GB2312" w:hAnsi="仿宋_GB2312" w:cs="仿宋_GB2312" w:eastAsia="仿宋_GB2312"/>
                      <w:sz w:val="20"/>
                    </w:rPr>
                    <w:t>WPS（wps、wpt、dps、dpt、et、ett），永中Office（eid、eis、eip），微软Office（doc、docx、dot、xls、xlsx、xlt、xlsm、ppt、pps、pptx、pptm、pot），北大方正系列，版式文件（ofd、pdf），统一办公文档（uof）、电子邮件文件（eml），压缩文件（rar、zip、7z、tar、gz、gzip、lzma、bz2）等主要文件格式对进行解析分析（提供具备CMA、CNAS认证的第三方权威机构出具的测试报告首页及本项测试点的测试结果截图）；</w:t>
                  </w:r>
                </w:p>
                <w:p>
                  <w:pPr>
                    <w:pStyle w:val="null3"/>
                    <w:ind w:left="420"/>
                    <w:jc w:val="both"/>
                  </w:pPr>
                  <w:r>
                    <w:rPr>
                      <w:rFonts w:ascii="仿宋_GB2312" w:hAnsi="仿宋_GB2312" w:cs="仿宋_GB2312" w:eastAsia="仿宋_GB2312"/>
                      <w:sz w:val="20"/>
                      <w:b/>
                    </w:rPr>
                    <w:t>10.</w:t>
                  </w:r>
                  <w:r>
                    <w:rPr>
                      <w:rFonts w:ascii="仿宋_GB2312" w:hAnsi="仿宋_GB2312" w:cs="仿宋_GB2312" w:eastAsia="仿宋_GB2312"/>
                      <w:sz w:val="20"/>
                    </w:rPr>
                    <w:t>▲支持根据文件MD5值、Hash值、密标、隐写、关键词、文件名、标题、文号、版式、公章、条码、账号等进行涉密特征匹配，产生泄密事件告警</w:t>
                  </w:r>
                  <w:r>
                    <w:rPr>
                      <w:rFonts w:ascii="仿宋_GB2312" w:hAnsi="仿宋_GB2312" w:cs="仿宋_GB2312" w:eastAsia="仿宋_GB2312"/>
                      <w:sz w:val="20"/>
                    </w:rPr>
                    <w:t>（提供具备</w:t>
                  </w:r>
                  <w:r>
                    <w:rPr>
                      <w:rFonts w:ascii="仿宋_GB2312" w:hAnsi="仿宋_GB2312" w:cs="仿宋_GB2312" w:eastAsia="仿宋_GB2312"/>
                      <w:sz w:val="20"/>
                    </w:rPr>
                    <w:t>CMA、CNAS认证的第三方权威机构出具的测试报告首页及本项测试点的测试结果截图</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系统提供多个行业领域的敏感内容业务知识库，包括模型库、标签库、决策规则等，实现特定行业、特定领域、特定内容的智能精准发现；</w:t>
                  </w:r>
                </w:p>
                <w:p>
                  <w:pPr>
                    <w:pStyle w:val="null3"/>
                    <w:ind w:left="420"/>
                    <w:jc w:val="both"/>
                  </w:pPr>
                  <w:r>
                    <w:rPr>
                      <w:rFonts w:ascii="仿宋_GB2312" w:hAnsi="仿宋_GB2312" w:cs="仿宋_GB2312" w:eastAsia="仿宋_GB2312"/>
                      <w:sz w:val="20"/>
                      <w:b/>
                    </w:rPr>
                    <w:t>12.</w:t>
                  </w:r>
                  <w:r>
                    <w:rPr>
                      <w:rFonts w:ascii="仿宋_GB2312" w:hAnsi="仿宋_GB2312" w:cs="仿宋_GB2312" w:eastAsia="仿宋_GB2312"/>
                      <w:sz w:val="20"/>
                    </w:rPr>
                    <w:t>▲提供操作多种的图片格式类型的文件解析，包括：JPG、JPEG、PNG、TIFF、BMP、GIF、TIF、JPE等（提供具备CMA、CNAS认证的第三方权威机构出具的测试报告首页及本项测试点的测试结果截图</w:t>
                  </w:r>
                  <w:r>
                    <w:rPr>
                      <w:rFonts w:ascii="仿宋_GB2312" w:hAnsi="仿宋_GB2312" w:cs="仿宋_GB2312" w:eastAsia="仿宋_GB2312"/>
                      <w:sz w:val="20"/>
                    </w:rPr>
                    <w:t>）</w:t>
                  </w:r>
                  <w:r>
                    <w:rPr>
                      <w:rFonts w:ascii="仿宋_GB2312" w:hAnsi="仿宋_GB2312" w:cs="仿宋_GB2312" w:eastAsia="仿宋_GB2312"/>
                      <w:sz w:val="20"/>
                      <w:b/>
                    </w:rPr>
                    <w:t>；</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支持展示泄密事件告警的详情，支持按照文件维度告警聚合，标注研判结果、填报处置情况；</w:t>
                  </w:r>
                </w:p>
                <w:p>
                  <w:pPr>
                    <w:pStyle w:val="null3"/>
                    <w:ind w:left="420"/>
                    <w:jc w:val="both"/>
                  </w:pPr>
                  <w:r>
                    <w:rPr>
                      <w:rFonts w:ascii="仿宋_GB2312" w:hAnsi="仿宋_GB2312" w:cs="仿宋_GB2312" w:eastAsia="仿宋_GB2312"/>
                      <w:sz w:val="20"/>
                    </w:rPr>
                    <w:t>14.</w:t>
                  </w:r>
                  <w:r>
                    <w:rPr>
                      <w:rFonts w:ascii="仿宋_GB2312" w:hAnsi="仿宋_GB2312" w:cs="仿宋_GB2312" w:eastAsia="仿宋_GB2312"/>
                      <w:sz w:val="20"/>
                    </w:rPr>
                    <w:t>支持根据检测策略特征和内置引擎，将符合监管事件特征的告警进行呈现，支持按照相同主客体进行告警聚合，支持进行告警核实处置；</w:t>
                  </w:r>
                </w:p>
                <w:p>
                  <w:pPr>
                    <w:pStyle w:val="null3"/>
                    <w:ind w:left="420"/>
                    <w:jc w:val="both"/>
                  </w:pPr>
                  <w:r>
                    <w:rPr>
                      <w:rFonts w:ascii="仿宋_GB2312" w:hAnsi="仿宋_GB2312" w:cs="仿宋_GB2312" w:eastAsia="仿宋_GB2312"/>
                      <w:sz w:val="20"/>
                    </w:rPr>
                    <w:t>15.</w:t>
                  </w:r>
                  <w:r>
                    <w:rPr>
                      <w:rFonts w:ascii="仿宋_GB2312" w:hAnsi="仿宋_GB2312" w:cs="仿宋_GB2312" w:eastAsia="仿宋_GB2312"/>
                      <w:sz w:val="20"/>
                    </w:rPr>
                    <w:t>支持根据终端保密检测组件上报的外接设备基础信息及自监管检测器上报的活动对象信息，与资产台账进行比对，形成设备使用风险告警，支持按照相同主客体进行告警聚合，支持进行告警核实处置；</w:t>
                  </w:r>
                </w:p>
                <w:p>
                  <w:pPr>
                    <w:pStyle w:val="null3"/>
                    <w:ind w:left="420"/>
                    <w:jc w:val="both"/>
                  </w:pPr>
                  <w:r>
                    <w:rPr>
                      <w:rFonts w:ascii="仿宋_GB2312" w:hAnsi="仿宋_GB2312" w:cs="仿宋_GB2312" w:eastAsia="仿宋_GB2312"/>
                      <w:sz w:val="20"/>
                    </w:rPr>
                    <w:t>16.</w:t>
                  </w:r>
                  <w:r>
                    <w:rPr>
                      <w:rFonts w:ascii="仿宋_GB2312" w:hAnsi="仿宋_GB2312" w:cs="仿宋_GB2312" w:eastAsia="仿宋_GB2312"/>
                      <w:sz w:val="20"/>
                    </w:rPr>
                    <w:t>支持按时间、部门、研判状态、研判结果等对泄密事件进行查询统计；</w:t>
                  </w:r>
                </w:p>
                <w:p>
                  <w:pPr>
                    <w:pStyle w:val="null3"/>
                    <w:ind w:left="420"/>
                    <w:jc w:val="both"/>
                  </w:pPr>
                  <w:r>
                    <w:rPr>
                      <w:rFonts w:ascii="仿宋_GB2312" w:hAnsi="仿宋_GB2312" w:cs="仿宋_GB2312" w:eastAsia="仿宋_GB2312"/>
                      <w:sz w:val="20"/>
                    </w:rPr>
                    <w:t>17.</w:t>
                  </w:r>
                  <w:r>
                    <w:rPr>
                      <w:rFonts w:ascii="仿宋_GB2312" w:hAnsi="仿宋_GB2312" w:cs="仿宋_GB2312" w:eastAsia="仿宋_GB2312"/>
                      <w:sz w:val="20"/>
                    </w:rPr>
                    <w:t>支持分角色管理，可分级评判。根据组织机构来划分管理权限，即可设置分级保密员，进行多级违规评判；</w:t>
                  </w:r>
                </w:p>
                <w:p>
                  <w:pPr>
                    <w:pStyle w:val="null3"/>
                    <w:ind w:left="420"/>
                    <w:jc w:val="both"/>
                  </w:pPr>
                  <w:r>
                    <w:rPr>
                      <w:rFonts w:ascii="仿宋_GB2312" w:hAnsi="仿宋_GB2312" w:cs="仿宋_GB2312" w:eastAsia="仿宋_GB2312"/>
                      <w:sz w:val="20"/>
                    </w:rPr>
                    <w:t>18.</w:t>
                  </w:r>
                  <w:r>
                    <w:rPr>
                      <w:rFonts w:ascii="仿宋_GB2312" w:hAnsi="仿宋_GB2312" w:cs="仿宋_GB2312" w:eastAsia="仿宋_GB2312"/>
                      <w:sz w:val="20"/>
                    </w:rPr>
                    <w:t>▲实现与上级网络保密监管平台的数据互联互通</w:t>
                  </w:r>
                  <w:r>
                    <w:rPr>
                      <w:rFonts w:ascii="仿宋_GB2312" w:hAnsi="仿宋_GB2312" w:cs="仿宋_GB2312" w:eastAsia="仿宋_GB2312"/>
                      <w:sz w:val="20"/>
                    </w:rPr>
                    <w:t>。</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终端保密检测组件</w:t>
                  </w:r>
                </w:p>
              </w:tc>
              <w:tc>
                <w:tcPr>
                  <w:tcW w:type="dxa" w:w="2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0"/>
                    </w:rPr>
                    <w:t>1.</w:t>
                  </w:r>
                  <w:r>
                    <w:rPr>
                      <w:rFonts w:ascii="仿宋_GB2312" w:hAnsi="仿宋_GB2312" w:cs="仿宋_GB2312" w:eastAsia="仿宋_GB2312"/>
                      <w:sz w:val="20"/>
                    </w:rPr>
                    <w:t>▲所供产品具备网络安全专用产品安全检测证书及报告（提供产品检测证书及报告扫描件）；</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0"/>
                    </w:rPr>
                    <w:t>支持文件增量检查，对已检查未变化的图片、文件中图片等文件类型可增量检查，无需重新解析文档，相较于初次检查可大幅提升检查速度；</w:t>
                  </w:r>
                </w:p>
                <w:p>
                  <w:pPr>
                    <w:pStyle w:val="null3"/>
                    <w:ind w:left="420"/>
                    <w:jc w:val="both"/>
                  </w:pPr>
                  <w:r>
                    <w:rPr>
                      <w:rFonts w:ascii="仿宋_GB2312" w:hAnsi="仿宋_GB2312" w:cs="仿宋_GB2312" w:eastAsia="仿宋_GB2312"/>
                      <w:sz w:val="20"/>
                    </w:rPr>
                    <w:t>3.</w:t>
                  </w:r>
                  <w:r>
                    <w:rPr>
                      <w:rFonts w:ascii="仿宋_GB2312" w:hAnsi="仿宋_GB2312" w:cs="仿宋_GB2312" w:eastAsia="仿宋_GB2312"/>
                      <w:sz w:val="20"/>
                    </w:rPr>
                    <w:t>▲支持检查文档文件、图片文件、压缩文件，包括doc，docx，docm，wps，wpt，eid，dot，odt，uof，xls，xlsx，xlsm，et，ett，eis，eit，xlt，ods，ppt，pptx，pptm，pps，dps，odp，dpt，eip，pot，rtf，cfd，pdf等文档格式；png，gif，jpg，jpeg，bmp，tif，tiff，dib等图像文件格式；rar，zip，tar，7z，gz，lzma，bz2，bz，cab，iso等压缩文件格式；文本文件txt，html，htm，xml，mht，mhtml等文本文件格式；虚拟磁盘文件vmdk，vdi，vhd，vhdx，qcow2，img等虚拟磁盘文件格式；ofd，dwg，dxf，dwf等其他文件；矢量数据、栅格数据、高程数据、三维数据等格式的地理信息文件（提供产品功能截图）；</w:t>
                  </w:r>
                </w:p>
                <w:p>
                  <w:pPr>
                    <w:pStyle w:val="null3"/>
                    <w:ind w:left="420"/>
                    <w:jc w:val="both"/>
                  </w:pPr>
                  <w:r>
                    <w:rPr>
                      <w:rFonts w:ascii="仿宋_GB2312" w:hAnsi="仿宋_GB2312" w:cs="仿宋_GB2312" w:eastAsia="仿宋_GB2312"/>
                      <w:sz w:val="20"/>
                    </w:rPr>
                    <w:t>4.</w:t>
                  </w:r>
                  <w:r>
                    <w:rPr>
                      <w:rFonts w:ascii="仿宋_GB2312" w:hAnsi="仿宋_GB2312" w:cs="仿宋_GB2312" w:eastAsia="仿宋_GB2312"/>
                      <w:sz w:val="20"/>
                    </w:rPr>
                    <w:t>▲支持检查文件头被损坏文件、检查加密文件、检查嵌套文件、检查不限层级压缩文件（提供产品功能截图）；</w:t>
                  </w:r>
                </w:p>
                <w:p>
                  <w:pPr>
                    <w:pStyle w:val="null3"/>
                    <w:ind w:left="420"/>
                    <w:jc w:val="both"/>
                  </w:pPr>
                  <w:r>
                    <w:rPr>
                      <w:rFonts w:ascii="仿宋_GB2312" w:hAnsi="仿宋_GB2312" w:cs="仿宋_GB2312" w:eastAsia="仿宋_GB2312"/>
                      <w:sz w:val="20"/>
                    </w:rPr>
                    <w:t>5.</w:t>
                  </w:r>
                  <w:r>
                    <w:rPr>
                      <w:rFonts w:ascii="仿宋_GB2312" w:hAnsi="仿宋_GB2312" w:cs="仿宋_GB2312" w:eastAsia="仿宋_GB2312"/>
                      <w:sz w:val="20"/>
                    </w:rPr>
                    <w:t>▲支持对音频、视频文件进行检查监控，支持wav、mp3、m4a、wma、aac、amr、ape、flac等音频文件；支持3gp、avi、flv、mkv、mov、mpeg、wmv、mp4、webm、rmvb等视频文件（提供产品功能截图）；</w:t>
                  </w:r>
                </w:p>
                <w:p>
                  <w:pPr>
                    <w:pStyle w:val="null3"/>
                    <w:ind w:left="420"/>
                    <w:jc w:val="both"/>
                  </w:pPr>
                  <w:r>
                    <w:rPr>
                      <w:rFonts w:ascii="仿宋_GB2312" w:hAnsi="仿宋_GB2312" w:cs="仿宋_GB2312" w:eastAsia="仿宋_GB2312"/>
                      <w:sz w:val="20"/>
                    </w:rPr>
                    <w:t>6.</w:t>
                  </w:r>
                  <w:r>
                    <w:rPr>
                      <w:rFonts w:ascii="仿宋_GB2312" w:hAnsi="仿宋_GB2312" w:cs="仿宋_GB2312" w:eastAsia="仿宋_GB2312"/>
                      <w:sz w:val="20"/>
                    </w:rPr>
                    <w:t>支持设置使用痕迹检查，可检查计算机终端</w:t>
                  </w:r>
                  <w:r>
                    <w:rPr>
                      <w:rFonts w:ascii="仿宋_GB2312" w:hAnsi="仿宋_GB2312" w:cs="仿宋_GB2312" w:eastAsia="仿宋_GB2312"/>
                      <w:sz w:val="20"/>
                    </w:rPr>
                    <w:t>USB插拔痕迹，记录设备的PID、VID、序列号、厂商、名称等，可区分手机使用痕迹、存储介质使用痕迹、无线WiFi、红外、蓝牙使用痕迹和其他USB痕迹，支持检查USB使用痕迹反取证信息；</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rPr>
                    <w:t>支持检查计算机使用过的</w:t>
                  </w:r>
                  <w:r>
                    <w:rPr>
                      <w:rFonts w:ascii="仿宋_GB2312" w:hAnsi="仿宋_GB2312" w:cs="仿宋_GB2312" w:eastAsia="仿宋_GB2312"/>
                      <w:sz w:val="20"/>
                    </w:rPr>
                    <w:t>USB设备情况，包括设备的PID、VID、序列号、厂商、名称等，可区分手机使用痕迹、存储设备使用痕迹、无线红外蓝牙使用痕迹和其他USB痕迹，支持对USB使用痕迹的反取证检查；</w:t>
                  </w:r>
                </w:p>
                <w:p>
                  <w:pPr>
                    <w:pStyle w:val="null3"/>
                    <w:ind w:left="420"/>
                    <w:jc w:val="both"/>
                  </w:pPr>
                  <w:r>
                    <w:rPr>
                      <w:rFonts w:ascii="仿宋_GB2312" w:hAnsi="仿宋_GB2312" w:cs="仿宋_GB2312" w:eastAsia="仿宋_GB2312"/>
                      <w:sz w:val="20"/>
                    </w:rPr>
                    <w:t>8.</w:t>
                  </w:r>
                  <w:r>
                    <w:rPr>
                      <w:rFonts w:ascii="仿宋_GB2312" w:hAnsi="仿宋_GB2312" w:cs="仿宋_GB2312" w:eastAsia="仿宋_GB2312"/>
                      <w:sz w:val="20"/>
                    </w:rPr>
                    <w:t>支持终端行为监控功能，实时监控终端操作敏感文件（含地理信息文件、音视频文件）行为，支持捕获终端本地操作文件行为（新建、打开、复制、剪切、删除、重命名、删除后恢复）、移动存储介质操作文件行为（终端与移动存储介质之间的复制、剪切、刻录）、通过网络操作文件（</w:t>
                  </w:r>
                  <w:r>
                    <w:rPr>
                      <w:rFonts w:ascii="仿宋_GB2312" w:hAnsi="仿宋_GB2312" w:cs="仿宋_GB2312" w:eastAsia="仿宋_GB2312"/>
                      <w:sz w:val="20"/>
                    </w:rPr>
                    <w:t>QQ、微信、腾讯通、FeiQ、邮件、FTP、蓝牙、远程桌面、打印）；</w:t>
                  </w:r>
                </w:p>
                <w:p>
                  <w:pPr>
                    <w:pStyle w:val="null3"/>
                    <w:ind w:left="420"/>
                    <w:jc w:val="both"/>
                  </w:pPr>
                  <w:r>
                    <w:rPr>
                      <w:rFonts w:ascii="仿宋_GB2312" w:hAnsi="仿宋_GB2312" w:cs="仿宋_GB2312" w:eastAsia="仿宋_GB2312"/>
                      <w:sz w:val="20"/>
                    </w:rPr>
                    <w:t>9.</w:t>
                  </w:r>
                  <w:r>
                    <w:rPr>
                      <w:rFonts w:ascii="仿宋_GB2312" w:hAnsi="仿宋_GB2312" w:cs="仿宋_GB2312" w:eastAsia="仿宋_GB2312"/>
                      <w:sz w:val="20"/>
                    </w:rPr>
                    <w:t>▲支持文件（含地理信息文件、音视频文件）信任区功能，在文件被外发阻断时，终端用户可将文件加入信任区，加入信任区的文件允许外发，静默记录外发告警信息（提供产品功能截图）；</w:t>
                  </w:r>
                </w:p>
                <w:p>
                  <w:pPr>
                    <w:pStyle w:val="null3"/>
                    <w:ind w:left="420"/>
                    <w:jc w:val="both"/>
                  </w:pPr>
                  <w:r>
                    <w:rPr>
                      <w:rFonts w:ascii="仿宋_GB2312" w:hAnsi="仿宋_GB2312" w:cs="仿宋_GB2312" w:eastAsia="仿宋_GB2312"/>
                      <w:sz w:val="20"/>
                    </w:rPr>
                    <w:t>10.</w:t>
                  </w:r>
                  <w:r>
                    <w:rPr>
                      <w:rFonts w:ascii="仿宋_GB2312" w:hAnsi="仿宋_GB2312" w:cs="仿宋_GB2312" w:eastAsia="仿宋_GB2312"/>
                      <w:sz w:val="20"/>
                    </w:rPr>
                    <w:t>支持攻击窃密行为发现功能，基于威胁策略库的网络攻击监测策略，支持对远控木马、窃密木马等攻击行为的实时告警提醒。当发现终端访问恶意网址或回传数据时立即告警；</w:t>
                  </w:r>
                </w:p>
                <w:p>
                  <w:pPr>
                    <w:pStyle w:val="null3"/>
                    <w:ind w:left="420"/>
                    <w:jc w:val="both"/>
                  </w:pPr>
                  <w:r>
                    <w:rPr>
                      <w:rFonts w:ascii="仿宋_GB2312" w:hAnsi="仿宋_GB2312" w:cs="仿宋_GB2312" w:eastAsia="仿宋_GB2312"/>
                      <w:sz w:val="20"/>
                    </w:rPr>
                    <w:t>11.</w:t>
                  </w:r>
                  <w:r>
                    <w:rPr>
                      <w:rFonts w:ascii="仿宋_GB2312" w:hAnsi="仿宋_GB2312" w:cs="仿宋_GB2312" w:eastAsia="仿宋_GB2312"/>
                      <w:sz w:val="20"/>
                    </w:rPr>
                    <w:t>▲支持对违规文件（含地理信息文件、音视频文件）的彻底整改，可实现对检查或监测发现的违规文件的彻底消除。采用完整的磁介质擦写算法，确保被擦写后的数据不被恢复，防止敏感数据泄露（提供产品功能截图）。</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互联网出口保密监测器</w:t>
                  </w:r>
                </w:p>
              </w:tc>
              <w:tc>
                <w:tcPr>
                  <w:tcW w:type="dxa" w:w="2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▲利用现有互联网出口保密监测器，且可接入互联网自监管处置平台。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2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国产化服务器，国产</w:t>
                  </w:r>
                  <w:r>
                    <w:rPr>
                      <w:rFonts w:ascii="仿宋_GB2312" w:hAnsi="仿宋_GB2312" w:cs="仿宋_GB2312" w:eastAsia="仿宋_GB2312"/>
                      <w:sz w:val="20"/>
                    </w:rPr>
                    <w:t>CPU≥2颗，单颗核数≥16核，内存≥128GB，硬盘≥480GBSSD+2*4THDD，支持RAID0/1/5，≥4个千兆电口,双电源，包含国产化服务器操作系统1套，硬盘不返还服务（硬盘免回收服务），质保期3年。</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（1）供应商需参加采购人组织的运维单位考核，按照《陕西省交通运行监测中心信息化系统运维服务考核办法》执行。（2）合同期满，运维项目必须通过采购人验收。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其他，合同签订后供应商必须提供相应发票给采购人，达到付款条件起10个工作日内，支付合同总金额的100.0%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2.未按合同或政府采购招投标文件要求提供产品、服务，或供应的产品、服务质量不能满足采购人技术要求，经书面告知在合理期限内整改但仍不予调整的，采购人有权终止合同，并有权对违约行为进行追究。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采购人的违约责任：采购人因自身原因不按合同约定向供应商付款，每逾期一天，须按迟延付款额的0.01%向供应商支付延期付款的违约金。采购人不按照合同约定提供相关资料及其它协作事项的，应提前7日书面通知供应商，项目完成时间予以顺延。 5.供应商的违约责任：供应商未按照本合同约定保质保量提供产品或服务，经采购人催告后履行仍不符合合同约定的，采购人有权解除本合同，同时有权要求供应商按照合同价款的10%承担违约金。采购人维权支付的诉讼费、保全费、律师费等费用由供应商承担。 合同履行期限结束，供应商未能按期完成服务期限的内容，供应商应继续履行自身义务直至符合合同约定。同时从合同履行期限届满之日开始起算，每逾期一天按合同总金额的0.03%向采购人支付违约金。 若本项目经采购人验收不合格，采购人有权要求供应商在10日内整改完善，供应商必须予以整改完善。因此导致成果逾期提交的，履行期限不予顺延，每逾期一天，应按合同总金额的0.03%向采购人支付违约金；限期补充完善仍未达到采购人要求的，采购人有权单方解除合同，供应商除应承担上述逾期违约金外，还应赔偿因此给采购人造成的实际损失（例如：鉴定费、委托第三方为采购人提供完善项目所产生的费用、项目建设进度顺延给采购人造成的损失、诉讼费、律师费等），赔偿金额原则上不超过本合同总金额的30%，但采购人的实际损失超过合同总金额30%的，供应商应当承担补足责任。 甲乙双方任何一方违反保密义务的，违约方应向对方支付合同总金额10%的违约金，违约金不足以弥补对方损失的还应当承担补足责任。 供应商没有采购人的书面同意转让合同或将项目的全部或部分分包或转包出去，采购人可向供应商发出书面违约通知书，提出终止部分或全部合同。若采购人部分终止合同的，供应商应继续履行合同其他义务，并按照合同金额的10%支付违约金。若采购人全部终止合同的，供应商应按合同总金额30%的支付违约金。同时采购人的实际损失超过合同总金额30%的，供应商应当承担补足责任。 供应商违反合同约定的其它责任、义务视为违约，需向采购人支付合同总价款的30%违约金。同时采购人的实际损失超过合同总金额30%的，供应商应当承担补足责任。 合同争议的解决：合同执行中发生争议的，当事人双方应协商解决，协商达不成一致时，可向采购人所在地人民法院提请诉讼。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磋商小组认为供应商响应报价明显低于其他实质性响应的供应商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政府采购供应商拒绝政府采购领域商业贿赂承诺书 首轮报价表 分项报价表 响应承诺书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首轮报价表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符合磋商文件第三章“3.3商务要求”。</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供应商应满足磋商文件的实质性要求，也不得存在磋商文件规定的无效情形。</w:t>
            </w:r>
          </w:p>
        </w:tc>
        <w:tc>
          <w:tcPr>
            <w:tcW w:type="dxa" w:w="1661"/>
          </w:tcPr>
          <w:p>
            <w:pPr>
              <w:pStyle w:val="null3"/>
            </w:pPr>
            <w:r>
              <w:rPr>
                <w:rFonts w:ascii="仿宋_GB2312" w:hAnsi="仿宋_GB2312" w:cs="仿宋_GB2312" w:eastAsia="仿宋_GB2312"/>
              </w:rPr>
              <w:t>首轮报价表 分项报价表 响应承诺书 中小企业声明函 供应商业绩一览表 响应文件封面 其他资格证明文件 政府采购供应商拒绝政府采购领域商业贿赂承诺书 残疾人福利性单位声明函 服务方案 商务要求应答表 响应函 监狱企业的证明文件 人员明细表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供应商应如实填写《产品技术参数响应表》，磋商小组根据技术需求参数及配置响应情况进行打分，各项技术参数指标及配置要求全部满足的得26分； 标▲项技术参数指标每有1项负偏离，扣2分，扣完为止。</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针对本项目工作过程中存在的重点、难点进行分析，重点、难点分析到位，并提出切实可行的解决办法，得10分； 重点、难点分析及解决办法一般，得7分；重点、难点分析及解决办法较差的得4分；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针对本项目的服务方案，内容包含：①服务流程；②完善保密管理制度并修订；③编制管理流程及记录表单、运行资料；④完善保密管理体系；⑤风险防范措施；⑥制定相关制度、操作规程；⑦质量管理控制措施；⑧应急管理机制及方案。 每有一项内容具体完整、针对性强、可行性高得2分； 每有一项内容基本满足项目需求、具有一定的针对性和可行性得1分； 每有一项内容缺失、缺乏针对性和可行性得0.5分； 未提供不得分。 本项最高得16分。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项目团队中每有一个具备本项目相关专业中级职称的人员得1分，每有一个具备本项目相关专业高级以上职称证书的人员得2分，最高得8分，一人同时持有两个以上职称证书的按最高职称计算，未提供不得分。 注：须提供人员身份证、职称证书扫描件。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人员明细表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提供针对本项目的培训方案，内容包含：①培训课程计划表、培训内容；②培训时间、地点、培训考核。 评审小组依据每家方案的完善性、可实施性、针对性进行评审。 方案内容具体完善、可行性高、针对性强的得10分； 方案内容较完整、基本符合项目需求，有一定的可行性、针对性得7分； 方案内容缺失、缺乏针对性、可行性得4分；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提供不小于三年质保服务，并详细描述售后服务体系、服务模式、售后服务流程、服务响应时间、故障服务处置、服务规范等内容。 质保承诺不低于3年，体系健全、模式清晰、流程完整、响应时效优、故障处置方案具体、服务规范完善，针对性强、可行性高得10分； 质保承诺不低于3年，售后体系、服务模式、流程、响应、故障处置、服务规范基本齐全，内容较完整、可行性较好得7分； 质保承诺不低于3年，表述笼统、针对性一般，仅满足基本最低要求得4分； 未承诺3年及以上质保，或未提供售后服务相关方案、关键内容严重缺失，得0分。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从2023年1月1日起至磋商响应文件递交截止时间（以合同签订时间为准）完成类似项目业绩，每提供一份计2分，最多得10分。 注：以磋商响应文件中所附的合同复印件为准。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满足竞争性磋商文件要求且最低的磋商报价为评审基准价，其价格分为满分。各供应商的报价得分按下列公式计算：报价得分=（基准价/磋商报价）×10磋商报价不完整的，不进入磋商基准价的计算，本项得0分。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首轮报价表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详见附件：其他资格证明文件</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详见附件：人员明细表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