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751AD9">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sz w:val="44"/>
          <w:szCs w:val="44"/>
          <w:lang w:val="en-US" w:eastAsia="zh-CN"/>
        </w:rPr>
      </w:pPr>
      <w:r>
        <w:rPr>
          <w:rFonts w:hint="eastAsia" w:ascii="方正小标宋简体" w:hAnsi="方正小标宋简体" w:eastAsia="方正小标宋简体" w:cs="方正小标宋简体"/>
          <w:b/>
          <w:sz w:val="44"/>
          <w:szCs w:val="44"/>
          <w:lang w:val="en-US" w:eastAsia="zh-CN"/>
        </w:rPr>
        <w:t>2026年西安市阎良区残疾人托养项目</w:t>
      </w:r>
    </w:p>
    <w:p w14:paraId="46A6157B">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sz w:val="44"/>
          <w:szCs w:val="44"/>
          <w:lang w:val="en-US" w:eastAsia="zh-CN"/>
        </w:rPr>
        <w:t>政府采购需求书</w:t>
      </w:r>
      <w:r>
        <w:rPr>
          <w:rFonts w:hint="eastAsia" w:ascii="方正小标宋简体" w:hAnsi="方正小标宋简体" w:eastAsia="方正小标宋简体" w:cs="方正小标宋简体"/>
          <w:b/>
          <w:sz w:val="44"/>
          <w:szCs w:val="44"/>
        </w:rPr>
        <w:t>（服务类）</w:t>
      </w:r>
    </w:p>
    <w:tbl>
      <w:tblPr>
        <w:tblStyle w:val="8"/>
        <w:tblW w:w="95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689"/>
        <w:gridCol w:w="1556"/>
        <w:gridCol w:w="7273"/>
      </w:tblGrid>
      <w:tr w14:paraId="1C2FF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611" w:hRule="atLeast"/>
          <w:jc w:val="center"/>
        </w:trPr>
        <w:tc>
          <w:tcPr>
            <w:tcW w:w="689" w:type="dxa"/>
            <w:vAlign w:val="center"/>
          </w:tcPr>
          <w:p w14:paraId="6702B221">
            <w:pPr>
              <w:snapToGrid w:val="0"/>
              <w:jc w:val="center"/>
              <w:rPr>
                <w:rFonts w:ascii="宋体" w:hAnsi="宋体"/>
                <w:b/>
                <w:sz w:val="24"/>
              </w:rPr>
            </w:pPr>
            <w:r>
              <w:rPr>
                <w:rFonts w:hint="eastAsia" w:ascii="宋体" w:hAnsi="宋体"/>
                <w:b/>
                <w:sz w:val="28"/>
                <w:szCs w:val="28"/>
                <w:lang w:val="zh-CN"/>
              </w:rPr>
              <w:t>序号</w:t>
            </w:r>
          </w:p>
        </w:tc>
        <w:tc>
          <w:tcPr>
            <w:tcW w:w="1556" w:type="dxa"/>
            <w:vAlign w:val="center"/>
          </w:tcPr>
          <w:p w14:paraId="633043AE">
            <w:pPr>
              <w:pStyle w:val="31"/>
              <w:ind w:left="38"/>
              <w:jc w:val="center"/>
              <w:rPr>
                <w:b/>
                <w:kern w:val="2"/>
                <w:lang w:val="zh-CN"/>
              </w:rPr>
            </w:pPr>
            <w:r>
              <w:rPr>
                <w:rFonts w:hint="eastAsia"/>
                <w:b/>
                <w:kern w:val="2"/>
                <w:sz w:val="28"/>
                <w:szCs w:val="28"/>
                <w:lang w:val="zh-CN"/>
              </w:rPr>
              <w:t>关键事项</w:t>
            </w:r>
          </w:p>
        </w:tc>
        <w:tc>
          <w:tcPr>
            <w:tcW w:w="7273" w:type="dxa"/>
            <w:vAlign w:val="center"/>
          </w:tcPr>
          <w:p w14:paraId="2CCFE7AF">
            <w:pPr>
              <w:pStyle w:val="31"/>
              <w:jc w:val="center"/>
              <w:rPr>
                <w:b/>
                <w:kern w:val="2"/>
                <w:lang w:val="zh-CN"/>
              </w:rPr>
            </w:pPr>
            <w:r>
              <w:rPr>
                <w:rFonts w:hint="eastAsia"/>
                <w:b/>
                <w:kern w:val="2"/>
                <w:sz w:val="28"/>
                <w:szCs w:val="28"/>
                <w:lang w:val="zh-CN"/>
              </w:rPr>
              <w:t>说明和要求</w:t>
            </w:r>
          </w:p>
        </w:tc>
      </w:tr>
      <w:tr w14:paraId="4BD31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Align w:val="center"/>
          </w:tcPr>
          <w:p w14:paraId="35682757">
            <w:pPr>
              <w:snapToGrid w:val="0"/>
              <w:spacing w:after="200"/>
              <w:jc w:val="center"/>
              <w:rPr>
                <w:rFonts w:ascii="宋体" w:hAnsi="宋体"/>
                <w:sz w:val="28"/>
                <w:szCs w:val="28"/>
                <w:lang w:val="zh-CN"/>
              </w:rPr>
            </w:pPr>
            <w:r>
              <w:rPr>
                <w:rFonts w:ascii="宋体" w:hAnsi="宋体"/>
                <w:sz w:val="28"/>
                <w:szCs w:val="28"/>
                <w:lang w:val="zh-CN"/>
              </w:rPr>
              <w:t>1</w:t>
            </w:r>
          </w:p>
        </w:tc>
        <w:tc>
          <w:tcPr>
            <w:tcW w:w="1556" w:type="dxa"/>
            <w:vAlign w:val="center"/>
          </w:tcPr>
          <w:p w14:paraId="44F4DB7B">
            <w:pPr>
              <w:pStyle w:val="31"/>
              <w:ind w:left="38"/>
              <w:jc w:val="center"/>
              <w:rPr>
                <w:kern w:val="2"/>
                <w:lang w:val="zh-CN"/>
              </w:rPr>
            </w:pPr>
            <w:r>
              <w:rPr>
                <w:rFonts w:hint="eastAsia"/>
                <w:kern w:val="2"/>
                <w:lang w:val="zh-CN"/>
              </w:rPr>
              <w:t>采购预算</w:t>
            </w:r>
          </w:p>
        </w:tc>
        <w:tc>
          <w:tcPr>
            <w:tcW w:w="7273" w:type="dxa"/>
            <w:vAlign w:val="center"/>
          </w:tcPr>
          <w:p w14:paraId="2CAC1869">
            <w:pPr>
              <w:pStyle w:val="31"/>
              <w:keepNext w:val="0"/>
              <w:keepLines w:val="0"/>
              <w:pageBreakBefore w:val="0"/>
              <w:widowControl w:val="0"/>
              <w:kinsoku/>
              <w:wordWrap/>
              <w:overflowPunct/>
              <w:topLinePunct w:val="0"/>
              <w:autoSpaceDE w:val="0"/>
              <w:autoSpaceDN w:val="0"/>
              <w:bidi w:val="0"/>
              <w:adjustRightInd w:val="0"/>
              <w:snapToGrid/>
              <w:spacing w:line="400" w:lineRule="exact"/>
              <w:jc w:val="both"/>
              <w:textAlignment w:val="auto"/>
              <w:rPr>
                <w:b/>
                <w:kern w:val="2"/>
                <w:lang w:val="zh-CN"/>
              </w:rPr>
            </w:pPr>
            <w:r>
              <w:rPr>
                <w:rFonts w:hint="eastAsia"/>
                <w:b/>
                <w:kern w:val="2"/>
                <w:lang w:val="zh-CN"/>
              </w:rPr>
              <w:t>人民币</w:t>
            </w:r>
            <w:r>
              <w:rPr>
                <w:rFonts w:hint="eastAsia"/>
                <w:b/>
                <w:kern w:val="2"/>
                <w:u w:val="single"/>
                <w:lang w:val="en-US" w:eastAsia="zh-CN"/>
              </w:rPr>
              <w:t>570000.00</w:t>
            </w:r>
            <w:r>
              <w:rPr>
                <w:rFonts w:hint="eastAsia"/>
                <w:b/>
                <w:kern w:val="2"/>
                <w:lang w:val="zh-CN"/>
              </w:rPr>
              <w:t>元</w:t>
            </w:r>
          </w:p>
          <w:p w14:paraId="39D35513">
            <w:pPr>
              <w:pStyle w:val="31"/>
              <w:keepNext w:val="0"/>
              <w:keepLines w:val="0"/>
              <w:pageBreakBefore w:val="0"/>
              <w:widowControl w:val="0"/>
              <w:kinsoku/>
              <w:wordWrap/>
              <w:overflowPunct/>
              <w:topLinePunct w:val="0"/>
              <w:autoSpaceDE w:val="0"/>
              <w:autoSpaceDN w:val="0"/>
              <w:bidi w:val="0"/>
              <w:adjustRightInd w:val="0"/>
              <w:snapToGrid/>
              <w:spacing w:line="400" w:lineRule="exact"/>
              <w:jc w:val="both"/>
              <w:textAlignment w:val="auto"/>
              <w:rPr>
                <w:b/>
                <w:kern w:val="2"/>
                <w:lang w:val="zh-CN"/>
              </w:rPr>
            </w:pPr>
            <w:r>
              <w:rPr>
                <w:rFonts w:hint="eastAsia"/>
                <w:kern w:val="2"/>
                <w:sz w:val="21"/>
                <w:szCs w:val="21"/>
                <w:lang w:val="zh-CN"/>
              </w:rPr>
              <w:t>仅指与本次采购标的直接相关的费用，前期勘察费、设计费等已发生的费用，以及监理费、接口费等为未来预留费用，不应当包含在本项目采购预算内，甲方须向本级财政部门经费业务处室申请办理经费剥离手续。</w:t>
            </w:r>
          </w:p>
        </w:tc>
      </w:tr>
      <w:tr w14:paraId="2857B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Align w:val="center"/>
          </w:tcPr>
          <w:p w14:paraId="456AF395">
            <w:pPr>
              <w:snapToGrid w:val="0"/>
              <w:spacing w:after="200"/>
              <w:jc w:val="center"/>
              <w:rPr>
                <w:rFonts w:ascii="宋体" w:hAnsi="宋体"/>
                <w:sz w:val="28"/>
                <w:szCs w:val="28"/>
                <w:lang w:val="zh-CN"/>
              </w:rPr>
            </w:pPr>
            <w:r>
              <w:rPr>
                <w:rFonts w:ascii="宋体" w:hAnsi="宋体"/>
                <w:sz w:val="28"/>
                <w:szCs w:val="28"/>
                <w:lang w:val="zh-CN"/>
              </w:rPr>
              <w:t>2</w:t>
            </w:r>
          </w:p>
        </w:tc>
        <w:tc>
          <w:tcPr>
            <w:tcW w:w="1556" w:type="dxa"/>
            <w:vAlign w:val="center"/>
          </w:tcPr>
          <w:p w14:paraId="149A4D16">
            <w:pPr>
              <w:pStyle w:val="31"/>
              <w:ind w:left="38"/>
              <w:jc w:val="center"/>
              <w:rPr>
                <w:kern w:val="2"/>
                <w:lang w:val="zh-CN"/>
              </w:rPr>
            </w:pPr>
            <w:r>
              <w:rPr>
                <w:rFonts w:hint="eastAsia"/>
                <w:kern w:val="2"/>
                <w:lang w:val="zh-CN"/>
              </w:rPr>
              <w:t>最高限价</w:t>
            </w:r>
          </w:p>
        </w:tc>
        <w:tc>
          <w:tcPr>
            <w:tcW w:w="7273" w:type="dxa"/>
            <w:vAlign w:val="center"/>
          </w:tcPr>
          <w:p w14:paraId="37D2A3F7">
            <w:pPr>
              <w:pStyle w:val="31"/>
              <w:keepNext w:val="0"/>
              <w:keepLines w:val="0"/>
              <w:pageBreakBefore w:val="0"/>
              <w:widowControl w:val="0"/>
              <w:kinsoku/>
              <w:wordWrap/>
              <w:overflowPunct/>
              <w:topLinePunct w:val="0"/>
              <w:autoSpaceDE w:val="0"/>
              <w:autoSpaceDN w:val="0"/>
              <w:bidi w:val="0"/>
              <w:adjustRightInd w:val="0"/>
              <w:snapToGrid/>
              <w:spacing w:line="400" w:lineRule="exact"/>
              <w:jc w:val="both"/>
              <w:textAlignment w:val="auto"/>
              <w:rPr>
                <w:b/>
                <w:kern w:val="2"/>
                <w:lang w:val="zh-CN"/>
              </w:rPr>
            </w:pPr>
            <w:r>
              <w:rPr>
                <w:rFonts w:hint="eastAsia"/>
                <w:b/>
                <w:kern w:val="2"/>
                <w:lang w:val="zh-CN"/>
              </w:rPr>
              <w:t>人民币</w:t>
            </w:r>
            <w:r>
              <w:rPr>
                <w:rFonts w:hint="eastAsia"/>
                <w:b/>
                <w:kern w:val="2"/>
                <w:u w:val="single"/>
                <w:lang w:val="en-US" w:eastAsia="zh-CN"/>
              </w:rPr>
              <w:t>570000.00</w:t>
            </w:r>
            <w:r>
              <w:rPr>
                <w:rFonts w:hint="eastAsia"/>
                <w:b/>
                <w:kern w:val="2"/>
                <w:lang w:val="zh-CN"/>
              </w:rPr>
              <w:t>元</w:t>
            </w:r>
          </w:p>
          <w:p w14:paraId="1B816B95">
            <w:pPr>
              <w:pStyle w:val="31"/>
              <w:keepNext w:val="0"/>
              <w:keepLines w:val="0"/>
              <w:pageBreakBefore w:val="0"/>
              <w:widowControl w:val="0"/>
              <w:kinsoku/>
              <w:wordWrap/>
              <w:overflowPunct/>
              <w:topLinePunct w:val="0"/>
              <w:autoSpaceDE w:val="0"/>
              <w:autoSpaceDN w:val="0"/>
              <w:bidi w:val="0"/>
              <w:adjustRightInd w:val="0"/>
              <w:snapToGrid/>
              <w:spacing w:line="400" w:lineRule="exact"/>
              <w:ind w:left="38"/>
              <w:jc w:val="both"/>
              <w:textAlignment w:val="auto"/>
              <w:rPr>
                <w:b/>
                <w:kern w:val="2"/>
                <w:lang w:val="zh-CN"/>
              </w:rPr>
            </w:pPr>
            <w:r>
              <w:rPr>
                <w:rFonts w:hint="eastAsia"/>
                <w:kern w:val="2"/>
                <w:sz w:val="21"/>
                <w:szCs w:val="21"/>
                <w:lang w:val="zh-CN"/>
              </w:rPr>
              <w:t>供应商投标报价高于最高限价的则其投标文件将按无效投标文件处理。</w:t>
            </w:r>
          </w:p>
        </w:tc>
      </w:tr>
      <w:tr w14:paraId="335D4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Merge w:val="restart"/>
            <w:vAlign w:val="center"/>
          </w:tcPr>
          <w:p w14:paraId="70D20D80">
            <w:pPr>
              <w:snapToGrid w:val="0"/>
              <w:spacing w:after="200"/>
              <w:jc w:val="center"/>
              <w:rPr>
                <w:rFonts w:ascii="宋体" w:hAnsi="宋体"/>
                <w:sz w:val="28"/>
                <w:szCs w:val="28"/>
                <w:lang w:val="zh-CN"/>
              </w:rPr>
            </w:pPr>
            <w:r>
              <w:rPr>
                <w:rFonts w:ascii="宋体" w:hAnsi="宋体"/>
                <w:sz w:val="28"/>
                <w:szCs w:val="28"/>
                <w:lang w:val="zh-CN"/>
              </w:rPr>
              <w:t>3</w:t>
            </w:r>
          </w:p>
        </w:tc>
        <w:tc>
          <w:tcPr>
            <w:tcW w:w="1556" w:type="dxa"/>
            <w:vMerge w:val="restart"/>
            <w:vAlign w:val="center"/>
          </w:tcPr>
          <w:p w14:paraId="79AE4C47">
            <w:pPr>
              <w:pStyle w:val="31"/>
              <w:ind w:left="38"/>
              <w:jc w:val="center"/>
              <w:rPr>
                <w:kern w:val="2"/>
                <w:lang w:val="zh-CN"/>
              </w:rPr>
            </w:pPr>
            <w:r>
              <w:rPr>
                <w:rFonts w:hint="eastAsia"/>
                <w:kern w:val="2"/>
                <w:lang w:val="zh-CN"/>
              </w:rPr>
              <w:t>项目性质</w:t>
            </w:r>
          </w:p>
        </w:tc>
        <w:tc>
          <w:tcPr>
            <w:tcW w:w="7273" w:type="dxa"/>
            <w:vAlign w:val="center"/>
          </w:tcPr>
          <w:p w14:paraId="7B6CBD35">
            <w:pPr>
              <w:pStyle w:val="31"/>
              <w:keepNext w:val="0"/>
              <w:keepLines w:val="0"/>
              <w:pageBreakBefore w:val="0"/>
              <w:widowControl w:val="0"/>
              <w:kinsoku/>
              <w:wordWrap/>
              <w:overflowPunct/>
              <w:topLinePunct w:val="0"/>
              <w:autoSpaceDE w:val="0"/>
              <w:autoSpaceDN w:val="0"/>
              <w:bidi w:val="0"/>
              <w:adjustRightInd w:val="0"/>
              <w:snapToGrid/>
              <w:spacing w:line="400" w:lineRule="exact"/>
              <w:jc w:val="both"/>
              <w:textAlignment w:val="auto"/>
              <w:rPr>
                <w:b/>
                <w:kern w:val="2"/>
                <w:lang w:val="zh-CN"/>
              </w:rPr>
            </w:pPr>
            <w:r>
              <w:rPr>
                <w:rFonts w:hint="eastAsia" w:ascii="黑体" w:hAnsi="黑体" w:eastAsia="黑体" w:cs="黑体"/>
                <w:b/>
                <w:bCs/>
                <w:kern w:val="2"/>
                <w:sz w:val="21"/>
                <w:szCs w:val="21"/>
                <w:lang w:val="zh-CN"/>
              </w:rPr>
              <w:t>√</w:t>
            </w:r>
            <w:r>
              <w:rPr>
                <w:rFonts w:hint="eastAsia" w:ascii="Arial" w:hAnsi="Arial" w:cs="Arial"/>
                <w:b/>
                <w:bCs/>
                <w:kern w:val="2"/>
                <w:sz w:val="21"/>
                <w:szCs w:val="21"/>
                <w:lang w:val="en-US" w:eastAsia="zh-CN"/>
              </w:rPr>
              <w:t xml:space="preserve"> </w:t>
            </w:r>
            <w:r>
              <w:rPr>
                <w:rFonts w:hint="eastAsia"/>
                <w:b/>
                <w:kern w:val="2"/>
                <w:lang w:val="zh-CN"/>
              </w:rPr>
              <w:t>专门面向中小企业采购</w:t>
            </w:r>
          </w:p>
          <w:p w14:paraId="1301D6D2">
            <w:pPr>
              <w:pStyle w:val="31"/>
              <w:keepNext w:val="0"/>
              <w:keepLines w:val="0"/>
              <w:pageBreakBefore w:val="0"/>
              <w:widowControl w:val="0"/>
              <w:kinsoku/>
              <w:wordWrap/>
              <w:overflowPunct/>
              <w:topLinePunct w:val="0"/>
              <w:autoSpaceDE w:val="0"/>
              <w:autoSpaceDN w:val="0"/>
              <w:bidi w:val="0"/>
              <w:adjustRightInd w:val="0"/>
              <w:snapToGrid/>
              <w:spacing w:line="400" w:lineRule="exact"/>
              <w:ind w:left="38"/>
              <w:jc w:val="both"/>
              <w:textAlignment w:val="auto"/>
              <w:rPr>
                <w:b/>
                <w:kern w:val="2"/>
                <w:lang w:val="zh-CN"/>
              </w:rPr>
            </w:pPr>
            <w:r>
              <w:rPr>
                <w:rFonts w:hint="eastAsia"/>
                <w:kern w:val="2"/>
                <w:sz w:val="21"/>
                <w:szCs w:val="21"/>
                <w:lang w:val="zh-CN"/>
              </w:rPr>
              <w:t>仅允许中小企业或小型、微型企业参与投标。</w:t>
            </w:r>
          </w:p>
        </w:tc>
      </w:tr>
      <w:tr w14:paraId="6C98C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Merge w:val="continue"/>
            <w:vAlign w:val="center"/>
          </w:tcPr>
          <w:p w14:paraId="0E191CE2">
            <w:pPr>
              <w:snapToGrid w:val="0"/>
              <w:spacing w:after="200"/>
              <w:ind w:left="142"/>
              <w:jc w:val="center"/>
              <w:rPr>
                <w:rFonts w:ascii="宋体" w:hAnsi="宋体"/>
                <w:b/>
                <w:sz w:val="28"/>
                <w:szCs w:val="28"/>
                <w:lang w:val="zh-CN"/>
              </w:rPr>
            </w:pPr>
          </w:p>
        </w:tc>
        <w:tc>
          <w:tcPr>
            <w:tcW w:w="1556" w:type="dxa"/>
            <w:vMerge w:val="continue"/>
            <w:vAlign w:val="center"/>
          </w:tcPr>
          <w:p w14:paraId="7DE7C309">
            <w:pPr>
              <w:pStyle w:val="31"/>
              <w:ind w:left="96"/>
              <w:jc w:val="center"/>
              <w:rPr>
                <w:kern w:val="2"/>
                <w:lang w:val="zh-CN"/>
              </w:rPr>
            </w:pPr>
          </w:p>
        </w:tc>
        <w:tc>
          <w:tcPr>
            <w:tcW w:w="7273" w:type="dxa"/>
            <w:vAlign w:val="center"/>
          </w:tcPr>
          <w:p w14:paraId="292476B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
                <w:kern w:val="2"/>
                <w:sz w:val="24"/>
                <w:szCs w:val="24"/>
                <w:lang w:val="zh-CN" w:eastAsia="zh-CN" w:bidi="ar-SA"/>
              </w:rPr>
            </w:pPr>
            <w:r>
              <w:rPr>
                <w:rFonts w:hint="eastAsia" w:ascii="宋体" w:hAnsi="宋体" w:eastAsia="宋体" w:cs="宋体"/>
                <w:b/>
                <w:kern w:val="2"/>
                <w:sz w:val="24"/>
                <w:szCs w:val="24"/>
                <w:lang w:val="zh-CN" w:eastAsia="zh-CN" w:bidi="ar-SA"/>
              </w:rPr>
              <w:t>○非专门面向中小企业采购</w:t>
            </w:r>
          </w:p>
          <w:p w14:paraId="6B464FAB">
            <w:pPr>
              <w:keepNext w:val="0"/>
              <w:keepLines w:val="0"/>
              <w:pageBreakBefore w:val="0"/>
              <w:widowControl w:val="0"/>
              <w:kinsoku/>
              <w:wordWrap/>
              <w:overflowPunct/>
              <w:topLinePunct w:val="0"/>
              <w:autoSpaceDE/>
              <w:autoSpaceDN/>
              <w:bidi w:val="0"/>
              <w:adjustRightInd/>
              <w:snapToGrid/>
              <w:spacing w:line="400" w:lineRule="exact"/>
              <w:ind w:right="94" w:rightChars="45"/>
              <w:textAlignment w:val="auto"/>
              <w:rPr>
                <w:rFonts w:ascii="宋体" w:hAnsi="宋体"/>
                <w:b/>
                <w:szCs w:val="21"/>
              </w:rPr>
            </w:pPr>
            <w:r>
              <w:rPr>
                <w:rFonts w:hint="eastAsia" w:ascii="宋体" w:hAnsi="宋体" w:eastAsia="宋体" w:cs="宋体"/>
                <w:kern w:val="2"/>
                <w:sz w:val="21"/>
                <w:szCs w:val="21"/>
                <w:lang w:val="zh-CN" w:eastAsia="zh-CN" w:bidi="ar-SA"/>
              </w:rPr>
              <w:t>对符合《财政部关于进一步加大政府采购支持中小企业力度的通知》（财库〔2022〕19号）规定的小微企业（监狱企业视同小型、微型企业）的报价给予___%（10%-20%）的扣除，用扣除后的价格参加评审。</w:t>
            </w:r>
          </w:p>
        </w:tc>
      </w:tr>
      <w:tr w14:paraId="48074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Align w:val="center"/>
          </w:tcPr>
          <w:p w14:paraId="3FE05D0D">
            <w:pPr>
              <w:snapToGrid w:val="0"/>
              <w:spacing w:after="200"/>
              <w:jc w:val="center"/>
              <w:rPr>
                <w:rFonts w:ascii="宋体" w:hAnsi="宋体"/>
                <w:sz w:val="24"/>
              </w:rPr>
            </w:pPr>
            <w:r>
              <w:rPr>
                <w:rFonts w:ascii="宋体" w:hAnsi="宋体"/>
                <w:sz w:val="24"/>
              </w:rPr>
              <w:t>4</w:t>
            </w:r>
          </w:p>
        </w:tc>
        <w:tc>
          <w:tcPr>
            <w:tcW w:w="1556" w:type="dxa"/>
            <w:vAlign w:val="center"/>
          </w:tcPr>
          <w:p w14:paraId="5073CC05">
            <w:pPr>
              <w:pStyle w:val="31"/>
              <w:ind w:left="96"/>
              <w:jc w:val="center"/>
              <w:rPr>
                <w:kern w:val="2"/>
                <w:lang w:val="zh-CN"/>
              </w:rPr>
            </w:pPr>
            <w:r>
              <w:rPr>
                <w:kern w:val="2"/>
                <w:lang w:val="zh-CN"/>
              </w:rPr>
              <w:t>对供应商的</w:t>
            </w:r>
          </w:p>
          <w:p w14:paraId="5D2698FF">
            <w:pPr>
              <w:pStyle w:val="31"/>
              <w:ind w:left="96"/>
              <w:jc w:val="center"/>
              <w:rPr>
                <w:kern w:val="2"/>
                <w:lang w:val="zh-CN"/>
              </w:rPr>
            </w:pPr>
            <w:r>
              <w:rPr>
                <w:kern w:val="2"/>
                <w:lang w:val="zh-CN"/>
              </w:rPr>
              <w:t>资格要求</w:t>
            </w:r>
          </w:p>
        </w:tc>
        <w:tc>
          <w:tcPr>
            <w:tcW w:w="7273" w:type="dxa"/>
            <w:vAlign w:val="center"/>
          </w:tcPr>
          <w:p w14:paraId="548973ED">
            <w:pPr>
              <w:pStyle w:val="31"/>
              <w:jc w:val="both"/>
              <w:rPr>
                <w:rFonts w:hint="eastAsia" w:ascii="宋体" w:hAnsi="宋体" w:eastAsia="宋体" w:cs="宋体"/>
                <w:kern w:val="2"/>
                <w:sz w:val="21"/>
                <w:szCs w:val="21"/>
                <w:lang w:val="zh-CN" w:eastAsia="zh-CN"/>
              </w:rPr>
            </w:pPr>
            <w:r>
              <w:rPr>
                <w:rFonts w:hint="eastAsia" w:ascii="宋体" w:hAnsi="宋体" w:eastAsia="宋体" w:cs="宋体"/>
                <w:kern w:val="2"/>
                <w:sz w:val="21"/>
                <w:szCs w:val="21"/>
                <w:lang w:val="zh-CN" w:eastAsia="zh-CN"/>
              </w:rPr>
              <w:t>1、供应商须具有独立承担民事责任能力的法人、其他组织或自然人，提供营业执照/事业单位法人证书/非企业专业服务机构执业许可证/自然人身份证；</w:t>
            </w:r>
          </w:p>
          <w:p w14:paraId="6395B55E">
            <w:pPr>
              <w:pStyle w:val="31"/>
              <w:jc w:val="both"/>
              <w:rPr>
                <w:rFonts w:hint="eastAsia" w:ascii="宋体" w:hAnsi="宋体" w:eastAsia="宋体" w:cs="宋体"/>
                <w:kern w:val="2"/>
                <w:sz w:val="21"/>
                <w:szCs w:val="21"/>
                <w:lang w:val="zh-CN" w:eastAsia="zh-CN"/>
              </w:rPr>
            </w:pPr>
            <w:r>
              <w:rPr>
                <w:rFonts w:hint="eastAsia" w:ascii="宋体" w:hAnsi="宋体" w:eastAsia="宋体" w:cs="宋体"/>
                <w:kern w:val="2"/>
                <w:sz w:val="21"/>
                <w:szCs w:val="21"/>
                <w:lang w:val="zh-CN" w:eastAsia="zh-CN"/>
              </w:rPr>
              <w:t>2、供应商应授权合法的人员参加</w:t>
            </w:r>
            <w:r>
              <w:rPr>
                <w:rFonts w:hint="eastAsia" w:cs="宋体"/>
                <w:kern w:val="2"/>
                <w:sz w:val="21"/>
                <w:szCs w:val="21"/>
                <w:lang w:val="en-US" w:eastAsia="zh-CN"/>
              </w:rPr>
              <w:t>磋商</w:t>
            </w:r>
            <w:r>
              <w:rPr>
                <w:rFonts w:hint="eastAsia" w:ascii="宋体" w:hAnsi="宋体" w:eastAsia="宋体" w:cs="宋体"/>
                <w:kern w:val="2"/>
                <w:sz w:val="21"/>
                <w:szCs w:val="21"/>
                <w:lang w:val="zh-CN" w:eastAsia="zh-CN"/>
              </w:rPr>
              <w:t>全过程，其中法定代表人直接参加</w:t>
            </w:r>
            <w:r>
              <w:rPr>
                <w:rFonts w:hint="eastAsia" w:cs="宋体"/>
                <w:kern w:val="2"/>
                <w:sz w:val="21"/>
                <w:szCs w:val="21"/>
                <w:lang w:val="en-US" w:eastAsia="zh-CN"/>
              </w:rPr>
              <w:t>磋商</w:t>
            </w:r>
            <w:r>
              <w:rPr>
                <w:rFonts w:hint="eastAsia" w:ascii="宋体" w:hAnsi="宋体" w:eastAsia="宋体" w:cs="宋体"/>
                <w:kern w:val="2"/>
                <w:sz w:val="21"/>
                <w:szCs w:val="21"/>
                <w:lang w:val="zh-CN" w:eastAsia="zh-CN"/>
              </w:rPr>
              <w:t>的，须出具法人身份证复印件，并与营业执照上信息一致。法定代表人授权代表参加</w:t>
            </w:r>
            <w:r>
              <w:rPr>
                <w:rFonts w:hint="eastAsia" w:cs="宋体"/>
                <w:kern w:val="2"/>
                <w:sz w:val="21"/>
                <w:szCs w:val="21"/>
                <w:lang w:val="en-US" w:eastAsia="zh-CN"/>
              </w:rPr>
              <w:t>磋商</w:t>
            </w:r>
            <w:r>
              <w:rPr>
                <w:rFonts w:hint="eastAsia" w:ascii="宋体" w:hAnsi="宋体" w:eastAsia="宋体" w:cs="宋体"/>
                <w:kern w:val="2"/>
                <w:sz w:val="21"/>
                <w:szCs w:val="21"/>
                <w:lang w:val="zh-CN" w:eastAsia="zh-CN"/>
              </w:rPr>
              <w:t>的，须出具法定代表人授权书（授权代表需提供响应文件截止时间前近三个月内任意一个月本单位社会保险缴纳证明）；</w:t>
            </w:r>
          </w:p>
          <w:p w14:paraId="55449FE1">
            <w:pPr>
              <w:pStyle w:val="31"/>
              <w:jc w:val="both"/>
              <w:rPr>
                <w:rFonts w:hint="eastAsia" w:ascii="宋体" w:hAnsi="宋体" w:eastAsia="宋体" w:cs="宋体"/>
                <w:kern w:val="2"/>
                <w:sz w:val="21"/>
                <w:szCs w:val="21"/>
                <w:lang w:val="zh-CN" w:eastAsia="zh-CN"/>
              </w:rPr>
            </w:pPr>
            <w:r>
              <w:rPr>
                <w:rFonts w:hint="eastAsia" w:ascii="宋体" w:hAnsi="宋体" w:eastAsia="宋体" w:cs="宋体"/>
                <w:kern w:val="2"/>
                <w:sz w:val="21"/>
                <w:szCs w:val="21"/>
                <w:lang w:val="zh-CN" w:eastAsia="zh-CN"/>
              </w:rPr>
              <w:t>3、供应商须提供2025年度经审计的财务报告（包括报告正文、资产负债表、现金流量表、利润表、附注和会计师事务所营业执照，报告正文应当有会计师事务所公章和2名注册会计师的签字及盖章，且审计报告应当经过注册会计师行业统一监管平台备案赋码，成立时间至提交响应文件截止时间不足一年的可提供成立后任意时段的资产负债表）或提交响应文件截止时间三个月内其基本账户开户银行出具的资信证明（附基本存款账户信息）；</w:t>
            </w:r>
          </w:p>
          <w:p w14:paraId="7871A9A4">
            <w:pPr>
              <w:pStyle w:val="31"/>
              <w:jc w:val="both"/>
              <w:rPr>
                <w:rFonts w:hint="eastAsia" w:ascii="宋体" w:hAnsi="宋体" w:eastAsia="宋体" w:cs="宋体"/>
                <w:kern w:val="2"/>
                <w:sz w:val="21"/>
                <w:szCs w:val="21"/>
                <w:lang w:val="zh-CN" w:eastAsia="zh-CN"/>
              </w:rPr>
            </w:pPr>
            <w:r>
              <w:rPr>
                <w:rFonts w:hint="eastAsia" w:ascii="宋体" w:hAnsi="宋体" w:eastAsia="宋体" w:cs="宋体"/>
                <w:kern w:val="2"/>
                <w:sz w:val="21"/>
                <w:szCs w:val="21"/>
                <w:lang w:val="zh-CN" w:eastAsia="zh-CN"/>
              </w:rPr>
              <w:t>4</w:t>
            </w:r>
            <w:r>
              <w:rPr>
                <w:rFonts w:hint="eastAsia" w:cs="宋体"/>
                <w:kern w:val="2"/>
                <w:sz w:val="21"/>
                <w:szCs w:val="21"/>
                <w:lang w:val="zh-CN" w:eastAsia="zh-CN"/>
              </w:rPr>
              <w:t>、</w:t>
            </w:r>
            <w:r>
              <w:rPr>
                <w:rFonts w:hint="eastAsia" w:ascii="宋体" w:hAnsi="宋体" w:eastAsia="宋体" w:cs="宋体"/>
                <w:kern w:val="2"/>
                <w:sz w:val="21"/>
                <w:szCs w:val="21"/>
                <w:lang w:val="zh-CN" w:eastAsia="zh-CN"/>
              </w:rPr>
              <w:t>供应商提交响应文件截止时间前一年内至少一个月的纳税证明或完税证明，纳税证明或完税证明上应有代收机构或税务机关的公章或业务专用章。（依法免税的供应商应提供相应文件证明）；</w:t>
            </w:r>
          </w:p>
          <w:p w14:paraId="64932F79">
            <w:pPr>
              <w:pStyle w:val="31"/>
              <w:jc w:val="both"/>
              <w:rPr>
                <w:rFonts w:hint="eastAsia" w:ascii="宋体" w:hAnsi="宋体" w:eastAsia="宋体" w:cs="宋体"/>
                <w:kern w:val="2"/>
                <w:sz w:val="21"/>
                <w:szCs w:val="21"/>
                <w:lang w:val="zh-CN" w:eastAsia="zh-CN"/>
              </w:rPr>
            </w:pPr>
            <w:r>
              <w:rPr>
                <w:rFonts w:hint="eastAsia" w:ascii="宋体" w:hAnsi="宋体" w:eastAsia="宋体" w:cs="宋体"/>
                <w:kern w:val="2"/>
                <w:sz w:val="21"/>
                <w:szCs w:val="21"/>
                <w:lang w:val="zh-CN" w:eastAsia="zh-CN"/>
              </w:rPr>
              <w:t>5、供应商提交响应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p w14:paraId="41AE3589">
            <w:pPr>
              <w:pStyle w:val="31"/>
              <w:jc w:val="both"/>
              <w:rPr>
                <w:rFonts w:hint="eastAsia" w:ascii="宋体" w:hAnsi="宋体" w:eastAsia="宋体" w:cs="宋体"/>
                <w:kern w:val="2"/>
                <w:sz w:val="21"/>
                <w:szCs w:val="21"/>
                <w:lang w:val="zh-CN" w:eastAsia="zh-CN" w:bidi="ar-SA"/>
              </w:rPr>
            </w:pPr>
            <w:r>
              <w:rPr>
                <w:rFonts w:hint="eastAsia" w:cs="宋体"/>
                <w:kern w:val="2"/>
                <w:sz w:val="21"/>
                <w:szCs w:val="21"/>
                <w:lang w:val="en-US" w:eastAsia="zh-CN" w:bidi="ar-SA"/>
              </w:rPr>
              <w:t>6</w:t>
            </w:r>
            <w:r>
              <w:rPr>
                <w:rFonts w:hint="eastAsia" w:ascii="宋体" w:hAnsi="宋体" w:eastAsia="宋体" w:cs="宋体"/>
                <w:kern w:val="2"/>
                <w:sz w:val="21"/>
                <w:szCs w:val="21"/>
                <w:lang w:val="zh-CN" w:eastAsia="zh-CN" w:bidi="ar-SA"/>
              </w:rPr>
              <w:t>、供应商提供具有履行本合同所必需的设备和专业技术能力的承诺函；</w:t>
            </w:r>
          </w:p>
          <w:p w14:paraId="737FBFB4">
            <w:pPr>
              <w:pStyle w:val="31"/>
              <w:jc w:val="both"/>
              <w:rPr>
                <w:rFonts w:hint="eastAsia" w:ascii="宋体" w:hAnsi="宋体" w:eastAsia="宋体" w:cs="宋体"/>
                <w:kern w:val="2"/>
                <w:sz w:val="21"/>
                <w:szCs w:val="21"/>
                <w:lang w:val="zh-CN" w:eastAsia="zh-CN" w:bidi="ar-SA"/>
              </w:rPr>
            </w:pPr>
            <w:r>
              <w:rPr>
                <w:rFonts w:hint="eastAsia" w:cs="宋体"/>
                <w:kern w:val="2"/>
                <w:sz w:val="21"/>
                <w:szCs w:val="21"/>
                <w:lang w:val="en-US" w:eastAsia="zh-CN" w:bidi="ar-SA"/>
              </w:rPr>
              <w:t>7</w:t>
            </w:r>
            <w:r>
              <w:rPr>
                <w:rFonts w:hint="eastAsia" w:ascii="宋体" w:hAnsi="宋体" w:eastAsia="宋体" w:cs="宋体"/>
                <w:kern w:val="2"/>
                <w:sz w:val="21"/>
                <w:szCs w:val="21"/>
                <w:lang w:val="zh-CN" w:eastAsia="zh-CN" w:bidi="ar-SA"/>
              </w:rPr>
              <w:t>、供应商提供参加政府采购活动前3年内在经营活动中没有重大违法记录的书面声明；</w:t>
            </w:r>
          </w:p>
          <w:p w14:paraId="2A3674CC">
            <w:pPr>
              <w:pStyle w:val="31"/>
              <w:jc w:val="both"/>
              <w:rPr>
                <w:rFonts w:hint="eastAsia" w:ascii="宋体" w:hAnsi="宋体" w:eastAsia="宋体" w:cs="宋体"/>
                <w:kern w:val="2"/>
                <w:sz w:val="21"/>
                <w:szCs w:val="21"/>
                <w:lang w:val="zh-CN" w:eastAsia="zh-CN"/>
              </w:rPr>
            </w:pPr>
            <w:r>
              <w:rPr>
                <w:rFonts w:hint="eastAsia" w:cs="宋体"/>
                <w:kern w:val="2"/>
                <w:sz w:val="21"/>
                <w:szCs w:val="21"/>
                <w:lang w:val="en-US" w:eastAsia="zh-CN"/>
              </w:rPr>
              <w:t>8</w:t>
            </w:r>
            <w:r>
              <w:rPr>
                <w:rFonts w:hint="eastAsia" w:ascii="宋体" w:hAnsi="宋体" w:eastAsia="宋体" w:cs="宋体"/>
                <w:kern w:val="2"/>
                <w:sz w:val="21"/>
                <w:szCs w:val="21"/>
                <w:lang w:val="zh-CN" w:eastAsia="zh-CN"/>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50C8DE65">
            <w:pPr>
              <w:pStyle w:val="31"/>
              <w:keepNext w:val="0"/>
              <w:keepLines w:val="0"/>
              <w:pageBreakBefore w:val="0"/>
              <w:widowControl w:val="0"/>
              <w:kinsoku/>
              <w:wordWrap/>
              <w:overflowPunct/>
              <w:topLinePunct w:val="0"/>
              <w:autoSpaceDE w:val="0"/>
              <w:autoSpaceDN w:val="0"/>
              <w:bidi w:val="0"/>
              <w:adjustRightInd w:val="0"/>
              <w:snapToGrid/>
              <w:spacing w:line="400" w:lineRule="exact"/>
              <w:jc w:val="both"/>
              <w:textAlignment w:val="auto"/>
              <w:rPr>
                <w:rFonts w:hint="eastAsia" w:ascii="宋体" w:hAnsi="宋体" w:eastAsia="宋体" w:cs="宋体"/>
                <w:kern w:val="2"/>
                <w:sz w:val="21"/>
                <w:szCs w:val="21"/>
                <w:lang w:val="zh-CN" w:eastAsia="zh-CN"/>
              </w:rPr>
            </w:pPr>
            <w:r>
              <w:rPr>
                <w:rFonts w:hint="eastAsia" w:cs="宋体"/>
                <w:kern w:val="2"/>
                <w:sz w:val="21"/>
                <w:szCs w:val="21"/>
                <w:lang w:val="en-US" w:eastAsia="zh-CN"/>
              </w:rPr>
              <w:t>9</w:t>
            </w:r>
            <w:r>
              <w:rPr>
                <w:rFonts w:hint="eastAsia" w:ascii="宋体" w:hAnsi="宋体" w:eastAsia="宋体" w:cs="宋体"/>
                <w:kern w:val="2"/>
                <w:sz w:val="21"/>
                <w:szCs w:val="21"/>
                <w:lang w:val="zh-CN" w:eastAsia="zh-CN"/>
              </w:rPr>
              <w:t>、</w:t>
            </w:r>
            <w:bookmarkStart w:id="0" w:name="_GoBack"/>
            <w:r>
              <w:rPr>
                <w:rFonts w:hint="eastAsia" w:ascii="宋体" w:hAnsi="宋体" w:eastAsia="宋体" w:cs="宋体"/>
                <w:kern w:val="2"/>
                <w:sz w:val="21"/>
                <w:szCs w:val="21"/>
                <w:lang w:val="zh-CN" w:eastAsia="zh-CN"/>
              </w:rPr>
              <w:t>本项目不接受联合体</w:t>
            </w:r>
            <w:r>
              <w:rPr>
                <w:rFonts w:hint="eastAsia" w:cs="宋体"/>
                <w:kern w:val="2"/>
                <w:sz w:val="21"/>
                <w:szCs w:val="21"/>
                <w:lang w:val="en-US" w:eastAsia="zh-CN"/>
              </w:rPr>
              <w:t>磋商</w:t>
            </w:r>
            <w:r>
              <w:rPr>
                <w:rFonts w:hint="eastAsia" w:ascii="宋体" w:hAnsi="宋体" w:eastAsia="宋体" w:cs="宋体"/>
                <w:kern w:val="2"/>
                <w:sz w:val="21"/>
                <w:szCs w:val="21"/>
                <w:lang w:val="zh-CN" w:eastAsia="zh-CN"/>
              </w:rPr>
              <w:t>，单位负责人为同一人或者存在直接控股、管理关系的不同供应商不得参加同一合同项下的政府采购活动。</w:t>
            </w:r>
          </w:p>
          <w:bookmarkEnd w:id="0"/>
          <w:p w14:paraId="757D2905">
            <w:pPr>
              <w:pStyle w:val="31"/>
              <w:keepNext w:val="0"/>
              <w:keepLines w:val="0"/>
              <w:pageBreakBefore w:val="0"/>
              <w:widowControl w:val="0"/>
              <w:kinsoku/>
              <w:wordWrap/>
              <w:overflowPunct/>
              <w:topLinePunct w:val="0"/>
              <w:autoSpaceDE w:val="0"/>
              <w:autoSpaceDN w:val="0"/>
              <w:bidi w:val="0"/>
              <w:adjustRightInd w:val="0"/>
              <w:snapToGrid/>
              <w:spacing w:line="400" w:lineRule="exact"/>
              <w:jc w:val="both"/>
              <w:textAlignment w:val="auto"/>
              <w:rPr>
                <w:kern w:val="2"/>
                <w:lang w:val="zh-CN"/>
              </w:rPr>
            </w:pPr>
            <w:r>
              <w:rPr>
                <w:rFonts w:hint="eastAsia"/>
                <w:kern w:val="2"/>
                <w:sz w:val="21"/>
                <w:szCs w:val="21"/>
                <w:lang w:val="zh-CN"/>
              </w:rPr>
              <w:t>根据《政府采购促进中小企业发展管理办法》（财库〔2020〕46号）的规定,不得以企业注册资本、资产总额、营业收入、从业人员、利润、纳税额等规模条件和财务指标作为供应商的资格要求或者评审因素，不得在企业股权结构、经营年限等方面对中小企业实行差别待遇或者歧视待遇。</w:t>
            </w:r>
          </w:p>
        </w:tc>
      </w:tr>
      <w:tr w14:paraId="2CFEF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Merge w:val="restart"/>
            <w:vAlign w:val="center"/>
          </w:tcPr>
          <w:p w14:paraId="6076D9F9">
            <w:pPr>
              <w:snapToGrid w:val="0"/>
              <w:spacing w:after="200"/>
              <w:jc w:val="center"/>
              <w:rPr>
                <w:rFonts w:ascii="宋体" w:hAnsi="宋体"/>
                <w:sz w:val="24"/>
              </w:rPr>
            </w:pPr>
            <w:r>
              <w:rPr>
                <w:rFonts w:ascii="宋体" w:hAnsi="宋体"/>
                <w:sz w:val="24"/>
              </w:rPr>
              <w:t>5</w:t>
            </w:r>
          </w:p>
        </w:tc>
        <w:tc>
          <w:tcPr>
            <w:tcW w:w="1556" w:type="dxa"/>
            <w:vMerge w:val="restart"/>
            <w:vAlign w:val="center"/>
          </w:tcPr>
          <w:p w14:paraId="41562BB2">
            <w:pPr>
              <w:pStyle w:val="31"/>
              <w:ind w:left="96"/>
              <w:jc w:val="center"/>
              <w:rPr>
                <w:rFonts w:hint="eastAsia"/>
                <w:kern w:val="2"/>
                <w:lang w:val="zh-CN"/>
              </w:rPr>
            </w:pPr>
            <w:r>
              <w:rPr>
                <w:kern w:val="2"/>
                <w:lang w:val="zh-CN"/>
              </w:rPr>
              <w:t>是否</w:t>
            </w:r>
            <w:r>
              <w:rPr>
                <w:rFonts w:hint="eastAsia"/>
                <w:kern w:val="2"/>
                <w:lang w:val="zh-CN"/>
              </w:rPr>
              <w:t>接受</w:t>
            </w:r>
          </w:p>
          <w:p w14:paraId="2B675CFC">
            <w:pPr>
              <w:pStyle w:val="31"/>
              <w:ind w:left="96"/>
              <w:jc w:val="center"/>
              <w:rPr>
                <w:kern w:val="2"/>
                <w:lang w:val="zh-CN"/>
              </w:rPr>
            </w:pPr>
            <w:r>
              <w:rPr>
                <w:kern w:val="2"/>
                <w:lang w:val="zh-CN"/>
              </w:rPr>
              <w:t>联合体投标</w:t>
            </w:r>
          </w:p>
        </w:tc>
        <w:tc>
          <w:tcPr>
            <w:tcW w:w="7273" w:type="dxa"/>
            <w:vAlign w:val="center"/>
          </w:tcPr>
          <w:p w14:paraId="1760E8DE">
            <w:pPr>
              <w:pStyle w:val="31"/>
              <w:keepNext w:val="0"/>
              <w:keepLines w:val="0"/>
              <w:pageBreakBefore w:val="0"/>
              <w:widowControl w:val="0"/>
              <w:kinsoku/>
              <w:wordWrap/>
              <w:overflowPunct/>
              <w:topLinePunct w:val="0"/>
              <w:autoSpaceDE w:val="0"/>
              <w:autoSpaceDN w:val="0"/>
              <w:bidi w:val="0"/>
              <w:adjustRightInd w:val="0"/>
              <w:snapToGrid/>
              <w:spacing w:line="400" w:lineRule="exact"/>
              <w:jc w:val="both"/>
              <w:textAlignment w:val="auto"/>
              <w:rPr>
                <w:rFonts w:hint="eastAsia"/>
                <w:b/>
                <w:kern w:val="2"/>
                <w:lang w:val="zh-CN"/>
              </w:rPr>
            </w:pPr>
            <w:r>
              <w:rPr>
                <w:rFonts w:hint="eastAsia"/>
                <w:b/>
                <w:kern w:val="2"/>
                <w:lang w:val="zh-CN"/>
              </w:rPr>
              <w:t>○接受</w:t>
            </w:r>
          </w:p>
          <w:p w14:paraId="644D2092">
            <w:pPr>
              <w:pStyle w:val="31"/>
              <w:keepNext w:val="0"/>
              <w:keepLines w:val="0"/>
              <w:pageBreakBefore w:val="0"/>
              <w:widowControl w:val="0"/>
              <w:kinsoku/>
              <w:wordWrap/>
              <w:overflowPunct/>
              <w:topLinePunct w:val="0"/>
              <w:autoSpaceDE w:val="0"/>
              <w:autoSpaceDN w:val="0"/>
              <w:bidi w:val="0"/>
              <w:adjustRightInd w:val="0"/>
              <w:snapToGrid/>
              <w:spacing w:line="400" w:lineRule="exact"/>
              <w:jc w:val="both"/>
              <w:textAlignment w:val="auto"/>
              <w:rPr>
                <w:b/>
                <w:kern w:val="2"/>
                <w:lang w:val="zh-CN"/>
              </w:rPr>
            </w:pPr>
            <w:r>
              <w:rPr>
                <w:rFonts w:hint="eastAsia"/>
                <w:kern w:val="2"/>
                <w:sz w:val="21"/>
                <w:szCs w:val="21"/>
                <w:lang w:val="zh-CN"/>
              </w:rPr>
              <w:t>对于联合体协议或者分包意向协议约定小微企业的合同份额占到合同总金额30%以上的，对联合体或者大中型企业的报价给予___%（4%—6%）的扣除，用扣除后的报价参加评审。</w:t>
            </w:r>
          </w:p>
        </w:tc>
      </w:tr>
      <w:tr w14:paraId="4C538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494" w:hRule="atLeast"/>
          <w:jc w:val="center"/>
        </w:trPr>
        <w:tc>
          <w:tcPr>
            <w:tcW w:w="689" w:type="dxa"/>
            <w:vMerge w:val="continue"/>
            <w:vAlign w:val="center"/>
          </w:tcPr>
          <w:p w14:paraId="72369B63">
            <w:pPr>
              <w:snapToGrid w:val="0"/>
              <w:spacing w:after="200"/>
              <w:ind w:left="142"/>
              <w:jc w:val="center"/>
              <w:rPr>
                <w:rFonts w:ascii="宋体" w:hAnsi="宋体"/>
                <w:sz w:val="24"/>
              </w:rPr>
            </w:pPr>
          </w:p>
        </w:tc>
        <w:tc>
          <w:tcPr>
            <w:tcW w:w="1556" w:type="dxa"/>
            <w:vMerge w:val="continue"/>
            <w:vAlign w:val="center"/>
          </w:tcPr>
          <w:p w14:paraId="19226908">
            <w:pPr>
              <w:pStyle w:val="31"/>
              <w:ind w:left="96"/>
              <w:jc w:val="center"/>
              <w:rPr>
                <w:kern w:val="2"/>
                <w:lang w:val="zh-CN"/>
              </w:rPr>
            </w:pPr>
          </w:p>
        </w:tc>
        <w:tc>
          <w:tcPr>
            <w:tcW w:w="7273" w:type="dxa"/>
            <w:vAlign w:val="center"/>
          </w:tcPr>
          <w:p w14:paraId="23E5EC40">
            <w:pPr>
              <w:pStyle w:val="31"/>
              <w:jc w:val="both"/>
              <w:rPr>
                <w:b/>
                <w:kern w:val="2"/>
                <w:lang w:val="zh-CN"/>
              </w:rPr>
            </w:pPr>
            <w:r>
              <w:rPr>
                <w:rFonts w:hint="eastAsia" w:ascii="黑体" w:hAnsi="黑体" w:eastAsia="黑体" w:cs="黑体"/>
                <w:b/>
                <w:bCs/>
                <w:kern w:val="2"/>
                <w:sz w:val="21"/>
                <w:szCs w:val="21"/>
                <w:lang w:val="zh-CN"/>
              </w:rPr>
              <w:t>√</w:t>
            </w:r>
            <w:r>
              <w:rPr>
                <w:rFonts w:hint="eastAsia" w:ascii="Arial" w:hAnsi="Arial" w:cs="Arial"/>
                <w:b/>
                <w:bCs/>
                <w:kern w:val="2"/>
                <w:sz w:val="21"/>
                <w:szCs w:val="21"/>
                <w:lang w:val="en-US" w:eastAsia="zh-CN"/>
              </w:rPr>
              <w:t xml:space="preserve"> </w:t>
            </w:r>
            <w:r>
              <w:rPr>
                <w:rFonts w:hint="eastAsia"/>
                <w:b/>
                <w:kern w:val="2"/>
                <w:lang w:val="zh-CN"/>
              </w:rPr>
              <w:t>不接受</w:t>
            </w:r>
          </w:p>
        </w:tc>
      </w:tr>
      <w:tr w14:paraId="5E802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Merge w:val="restart"/>
            <w:vAlign w:val="center"/>
          </w:tcPr>
          <w:p w14:paraId="5D30265F">
            <w:pPr>
              <w:snapToGrid w:val="0"/>
              <w:spacing w:after="200"/>
              <w:jc w:val="center"/>
              <w:rPr>
                <w:rFonts w:ascii="宋体" w:hAnsi="宋体"/>
                <w:sz w:val="24"/>
              </w:rPr>
            </w:pPr>
            <w:r>
              <w:rPr>
                <w:rFonts w:ascii="宋体" w:hAnsi="宋体"/>
                <w:sz w:val="24"/>
              </w:rPr>
              <w:t>6</w:t>
            </w:r>
          </w:p>
        </w:tc>
        <w:tc>
          <w:tcPr>
            <w:tcW w:w="1556" w:type="dxa"/>
            <w:vMerge w:val="restart"/>
            <w:vAlign w:val="center"/>
          </w:tcPr>
          <w:p w14:paraId="73BBDD37">
            <w:pPr>
              <w:pStyle w:val="31"/>
              <w:ind w:left="96"/>
              <w:jc w:val="center"/>
              <w:rPr>
                <w:kern w:val="2"/>
                <w:lang w:val="zh-CN"/>
              </w:rPr>
            </w:pPr>
            <w:r>
              <w:rPr>
                <w:kern w:val="2"/>
                <w:lang w:val="zh-CN"/>
              </w:rPr>
              <w:t>履约保证金</w:t>
            </w:r>
          </w:p>
        </w:tc>
        <w:tc>
          <w:tcPr>
            <w:tcW w:w="7273" w:type="dxa"/>
            <w:vAlign w:val="center"/>
          </w:tcPr>
          <w:p w14:paraId="2315397B">
            <w:pPr>
              <w:keepNext w:val="0"/>
              <w:keepLines w:val="0"/>
              <w:pageBreakBefore w:val="0"/>
              <w:widowControl w:val="0"/>
              <w:kinsoku/>
              <w:wordWrap/>
              <w:overflowPunct/>
              <w:topLinePunct w:val="0"/>
              <w:autoSpaceDE/>
              <w:autoSpaceDN/>
              <w:bidi w:val="0"/>
              <w:adjustRightInd/>
              <w:snapToGrid/>
              <w:spacing w:line="400" w:lineRule="exact"/>
              <w:ind w:right="94" w:rightChars="45"/>
              <w:textAlignment w:val="auto"/>
              <w:rPr>
                <w:rFonts w:hint="eastAsia" w:ascii="宋体" w:hAnsi="宋体" w:eastAsia="宋体" w:cs="宋体"/>
                <w:b/>
                <w:kern w:val="2"/>
                <w:sz w:val="24"/>
                <w:szCs w:val="24"/>
                <w:lang w:val="zh-CN" w:eastAsia="zh-CN" w:bidi="ar-SA"/>
              </w:rPr>
            </w:pPr>
            <w:r>
              <w:rPr>
                <w:rFonts w:ascii="宋体" w:hAnsi="宋体"/>
                <w:b/>
                <w:sz w:val="24"/>
              </w:rPr>
              <w:t>占</w:t>
            </w:r>
            <w:r>
              <w:rPr>
                <w:rFonts w:hint="eastAsia" w:ascii="宋体" w:hAnsi="宋体" w:eastAsia="宋体" w:cs="宋体"/>
                <w:b/>
                <w:kern w:val="2"/>
                <w:sz w:val="24"/>
                <w:szCs w:val="24"/>
                <w:lang w:val="zh-CN" w:eastAsia="zh-CN" w:bidi="ar-SA"/>
              </w:rPr>
              <w:t>政府采购合同金额的</w:t>
            </w:r>
            <w:r>
              <w:rPr>
                <w:rFonts w:hint="eastAsia" w:ascii="宋体" w:hAnsi="宋体" w:cs="宋体"/>
                <w:b/>
                <w:kern w:val="2"/>
                <w:sz w:val="24"/>
                <w:szCs w:val="24"/>
                <w:u w:val="single"/>
                <w:lang w:val="en-US" w:eastAsia="zh-CN" w:bidi="ar-SA"/>
              </w:rPr>
              <w:t xml:space="preserve">    /  </w:t>
            </w:r>
            <w:r>
              <w:rPr>
                <w:rFonts w:hint="eastAsia" w:ascii="宋体" w:hAnsi="宋体" w:eastAsia="宋体" w:cs="宋体"/>
                <w:b/>
                <w:kern w:val="2"/>
                <w:sz w:val="24"/>
                <w:szCs w:val="24"/>
                <w:lang w:val="zh-CN" w:eastAsia="zh-CN" w:bidi="ar-SA"/>
              </w:rPr>
              <w:t>%</w:t>
            </w:r>
          </w:p>
          <w:p w14:paraId="3CA6B23C">
            <w:pPr>
              <w:keepNext w:val="0"/>
              <w:keepLines w:val="0"/>
              <w:pageBreakBefore w:val="0"/>
              <w:widowControl w:val="0"/>
              <w:kinsoku/>
              <w:wordWrap/>
              <w:overflowPunct/>
              <w:topLinePunct w:val="0"/>
              <w:autoSpaceDE/>
              <w:autoSpaceDN/>
              <w:bidi w:val="0"/>
              <w:adjustRightInd/>
              <w:snapToGrid/>
              <w:spacing w:line="400" w:lineRule="exact"/>
              <w:ind w:right="94" w:rightChars="45"/>
              <w:textAlignment w:val="auto"/>
              <w:rPr>
                <w:rFonts w:ascii="宋体" w:hAnsi="宋体"/>
                <w:szCs w:val="21"/>
              </w:rPr>
            </w:pPr>
            <w:r>
              <w:rPr>
                <w:rFonts w:hint="eastAsia" w:ascii="宋体" w:hAnsi="宋体" w:eastAsia="宋体" w:cs="宋体"/>
                <w:kern w:val="2"/>
                <w:sz w:val="21"/>
                <w:szCs w:val="21"/>
                <w:lang w:val="zh-CN" w:eastAsia="zh-CN" w:bidi="ar-SA"/>
              </w:rPr>
              <w:t>履约保证金的数额不得超过政府采购合同金额的5%；对于单价合同，其数额不得超过采购预算的5%。</w:t>
            </w:r>
          </w:p>
        </w:tc>
      </w:tr>
      <w:tr w14:paraId="3C419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Merge w:val="continue"/>
            <w:vAlign w:val="center"/>
          </w:tcPr>
          <w:p w14:paraId="2134F538">
            <w:pPr>
              <w:snapToGrid w:val="0"/>
              <w:spacing w:after="200"/>
              <w:ind w:left="142"/>
              <w:jc w:val="center"/>
              <w:rPr>
                <w:rFonts w:ascii="宋体" w:hAnsi="宋体"/>
                <w:sz w:val="24"/>
              </w:rPr>
            </w:pPr>
          </w:p>
        </w:tc>
        <w:tc>
          <w:tcPr>
            <w:tcW w:w="1556" w:type="dxa"/>
            <w:vMerge w:val="continue"/>
            <w:vAlign w:val="center"/>
          </w:tcPr>
          <w:p w14:paraId="18BBFDB4">
            <w:pPr>
              <w:pStyle w:val="31"/>
              <w:ind w:left="96"/>
              <w:jc w:val="center"/>
              <w:rPr>
                <w:kern w:val="2"/>
                <w:lang w:val="zh-CN"/>
              </w:rPr>
            </w:pPr>
          </w:p>
        </w:tc>
        <w:tc>
          <w:tcPr>
            <w:tcW w:w="7273" w:type="dxa"/>
            <w:vAlign w:val="center"/>
          </w:tcPr>
          <w:p w14:paraId="78C3E3D3">
            <w:pPr>
              <w:keepNext w:val="0"/>
              <w:keepLines w:val="0"/>
              <w:pageBreakBefore w:val="0"/>
              <w:widowControl w:val="0"/>
              <w:kinsoku/>
              <w:wordWrap/>
              <w:overflowPunct/>
              <w:topLinePunct w:val="0"/>
              <w:bidi w:val="0"/>
              <w:adjustRightInd/>
              <w:snapToGrid/>
              <w:spacing w:line="400" w:lineRule="exact"/>
              <w:ind w:right="94" w:rightChars="45"/>
              <w:textAlignment w:val="auto"/>
              <w:rPr>
                <w:rFonts w:ascii="宋体" w:hAnsi="宋体"/>
                <w:b/>
                <w:sz w:val="24"/>
              </w:rPr>
            </w:pPr>
            <w:r>
              <w:rPr>
                <w:rFonts w:ascii="宋体" w:hAnsi="宋体"/>
                <w:b/>
                <w:sz w:val="24"/>
              </w:rPr>
              <w:t>○由采购单位自行收退</w:t>
            </w:r>
          </w:p>
          <w:p w14:paraId="18CF1B6D">
            <w:pPr>
              <w:keepNext w:val="0"/>
              <w:keepLines w:val="0"/>
              <w:pageBreakBefore w:val="0"/>
              <w:widowControl w:val="0"/>
              <w:kinsoku/>
              <w:wordWrap/>
              <w:overflowPunct/>
              <w:topLinePunct w:val="0"/>
              <w:bidi w:val="0"/>
              <w:adjustRightInd/>
              <w:snapToGrid/>
              <w:spacing w:line="400" w:lineRule="exact"/>
              <w:ind w:right="94" w:rightChars="45"/>
              <w:textAlignment w:val="auto"/>
              <w:rPr>
                <w:rFonts w:ascii="宋体" w:hAnsi="宋体"/>
                <w:b/>
                <w:sz w:val="24"/>
              </w:rPr>
            </w:pPr>
            <w:r>
              <w:rPr>
                <w:rFonts w:ascii="宋体" w:hAnsi="宋体"/>
                <w:b/>
                <w:sz w:val="24"/>
              </w:rPr>
              <w:t>○由代理机构负责收退</w:t>
            </w:r>
          </w:p>
        </w:tc>
      </w:tr>
      <w:tr w14:paraId="3B2E5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Align w:val="center"/>
          </w:tcPr>
          <w:p w14:paraId="7D75FCF3">
            <w:pPr>
              <w:snapToGrid w:val="0"/>
              <w:spacing w:after="200"/>
              <w:jc w:val="center"/>
              <w:rPr>
                <w:rFonts w:ascii="宋体" w:hAnsi="宋体"/>
                <w:sz w:val="24"/>
              </w:rPr>
            </w:pPr>
            <w:r>
              <w:rPr>
                <w:rFonts w:ascii="宋体" w:hAnsi="宋体"/>
                <w:sz w:val="24"/>
              </w:rPr>
              <w:t>7</w:t>
            </w:r>
          </w:p>
        </w:tc>
        <w:tc>
          <w:tcPr>
            <w:tcW w:w="1556" w:type="dxa"/>
            <w:vAlign w:val="center"/>
          </w:tcPr>
          <w:p w14:paraId="452F8C54">
            <w:pPr>
              <w:pStyle w:val="31"/>
              <w:ind w:left="96"/>
              <w:jc w:val="center"/>
              <w:rPr>
                <w:kern w:val="2"/>
                <w:lang w:val="zh-CN"/>
              </w:rPr>
            </w:pPr>
            <w:r>
              <w:rPr>
                <w:kern w:val="2"/>
                <w:lang w:val="zh-CN"/>
              </w:rPr>
              <w:t>集中答疑</w:t>
            </w:r>
          </w:p>
        </w:tc>
        <w:tc>
          <w:tcPr>
            <w:tcW w:w="7273" w:type="dxa"/>
            <w:vAlign w:val="center"/>
          </w:tcPr>
          <w:p w14:paraId="7099A63F">
            <w:pPr>
              <w:keepNext w:val="0"/>
              <w:keepLines w:val="0"/>
              <w:pageBreakBefore w:val="0"/>
              <w:widowControl w:val="0"/>
              <w:kinsoku/>
              <w:wordWrap/>
              <w:overflowPunct/>
              <w:topLinePunct w:val="0"/>
              <w:bidi w:val="0"/>
              <w:adjustRightInd/>
              <w:snapToGrid/>
              <w:spacing w:line="400" w:lineRule="exact"/>
              <w:ind w:right="94" w:rightChars="45"/>
              <w:textAlignment w:val="auto"/>
              <w:rPr>
                <w:rFonts w:hint="default" w:ascii="宋体" w:hAnsi="宋体" w:eastAsia="宋体"/>
                <w:b/>
                <w:sz w:val="24"/>
                <w:u w:val="single"/>
                <w:lang w:val="en-US" w:eastAsia="zh-CN"/>
              </w:rPr>
            </w:pPr>
            <w:r>
              <w:rPr>
                <w:rFonts w:ascii="宋体" w:hAnsi="宋体"/>
                <w:b/>
                <w:sz w:val="24"/>
              </w:rPr>
              <w:t>○组织，答疑地点为：</w:t>
            </w:r>
            <w:r>
              <w:rPr>
                <w:rFonts w:hint="eastAsia" w:ascii="宋体" w:hAnsi="宋体"/>
                <w:b/>
                <w:sz w:val="24"/>
                <w:u w:val="single"/>
                <w:lang w:val="en-US" w:eastAsia="zh-CN"/>
              </w:rPr>
              <w:t xml:space="preserve">     </w:t>
            </w:r>
          </w:p>
          <w:p w14:paraId="6AF07FB2">
            <w:pPr>
              <w:keepNext w:val="0"/>
              <w:keepLines w:val="0"/>
              <w:pageBreakBefore w:val="0"/>
              <w:widowControl w:val="0"/>
              <w:kinsoku/>
              <w:wordWrap/>
              <w:overflowPunct/>
              <w:topLinePunct w:val="0"/>
              <w:bidi w:val="0"/>
              <w:adjustRightInd/>
              <w:snapToGrid/>
              <w:spacing w:line="400" w:lineRule="exact"/>
              <w:ind w:right="94" w:rightChars="45"/>
              <w:textAlignment w:val="auto"/>
              <w:rPr>
                <w:rFonts w:ascii="宋体" w:hAnsi="宋体"/>
                <w:b/>
                <w:sz w:val="24"/>
              </w:rPr>
            </w:pPr>
            <w:r>
              <w:rPr>
                <w:rFonts w:hint="eastAsia" w:ascii="黑体" w:hAnsi="黑体" w:eastAsia="黑体" w:cs="黑体"/>
                <w:b/>
                <w:bCs/>
                <w:kern w:val="2"/>
                <w:sz w:val="21"/>
                <w:szCs w:val="21"/>
                <w:lang w:val="zh-CN"/>
              </w:rPr>
              <w:t>√</w:t>
            </w:r>
            <w:r>
              <w:rPr>
                <w:rFonts w:ascii="宋体" w:hAnsi="宋体"/>
                <w:b/>
                <w:sz w:val="24"/>
              </w:rPr>
              <w:t>不组织</w:t>
            </w:r>
          </w:p>
        </w:tc>
      </w:tr>
      <w:tr w14:paraId="5BC0D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Align w:val="center"/>
          </w:tcPr>
          <w:p w14:paraId="4F6EF8CA">
            <w:pPr>
              <w:snapToGrid w:val="0"/>
              <w:spacing w:after="200"/>
              <w:jc w:val="center"/>
              <w:rPr>
                <w:rFonts w:ascii="宋体" w:hAnsi="宋体"/>
                <w:sz w:val="24"/>
              </w:rPr>
            </w:pPr>
            <w:r>
              <w:rPr>
                <w:rFonts w:ascii="宋体" w:hAnsi="宋体"/>
                <w:sz w:val="24"/>
              </w:rPr>
              <w:t>8</w:t>
            </w:r>
          </w:p>
        </w:tc>
        <w:tc>
          <w:tcPr>
            <w:tcW w:w="1556" w:type="dxa"/>
            <w:vAlign w:val="center"/>
          </w:tcPr>
          <w:p w14:paraId="38AFC31B">
            <w:pPr>
              <w:pStyle w:val="31"/>
              <w:ind w:left="96"/>
              <w:jc w:val="center"/>
              <w:rPr>
                <w:kern w:val="2"/>
                <w:lang w:val="zh-CN"/>
              </w:rPr>
            </w:pPr>
            <w:r>
              <w:rPr>
                <w:kern w:val="2"/>
                <w:lang w:val="zh-CN"/>
              </w:rPr>
              <w:t>价格分比重</w:t>
            </w:r>
          </w:p>
        </w:tc>
        <w:tc>
          <w:tcPr>
            <w:tcW w:w="7273" w:type="dxa"/>
            <w:vAlign w:val="center"/>
          </w:tcPr>
          <w:p w14:paraId="04FEF1F8">
            <w:pPr>
              <w:keepNext w:val="0"/>
              <w:keepLines w:val="0"/>
              <w:pageBreakBefore w:val="0"/>
              <w:widowControl/>
              <w:kinsoku/>
              <w:wordWrap/>
              <w:overflowPunct/>
              <w:topLinePunct w:val="0"/>
              <w:bidi w:val="0"/>
              <w:adjustRightInd/>
              <w:spacing w:line="400" w:lineRule="exact"/>
              <w:textAlignment w:val="auto"/>
              <w:rPr>
                <w:rFonts w:ascii="宋体" w:hAnsi="宋体" w:cs="宋体"/>
                <w:b/>
                <w:kern w:val="0"/>
                <w:sz w:val="24"/>
                <w:szCs w:val="24"/>
                <w:lang w:val="zh-CN"/>
              </w:rPr>
            </w:pPr>
            <w:r>
              <w:rPr>
                <w:rFonts w:ascii="宋体" w:hAnsi="宋体" w:cs="宋体"/>
                <w:b/>
                <w:kern w:val="0"/>
                <w:sz w:val="24"/>
                <w:szCs w:val="24"/>
                <w:lang w:val="zh-CN"/>
              </w:rPr>
              <w:t>占总分值的</w:t>
            </w:r>
            <w:r>
              <w:rPr>
                <w:rFonts w:hint="eastAsia" w:ascii="宋体" w:hAnsi="宋体" w:cs="宋体"/>
                <w:b/>
                <w:kern w:val="2"/>
                <w:sz w:val="24"/>
                <w:szCs w:val="24"/>
                <w:u w:val="single"/>
                <w:lang w:val="en-US" w:eastAsia="zh-CN" w:bidi="ar-SA"/>
              </w:rPr>
              <w:t xml:space="preserve">  /   </w:t>
            </w:r>
            <w:r>
              <w:rPr>
                <w:rFonts w:hint="eastAsia" w:ascii="宋体" w:hAnsi="宋体" w:cs="宋体"/>
                <w:b/>
                <w:kern w:val="0"/>
                <w:sz w:val="24"/>
                <w:szCs w:val="24"/>
                <w:lang w:val="zh-CN"/>
              </w:rPr>
              <w:t>%</w:t>
            </w:r>
          </w:p>
          <w:p w14:paraId="3B09A36B">
            <w:pPr>
              <w:keepNext w:val="0"/>
              <w:keepLines w:val="0"/>
              <w:pageBreakBefore w:val="0"/>
              <w:widowControl/>
              <w:kinsoku/>
              <w:wordWrap/>
              <w:overflowPunct/>
              <w:topLinePunct w:val="0"/>
              <w:bidi w:val="0"/>
              <w:adjustRightInd/>
              <w:spacing w:line="400" w:lineRule="exact"/>
              <w:textAlignment w:val="auto"/>
              <w:rPr>
                <w:rFonts w:ascii="宋体" w:hAnsi="宋体" w:cs="宋体"/>
                <w:kern w:val="0"/>
                <w:szCs w:val="21"/>
                <w:lang w:val="zh-CN"/>
              </w:rPr>
            </w:pPr>
            <w:r>
              <w:rPr>
                <w:rFonts w:hint="eastAsia" w:ascii="宋体" w:hAnsi="宋体" w:cs="宋体"/>
                <w:kern w:val="0"/>
                <w:szCs w:val="21"/>
                <w:lang w:val="zh-CN"/>
              </w:rPr>
              <w:t>[招标]根据《政府采购货物和服务招标投标管理办法》（财政部87号令）的规定，综合</w:t>
            </w:r>
            <w:r>
              <w:rPr>
                <w:rFonts w:ascii="宋体" w:hAnsi="宋体" w:cs="宋体"/>
                <w:kern w:val="0"/>
                <w:szCs w:val="21"/>
                <w:lang w:val="zh-CN"/>
              </w:rPr>
              <w:t>评分法服务</w:t>
            </w:r>
            <w:r>
              <w:rPr>
                <w:rFonts w:hint="eastAsia" w:ascii="宋体" w:hAnsi="宋体" w:cs="宋体"/>
                <w:kern w:val="0"/>
                <w:szCs w:val="21"/>
                <w:lang w:val="zh-CN"/>
              </w:rPr>
              <w:t>项目的价格分值占总分值的比重不得低于</w:t>
            </w:r>
            <w:r>
              <w:rPr>
                <w:rFonts w:ascii="宋体" w:hAnsi="宋体" w:cs="宋体"/>
                <w:kern w:val="0"/>
                <w:szCs w:val="21"/>
                <w:lang w:val="zh-CN"/>
              </w:rPr>
              <w:t>1</w:t>
            </w:r>
            <w:r>
              <w:rPr>
                <w:rFonts w:hint="eastAsia" w:ascii="宋体" w:hAnsi="宋体" w:cs="宋体"/>
                <w:kern w:val="0"/>
                <w:szCs w:val="21"/>
                <w:lang w:val="zh-CN"/>
              </w:rPr>
              <w:t>0%。执行国家统一定价标准和采用固定价格采购的项目，其价格不列为评审因素。</w:t>
            </w:r>
          </w:p>
          <w:p w14:paraId="3B3ED4D4">
            <w:pPr>
              <w:keepNext w:val="0"/>
              <w:keepLines w:val="0"/>
              <w:pageBreakBefore w:val="0"/>
              <w:widowControl/>
              <w:kinsoku/>
              <w:wordWrap/>
              <w:overflowPunct/>
              <w:topLinePunct w:val="0"/>
              <w:bidi w:val="0"/>
              <w:adjustRightInd/>
              <w:spacing w:line="400" w:lineRule="exact"/>
              <w:textAlignment w:val="auto"/>
              <w:rPr>
                <w:rFonts w:ascii="宋体" w:hAnsi="宋体" w:cs="宋体"/>
                <w:kern w:val="0"/>
                <w:szCs w:val="21"/>
                <w:lang w:val="zh-CN"/>
              </w:rPr>
            </w:pPr>
            <w:r>
              <w:rPr>
                <w:rFonts w:ascii="宋体" w:hAnsi="宋体" w:cs="宋体"/>
                <w:kern w:val="0"/>
                <w:szCs w:val="21"/>
                <w:lang w:val="zh-CN"/>
              </w:rPr>
              <w:t>[磋商</w:t>
            </w:r>
            <w:r>
              <w:rPr>
                <w:rFonts w:hint="eastAsia" w:ascii="宋体" w:hAnsi="宋体" w:cs="宋体"/>
                <w:kern w:val="0"/>
                <w:szCs w:val="21"/>
                <w:lang w:val="zh-CN"/>
              </w:rPr>
              <w:t>]根据《政府采购竞争性磋商采购方式管理暂行办法》（财库〔2014〕214号）的规定，服务项目的价格分值占总分值的比重(即权值)为</w:t>
            </w:r>
            <w:r>
              <w:rPr>
                <w:rFonts w:ascii="宋体" w:hAnsi="宋体" w:cs="宋体"/>
                <w:kern w:val="0"/>
                <w:szCs w:val="21"/>
                <w:lang w:val="zh-CN"/>
              </w:rPr>
              <w:t>1</w:t>
            </w:r>
            <w:r>
              <w:rPr>
                <w:rFonts w:hint="eastAsia" w:ascii="宋体" w:hAnsi="宋体" w:cs="宋体"/>
                <w:kern w:val="0"/>
                <w:szCs w:val="21"/>
                <w:lang w:val="zh-CN"/>
              </w:rPr>
              <w:t>0%-</w:t>
            </w:r>
            <w:r>
              <w:rPr>
                <w:rFonts w:ascii="宋体" w:hAnsi="宋体" w:cs="宋体"/>
                <w:kern w:val="0"/>
                <w:szCs w:val="21"/>
                <w:lang w:val="zh-CN"/>
              </w:rPr>
              <w:t>3</w:t>
            </w:r>
            <w:r>
              <w:rPr>
                <w:rFonts w:hint="eastAsia" w:ascii="宋体" w:hAnsi="宋体" w:cs="宋体"/>
                <w:kern w:val="0"/>
                <w:szCs w:val="21"/>
                <w:lang w:val="zh-CN"/>
              </w:rPr>
              <w:t>0%。</w:t>
            </w:r>
          </w:p>
          <w:p w14:paraId="7AA104E6">
            <w:pPr>
              <w:keepNext w:val="0"/>
              <w:keepLines w:val="0"/>
              <w:pageBreakBefore w:val="0"/>
              <w:widowControl/>
              <w:kinsoku/>
              <w:wordWrap/>
              <w:overflowPunct/>
              <w:topLinePunct w:val="0"/>
              <w:bidi w:val="0"/>
              <w:adjustRightInd/>
              <w:spacing w:line="400" w:lineRule="exact"/>
              <w:textAlignment w:val="auto"/>
              <w:rPr>
                <w:rFonts w:ascii="宋体" w:hAnsi="宋体" w:cs="宋体"/>
                <w:kern w:val="0"/>
                <w:szCs w:val="21"/>
                <w:lang w:val="zh-CN"/>
              </w:rPr>
            </w:pPr>
            <w:r>
              <w:rPr>
                <w:rFonts w:hint="eastAsia" w:ascii="宋体" w:hAnsi="宋体" w:cs="宋体"/>
                <w:kern w:val="0"/>
                <w:szCs w:val="21"/>
                <w:lang w:val="zh-CN"/>
              </w:rPr>
              <w:t>[其他采购方式]无须设置。</w:t>
            </w:r>
          </w:p>
        </w:tc>
      </w:tr>
      <w:tr w14:paraId="1690C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Align w:val="center"/>
          </w:tcPr>
          <w:p w14:paraId="77218CFC">
            <w:pPr>
              <w:snapToGrid w:val="0"/>
              <w:spacing w:after="200"/>
              <w:jc w:val="center"/>
              <w:rPr>
                <w:rFonts w:ascii="宋体" w:hAnsi="宋体"/>
                <w:sz w:val="24"/>
              </w:rPr>
            </w:pPr>
            <w:r>
              <w:rPr>
                <w:rFonts w:ascii="宋体" w:hAnsi="宋体"/>
                <w:sz w:val="24"/>
              </w:rPr>
              <w:t>9</w:t>
            </w:r>
          </w:p>
        </w:tc>
        <w:tc>
          <w:tcPr>
            <w:tcW w:w="1556" w:type="dxa"/>
            <w:vAlign w:val="center"/>
          </w:tcPr>
          <w:p w14:paraId="7A92654E">
            <w:pPr>
              <w:pStyle w:val="31"/>
              <w:ind w:left="96"/>
              <w:jc w:val="center"/>
              <w:rPr>
                <w:kern w:val="2"/>
                <w:lang w:val="zh-CN"/>
              </w:rPr>
            </w:pPr>
            <w:r>
              <w:rPr>
                <w:kern w:val="2"/>
                <w:lang w:val="zh-CN"/>
              </w:rPr>
              <w:t>合同类型</w:t>
            </w:r>
          </w:p>
        </w:tc>
        <w:tc>
          <w:tcPr>
            <w:tcW w:w="7273" w:type="dxa"/>
            <w:vAlign w:val="center"/>
          </w:tcPr>
          <w:p w14:paraId="6977BFB1">
            <w:pPr>
              <w:keepNext w:val="0"/>
              <w:keepLines w:val="0"/>
              <w:pageBreakBefore w:val="0"/>
              <w:kinsoku/>
              <w:wordWrap/>
              <w:overflowPunct/>
              <w:topLinePunct w:val="0"/>
              <w:bidi w:val="0"/>
              <w:adjustRightInd/>
              <w:spacing w:line="400" w:lineRule="exact"/>
              <w:textAlignment w:val="auto"/>
              <w:rPr>
                <w:rFonts w:ascii="宋体" w:hAnsi="宋体"/>
                <w:b/>
                <w:sz w:val="24"/>
                <w:lang w:val="zh-CN"/>
              </w:rPr>
            </w:pPr>
            <w:r>
              <w:rPr>
                <w:rFonts w:hint="eastAsia" w:ascii="黑体" w:hAnsi="黑体" w:eastAsia="黑体" w:cs="黑体"/>
                <w:b/>
                <w:bCs/>
                <w:kern w:val="2"/>
                <w:sz w:val="21"/>
                <w:szCs w:val="21"/>
                <w:lang w:val="zh-CN"/>
              </w:rPr>
              <w:t>√</w:t>
            </w:r>
            <w:r>
              <w:rPr>
                <w:rFonts w:ascii="宋体" w:hAnsi="宋体"/>
                <w:b/>
                <w:sz w:val="24"/>
                <w:lang w:val="zh-CN"/>
              </w:rPr>
              <w:t>固定总价</w:t>
            </w:r>
          </w:p>
          <w:p w14:paraId="7CD85923">
            <w:pPr>
              <w:keepNext w:val="0"/>
              <w:keepLines w:val="0"/>
              <w:pageBreakBefore w:val="0"/>
              <w:kinsoku/>
              <w:wordWrap/>
              <w:overflowPunct/>
              <w:topLinePunct w:val="0"/>
              <w:bidi w:val="0"/>
              <w:adjustRightInd/>
              <w:spacing w:line="400" w:lineRule="exact"/>
              <w:textAlignment w:val="auto"/>
              <w:rPr>
                <w:rFonts w:ascii="宋体" w:hAnsi="宋体"/>
                <w:b/>
                <w:sz w:val="24"/>
                <w:lang w:val="zh-CN"/>
              </w:rPr>
            </w:pPr>
            <w:r>
              <w:rPr>
                <w:rFonts w:ascii="宋体" w:hAnsi="宋体"/>
                <w:b/>
                <w:sz w:val="24"/>
                <w:lang w:val="zh-CN"/>
              </w:rPr>
              <w:t>○固定单价（适用于采购数量不定的情形）</w:t>
            </w:r>
          </w:p>
          <w:p w14:paraId="2000613B">
            <w:pPr>
              <w:keepNext w:val="0"/>
              <w:keepLines w:val="0"/>
              <w:pageBreakBefore w:val="0"/>
              <w:kinsoku/>
              <w:wordWrap/>
              <w:overflowPunct/>
              <w:topLinePunct w:val="0"/>
              <w:bidi w:val="0"/>
              <w:adjustRightInd/>
              <w:spacing w:line="400" w:lineRule="exact"/>
              <w:textAlignment w:val="auto"/>
              <w:rPr>
                <w:rFonts w:hint="default" w:ascii="宋体" w:hAnsi="宋体" w:eastAsia="宋体"/>
                <w:sz w:val="24"/>
                <w:u w:val="single"/>
                <w:lang w:val="en-US" w:eastAsia="zh-CN"/>
              </w:rPr>
            </w:pPr>
            <w:r>
              <w:rPr>
                <w:rFonts w:ascii="宋体" w:hAnsi="宋体"/>
                <w:b/>
                <w:sz w:val="24"/>
                <w:lang w:val="zh-CN"/>
              </w:rPr>
              <w:t>其他</w:t>
            </w:r>
            <w:r>
              <w:rPr>
                <w:rFonts w:hint="eastAsia" w:ascii="宋体" w:hAnsi="宋体"/>
                <w:b/>
                <w:sz w:val="24"/>
                <w:lang w:val="zh-CN"/>
              </w:rPr>
              <w:t>：</w:t>
            </w:r>
            <w:r>
              <w:rPr>
                <w:rFonts w:hint="eastAsia" w:ascii="宋体" w:hAnsi="宋体"/>
                <w:b/>
                <w:sz w:val="24"/>
                <w:u w:val="single"/>
                <w:lang w:val="en-US" w:eastAsia="zh-CN"/>
              </w:rPr>
              <w:t xml:space="preserve">                   </w:t>
            </w:r>
          </w:p>
        </w:tc>
      </w:tr>
      <w:tr w14:paraId="3DE74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Align w:val="center"/>
          </w:tcPr>
          <w:p w14:paraId="08AE71F6">
            <w:pPr>
              <w:snapToGrid w:val="0"/>
              <w:spacing w:after="200"/>
              <w:jc w:val="center"/>
              <w:rPr>
                <w:rFonts w:ascii="宋体" w:hAnsi="宋体"/>
                <w:sz w:val="24"/>
              </w:rPr>
            </w:pPr>
            <w:r>
              <w:rPr>
                <w:rFonts w:ascii="宋体" w:hAnsi="宋体"/>
                <w:sz w:val="24"/>
              </w:rPr>
              <w:t>10</w:t>
            </w:r>
          </w:p>
        </w:tc>
        <w:tc>
          <w:tcPr>
            <w:tcW w:w="1556" w:type="dxa"/>
            <w:vAlign w:val="center"/>
          </w:tcPr>
          <w:p w14:paraId="704D2106">
            <w:pPr>
              <w:tabs>
                <w:tab w:val="left" w:pos="7665"/>
              </w:tabs>
              <w:snapToGrid w:val="0"/>
              <w:jc w:val="center"/>
              <w:rPr>
                <w:rFonts w:ascii="宋体" w:hAnsi="宋体"/>
                <w:sz w:val="24"/>
              </w:rPr>
            </w:pPr>
            <w:r>
              <w:rPr>
                <w:rFonts w:ascii="宋体" w:hAnsi="宋体"/>
                <w:sz w:val="24"/>
              </w:rPr>
              <w:t>争议解决途径</w:t>
            </w:r>
          </w:p>
        </w:tc>
        <w:tc>
          <w:tcPr>
            <w:tcW w:w="7273" w:type="dxa"/>
            <w:vAlign w:val="center"/>
          </w:tcPr>
          <w:p w14:paraId="7CB3978D">
            <w:pPr>
              <w:keepNext w:val="0"/>
              <w:keepLines w:val="0"/>
              <w:pageBreakBefore w:val="0"/>
              <w:tabs>
                <w:tab w:val="left" w:pos="7665"/>
              </w:tabs>
              <w:kinsoku/>
              <w:wordWrap/>
              <w:overflowPunct/>
              <w:topLinePunct w:val="0"/>
              <w:bidi w:val="0"/>
              <w:adjustRightInd/>
              <w:snapToGrid w:val="0"/>
              <w:spacing w:line="400" w:lineRule="exact"/>
              <w:textAlignment w:val="auto"/>
              <w:rPr>
                <w:rFonts w:ascii="宋体" w:hAnsi="宋体"/>
                <w:b/>
                <w:sz w:val="24"/>
              </w:rPr>
            </w:pPr>
            <w:r>
              <w:rPr>
                <w:rFonts w:hint="eastAsia" w:ascii="黑体" w:hAnsi="黑体" w:eastAsia="黑体" w:cs="黑体"/>
                <w:b/>
                <w:bCs/>
                <w:kern w:val="2"/>
                <w:sz w:val="21"/>
                <w:szCs w:val="21"/>
                <w:lang w:val="zh-CN"/>
              </w:rPr>
              <w:t>√</w:t>
            </w:r>
            <w:r>
              <w:rPr>
                <w:rFonts w:ascii="宋体" w:hAnsi="宋体"/>
                <w:b/>
                <w:sz w:val="24"/>
              </w:rPr>
              <w:t>向有管辖权的人民法院提起诉讼</w:t>
            </w:r>
          </w:p>
          <w:p w14:paraId="50E257D5">
            <w:pPr>
              <w:keepNext w:val="0"/>
              <w:keepLines w:val="0"/>
              <w:pageBreakBefore w:val="0"/>
              <w:tabs>
                <w:tab w:val="left" w:pos="7665"/>
              </w:tabs>
              <w:kinsoku/>
              <w:wordWrap/>
              <w:overflowPunct/>
              <w:topLinePunct w:val="0"/>
              <w:bidi w:val="0"/>
              <w:adjustRightInd/>
              <w:snapToGrid w:val="0"/>
              <w:spacing w:line="400" w:lineRule="exact"/>
              <w:textAlignment w:val="auto"/>
              <w:rPr>
                <w:rFonts w:ascii="宋体" w:hAnsi="宋体"/>
                <w:b/>
                <w:sz w:val="24"/>
              </w:rPr>
            </w:pPr>
            <w:r>
              <w:rPr>
                <w:rFonts w:ascii="宋体" w:hAnsi="宋体"/>
                <w:b/>
                <w:sz w:val="24"/>
              </w:rPr>
              <w:t>○向西安仲裁委员会提请仲裁</w:t>
            </w:r>
          </w:p>
          <w:p w14:paraId="3228BD7A">
            <w:pPr>
              <w:keepNext w:val="0"/>
              <w:keepLines w:val="0"/>
              <w:pageBreakBefore w:val="0"/>
              <w:tabs>
                <w:tab w:val="left" w:pos="7665"/>
              </w:tabs>
              <w:kinsoku/>
              <w:wordWrap/>
              <w:overflowPunct/>
              <w:topLinePunct w:val="0"/>
              <w:bidi w:val="0"/>
              <w:adjustRightInd/>
              <w:snapToGrid w:val="0"/>
              <w:spacing w:line="400" w:lineRule="exact"/>
              <w:textAlignment w:val="auto"/>
              <w:rPr>
                <w:rFonts w:ascii="宋体" w:hAnsi="宋体"/>
                <w:sz w:val="24"/>
              </w:rPr>
            </w:pPr>
            <w:r>
              <w:rPr>
                <w:rFonts w:ascii="宋体" w:hAnsi="宋体"/>
                <w:b/>
                <w:sz w:val="24"/>
              </w:rPr>
              <w:t>○由供应商做出选择</w:t>
            </w:r>
          </w:p>
        </w:tc>
      </w:tr>
      <w:tr w14:paraId="6DB79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jc w:val="center"/>
        </w:trPr>
        <w:tc>
          <w:tcPr>
            <w:tcW w:w="689" w:type="dxa"/>
            <w:vAlign w:val="center"/>
          </w:tcPr>
          <w:p w14:paraId="20A83505">
            <w:pPr>
              <w:snapToGrid w:val="0"/>
              <w:spacing w:after="200"/>
              <w:jc w:val="center"/>
              <w:rPr>
                <w:rFonts w:ascii="宋体" w:hAnsi="宋体"/>
                <w:sz w:val="24"/>
              </w:rPr>
            </w:pPr>
            <w:r>
              <w:rPr>
                <w:rFonts w:ascii="宋体" w:hAnsi="宋体"/>
                <w:sz w:val="24"/>
              </w:rPr>
              <w:t>11</w:t>
            </w:r>
          </w:p>
        </w:tc>
        <w:tc>
          <w:tcPr>
            <w:tcW w:w="1556" w:type="dxa"/>
            <w:vAlign w:val="center"/>
          </w:tcPr>
          <w:p w14:paraId="5636FC3B">
            <w:pPr>
              <w:snapToGrid w:val="0"/>
              <w:jc w:val="center"/>
              <w:rPr>
                <w:rFonts w:ascii="宋体" w:hAnsi="宋体"/>
                <w:sz w:val="24"/>
              </w:rPr>
            </w:pPr>
            <w:r>
              <w:rPr>
                <w:rFonts w:hint="eastAsia" w:ascii="宋体" w:hAnsi="宋体"/>
                <w:sz w:val="24"/>
              </w:rPr>
              <w:t>联系方式</w:t>
            </w:r>
          </w:p>
        </w:tc>
        <w:tc>
          <w:tcPr>
            <w:tcW w:w="7273" w:type="dxa"/>
            <w:vAlign w:val="center"/>
          </w:tcPr>
          <w:p w14:paraId="7DF97CED">
            <w:pPr>
              <w:keepNext w:val="0"/>
              <w:keepLines w:val="0"/>
              <w:pageBreakBefore w:val="0"/>
              <w:tabs>
                <w:tab w:val="left" w:pos="7665"/>
              </w:tabs>
              <w:kinsoku/>
              <w:wordWrap/>
              <w:overflowPunct/>
              <w:topLinePunct w:val="0"/>
              <w:bidi w:val="0"/>
              <w:adjustRightInd/>
              <w:snapToGrid w:val="0"/>
              <w:spacing w:line="400" w:lineRule="exact"/>
              <w:textAlignment w:val="auto"/>
              <w:rPr>
                <w:rFonts w:hint="eastAsia" w:ascii="宋体" w:hAnsi="宋体"/>
                <w:b/>
                <w:bCs/>
                <w:sz w:val="24"/>
                <w:lang w:val="en-US" w:eastAsia="zh-CN"/>
              </w:rPr>
            </w:pPr>
            <w:r>
              <w:rPr>
                <w:rFonts w:hint="eastAsia" w:ascii="宋体" w:hAnsi="宋体"/>
                <w:b/>
                <w:bCs/>
                <w:sz w:val="24"/>
              </w:rPr>
              <w:t>项目对接人：</w:t>
            </w:r>
            <w:r>
              <w:rPr>
                <w:rFonts w:hint="eastAsia" w:ascii="宋体" w:hAnsi="宋体"/>
                <w:b/>
                <w:bCs/>
                <w:sz w:val="24"/>
                <w:u w:val="single"/>
                <w:lang w:val="en-US" w:eastAsia="zh-CN"/>
              </w:rPr>
              <w:t xml:space="preserve">   王敏娜    </w:t>
            </w:r>
            <w:r>
              <w:rPr>
                <w:rFonts w:hint="eastAsia" w:ascii="宋体" w:hAnsi="宋体"/>
                <w:b/>
                <w:bCs/>
                <w:sz w:val="24"/>
                <w:lang w:val="en-US" w:eastAsia="zh-CN"/>
              </w:rPr>
              <w:t xml:space="preserve"> </w:t>
            </w:r>
          </w:p>
          <w:p w14:paraId="69624BAC">
            <w:pPr>
              <w:keepNext w:val="0"/>
              <w:keepLines w:val="0"/>
              <w:pageBreakBefore w:val="0"/>
              <w:tabs>
                <w:tab w:val="left" w:pos="7665"/>
              </w:tabs>
              <w:kinsoku/>
              <w:wordWrap/>
              <w:overflowPunct/>
              <w:topLinePunct w:val="0"/>
              <w:bidi w:val="0"/>
              <w:adjustRightInd/>
              <w:snapToGrid w:val="0"/>
              <w:spacing w:line="400" w:lineRule="exact"/>
              <w:textAlignment w:val="auto"/>
              <w:rPr>
                <w:rFonts w:hint="default" w:ascii="宋体" w:hAnsi="宋体" w:eastAsia="宋体"/>
                <w:b/>
                <w:bCs/>
                <w:sz w:val="24"/>
                <w:u w:val="single"/>
                <w:lang w:val="en-US" w:eastAsia="zh-CN"/>
              </w:rPr>
            </w:pPr>
            <w:r>
              <w:rPr>
                <w:rFonts w:ascii="宋体" w:hAnsi="宋体"/>
                <w:b/>
                <w:bCs/>
                <w:sz w:val="24"/>
              </w:rPr>
              <w:t>联系电话：</w:t>
            </w:r>
            <w:r>
              <w:rPr>
                <w:rFonts w:hint="eastAsia" w:ascii="宋体" w:hAnsi="宋体"/>
                <w:b/>
                <w:bCs/>
                <w:sz w:val="24"/>
                <w:u w:val="single"/>
                <w:lang w:val="en-US" w:eastAsia="zh-CN"/>
              </w:rPr>
              <w:t xml:space="preserve">   86866336    </w:t>
            </w:r>
          </w:p>
          <w:p w14:paraId="2DB1FD77">
            <w:pPr>
              <w:keepNext w:val="0"/>
              <w:keepLines w:val="0"/>
              <w:pageBreakBefore w:val="0"/>
              <w:tabs>
                <w:tab w:val="left" w:pos="7665"/>
              </w:tabs>
              <w:kinsoku/>
              <w:wordWrap/>
              <w:overflowPunct/>
              <w:topLinePunct w:val="0"/>
              <w:bidi w:val="0"/>
              <w:adjustRightInd/>
              <w:snapToGrid w:val="0"/>
              <w:spacing w:line="400" w:lineRule="exact"/>
              <w:textAlignment w:val="auto"/>
              <w:rPr>
                <w:rFonts w:ascii="宋体" w:hAnsi="宋体"/>
                <w:sz w:val="24"/>
              </w:rPr>
            </w:pPr>
            <w:r>
              <w:rPr>
                <w:rFonts w:ascii="宋体" w:hAnsi="宋体"/>
                <w:b/>
                <w:bCs/>
                <w:color w:val="auto"/>
                <w:sz w:val="24"/>
              </w:rPr>
              <w:t>电子邮箱：</w:t>
            </w:r>
            <w:r>
              <w:rPr>
                <w:rFonts w:hint="eastAsia" w:ascii="宋体" w:hAnsi="宋体"/>
                <w:b/>
                <w:bCs/>
                <w:sz w:val="24"/>
              </w:rPr>
              <w:t>_______________</w:t>
            </w:r>
          </w:p>
        </w:tc>
      </w:tr>
    </w:tbl>
    <w:p w14:paraId="771A8889">
      <w:pPr>
        <w:keepNext w:val="0"/>
        <w:keepLines w:val="0"/>
        <w:pageBreakBefore w:val="0"/>
        <w:widowControl/>
        <w:kinsoku/>
        <w:wordWrap/>
        <w:overflowPunct/>
        <w:topLinePunct w:val="0"/>
        <w:autoSpaceDE/>
        <w:autoSpaceDN/>
        <w:bidi w:val="0"/>
        <w:adjustRightInd/>
        <w:snapToGrid/>
        <w:spacing w:line="580" w:lineRule="exact"/>
        <w:jc w:val="center"/>
        <w:textAlignment w:val="auto"/>
        <w:rPr>
          <w:rFonts w:ascii="仿宋" w:hAnsi="仿宋" w:eastAsia="仿宋"/>
          <w:b/>
          <w:sz w:val="32"/>
          <w:szCs w:val="32"/>
        </w:rPr>
      </w:pPr>
    </w:p>
    <w:p w14:paraId="11698F37">
      <w:pPr>
        <w:keepNext w:val="0"/>
        <w:keepLines w:val="0"/>
        <w:pageBreakBefore w:val="0"/>
        <w:widowControl/>
        <w:kinsoku/>
        <w:wordWrap/>
        <w:overflowPunct/>
        <w:topLinePunct w:val="0"/>
        <w:autoSpaceDE/>
        <w:autoSpaceDN/>
        <w:bidi w:val="0"/>
        <w:adjustRightInd/>
        <w:snapToGrid/>
        <w:spacing w:line="580" w:lineRule="exact"/>
        <w:jc w:val="center"/>
        <w:textAlignment w:val="auto"/>
        <w:rPr>
          <w:rFonts w:ascii="仿宋" w:hAnsi="仿宋" w:eastAsia="仿宋"/>
          <w:b/>
          <w:sz w:val="32"/>
          <w:szCs w:val="32"/>
        </w:rPr>
      </w:pPr>
    </w:p>
    <w:p w14:paraId="4584FBE1">
      <w:pPr>
        <w:keepNext w:val="0"/>
        <w:keepLines w:val="0"/>
        <w:pageBreakBefore w:val="0"/>
        <w:widowControl/>
        <w:kinsoku/>
        <w:wordWrap/>
        <w:overflowPunct/>
        <w:topLinePunct w:val="0"/>
        <w:autoSpaceDE/>
        <w:autoSpaceDN/>
        <w:bidi w:val="0"/>
        <w:adjustRightInd/>
        <w:snapToGrid/>
        <w:spacing w:line="580" w:lineRule="exact"/>
        <w:jc w:val="center"/>
        <w:textAlignment w:val="auto"/>
        <w:rPr>
          <w:rFonts w:ascii="仿宋" w:hAnsi="仿宋" w:eastAsia="仿宋"/>
          <w:b/>
          <w:sz w:val="32"/>
          <w:szCs w:val="32"/>
        </w:rPr>
      </w:pPr>
    </w:p>
    <w:p w14:paraId="2D37A204">
      <w:pPr>
        <w:keepNext w:val="0"/>
        <w:keepLines w:val="0"/>
        <w:pageBreakBefore w:val="0"/>
        <w:widowControl/>
        <w:kinsoku/>
        <w:wordWrap/>
        <w:overflowPunct/>
        <w:topLinePunct w:val="0"/>
        <w:autoSpaceDE/>
        <w:autoSpaceDN/>
        <w:bidi w:val="0"/>
        <w:adjustRightInd/>
        <w:snapToGrid/>
        <w:spacing w:line="580" w:lineRule="exact"/>
        <w:jc w:val="center"/>
        <w:textAlignment w:val="auto"/>
        <w:rPr>
          <w:rFonts w:ascii="仿宋" w:hAnsi="仿宋" w:eastAsia="仿宋"/>
          <w:b/>
          <w:sz w:val="32"/>
          <w:szCs w:val="32"/>
        </w:rPr>
      </w:pPr>
    </w:p>
    <w:p w14:paraId="468CB177">
      <w:pPr>
        <w:keepNext w:val="0"/>
        <w:keepLines w:val="0"/>
        <w:pageBreakBefore w:val="0"/>
        <w:widowControl/>
        <w:kinsoku/>
        <w:wordWrap/>
        <w:overflowPunct/>
        <w:topLinePunct w:val="0"/>
        <w:autoSpaceDE/>
        <w:autoSpaceDN/>
        <w:bidi w:val="0"/>
        <w:adjustRightInd/>
        <w:snapToGrid/>
        <w:spacing w:line="580" w:lineRule="exact"/>
        <w:jc w:val="center"/>
        <w:textAlignment w:val="auto"/>
        <w:rPr>
          <w:rFonts w:ascii="仿宋" w:hAnsi="仿宋" w:eastAsia="仿宋"/>
          <w:b/>
          <w:sz w:val="32"/>
          <w:szCs w:val="32"/>
        </w:rPr>
      </w:pPr>
    </w:p>
    <w:p w14:paraId="5EF789F7">
      <w:pPr>
        <w:keepNext w:val="0"/>
        <w:keepLines w:val="0"/>
        <w:pageBreakBefore w:val="0"/>
        <w:widowControl/>
        <w:kinsoku/>
        <w:wordWrap/>
        <w:overflowPunct/>
        <w:topLinePunct w:val="0"/>
        <w:autoSpaceDE/>
        <w:autoSpaceDN/>
        <w:bidi w:val="0"/>
        <w:adjustRightInd/>
        <w:snapToGrid/>
        <w:spacing w:line="580" w:lineRule="exact"/>
        <w:jc w:val="center"/>
        <w:textAlignment w:val="auto"/>
        <w:rPr>
          <w:rFonts w:ascii="仿宋" w:hAnsi="仿宋" w:eastAsia="仿宋"/>
          <w:b/>
          <w:sz w:val="32"/>
          <w:szCs w:val="32"/>
        </w:rPr>
      </w:pPr>
    </w:p>
    <w:p w14:paraId="7C49C24A">
      <w:pPr>
        <w:keepNext w:val="0"/>
        <w:keepLines w:val="0"/>
        <w:pageBreakBefore w:val="0"/>
        <w:widowControl/>
        <w:kinsoku/>
        <w:wordWrap/>
        <w:overflowPunct/>
        <w:topLinePunct w:val="0"/>
        <w:autoSpaceDE/>
        <w:autoSpaceDN/>
        <w:bidi w:val="0"/>
        <w:adjustRightInd/>
        <w:snapToGrid/>
        <w:spacing w:line="580" w:lineRule="exact"/>
        <w:jc w:val="center"/>
        <w:textAlignment w:val="auto"/>
        <w:rPr>
          <w:rFonts w:ascii="仿宋" w:hAnsi="仿宋" w:eastAsia="仿宋"/>
          <w:b/>
          <w:sz w:val="32"/>
          <w:szCs w:val="32"/>
        </w:rPr>
      </w:pPr>
    </w:p>
    <w:p w14:paraId="33F41889">
      <w:pPr>
        <w:keepNext w:val="0"/>
        <w:keepLines w:val="0"/>
        <w:pageBreakBefore w:val="0"/>
        <w:widowControl/>
        <w:kinsoku/>
        <w:wordWrap/>
        <w:overflowPunct/>
        <w:topLinePunct w:val="0"/>
        <w:autoSpaceDE/>
        <w:autoSpaceDN/>
        <w:bidi w:val="0"/>
        <w:adjustRightInd/>
        <w:snapToGrid/>
        <w:spacing w:line="580" w:lineRule="exact"/>
        <w:jc w:val="center"/>
        <w:textAlignment w:val="auto"/>
        <w:rPr>
          <w:rFonts w:ascii="仿宋" w:hAnsi="仿宋" w:eastAsia="仿宋"/>
          <w:b/>
          <w:sz w:val="32"/>
          <w:szCs w:val="32"/>
        </w:rPr>
      </w:pPr>
    </w:p>
    <w:p w14:paraId="7870C6FB">
      <w:pPr>
        <w:keepNext w:val="0"/>
        <w:keepLines w:val="0"/>
        <w:pageBreakBefore w:val="0"/>
        <w:widowControl/>
        <w:kinsoku/>
        <w:wordWrap/>
        <w:overflowPunct/>
        <w:topLinePunct w:val="0"/>
        <w:autoSpaceDE/>
        <w:autoSpaceDN/>
        <w:bidi w:val="0"/>
        <w:adjustRightInd/>
        <w:snapToGrid/>
        <w:spacing w:line="580" w:lineRule="exact"/>
        <w:jc w:val="center"/>
        <w:textAlignment w:val="auto"/>
        <w:rPr>
          <w:rFonts w:ascii="仿宋" w:hAnsi="仿宋" w:eastAsia="仿宋"/>
          <w:b/>
          <w:sz w:val="32"/>
          <w:szCs w:val="32"/>
        </w:rPr>
      </w:pPr>
    </w:p>
    <w:p w14:paraId="15B944E7">
      <w:pPr>
        <w:keepNext w:val="0"/>
        <w:keepLines w:val="0"/>
        <w:pageBreakBefore w:val="0"/>
        <w:widowControl/>
        <w:kinsoku/>
        <w:wordWrap/>
        <w:overflowPunct/>
        <w:topLinePunct w:val="0"/>
        <w:autoSpaceDE/>
        <w:autoSpaceDN/>
        <w:bidi w:val="0"/>
        <w:adjustRightInd/>
        <w:snapToGrid/>
        <w:spacing w:line="580" w:lineRule="exact"/>
        <w:jc w:val="center"/>
        <w:textAlignment w:val="auto"/>
        <w:rPr>
          <w:rFonts w:ascii="仿宋" w:hAnsi="仿宋" w:eastAsia="仿宋"/>
          <w:b/>
          <w:sz w:val="32"/>
          <w:szCs w:val="32"/>
        </w:rPr>
      </w:pPr>
    </w:p>
    <w:p w14:paraId="05C018CA">
      <w:pPr>
        <w:keepNext w:val="0"/>
        <w:keepLines w:val="0"/>
        <w:pageBreakBefore w:val="0"/>
        <w:widowControl/>
        <w:kinsoku/>
        <w:wordWrap/>
        <w:overflowPunct/>
        <w:topLinePunct w:val="0"/>
        <w:autoSpaceDE/>
        <w:autoSpaceDN/>
        <w:bidi w:val="0"/>
        <w:adjustRightInd/>
        <w:snapToGrid/>
        <w:spacing w:line="580" w:lineRule="exact"/>
        <w:jc w:val="center"/>
        <w:textAlignment w:val="auto"/>
        <w:rPr>
          <w:rFonts w:ascii="仿宋" w:hAnsi="仿宋" w:eastAsia="仿宋"/>
          <w:b/>
          <w:sz w:val="32"/>
          <w:szCs w:val="32"/>
        </w:rPr>
      </w:pPr>
    </w:p>
    <w:p w14:paraId="69048E65">
      <w:pPr>
        <w:keepNext w:val="0"/>
        <w:keepLines w:val="0"/>
        <w:pageBreakBefore w:val="0"/>
        <w:widowControl/>
        <w:kinsoku/>
        <w:wordWrap/>
        <w:overflowPunct/>
        <w:topLinePunct w:val="0"/>
        <w:autoSpaceDE/>
        <w:autoSpaceDN/>
        <w:bidi w:val="0"/>
        <w:adjustRightInd/>
        <w:snapToGrid/>
        <w:spacing w:line="580" w:lineRule="exact"/>
        <w:jc w:val="center"/>
        <w:textAlignment w:val="auto"/>
        <w:rPr>
          <w:rFonts w:ascii="仿宋" w:hAnsi="仿宋" w:eastAsia="仿宋"/>
          <w:b/>
          <w:sz w:val="32"/>
          <w:szCs w:val="32"/>
        </w:rPr>
      </w:pPr>
    </w:p>
    <w:p w14:paraId="08C475EE">
      <w:pPr>
        <w:keepNext w:val="0"/>
        <w:keepLines w:val="0"/>
        <w:pageBreakBefore w:val="0"/>
        <w:widowControl/>
        <w:kinsoku/>
        <w:wordWrap/>
        <w:overflowPunct/>
        <w:topLinePunct w:val="0"/>
        <w:autoSpaceDE/>
        <w:autoSpaceDN/>
        <w:bidi w:val="0"/>
        <w:adjustRightInd/>
        <w:snapToGrid/>
        <w:spacing w:line="580" w:lineRule="exact"/>
        <w:jc w:val="center"/>
        <w:textAlignment w:val="auto"/>
        <w:rPr>
          <w:rFonts w:ascii="仿宋" w:hAnsi="仿宋" w:eastAsia="仿宋"/>
          <w:b/>
          <w:sz w:val="32"/>
          <w:szCs w:val="32"/>
        </w:rPr>
      </w:pPr>
    </w:p>
    <w:p w14:paraId="3E288CB7">
      <w:pPr>
        <w:keepNext w:val="0"/>
        <w:keepLines w:val="0"/>
        <w:pageBreakBefore w:val="0"/>
        <w:widowControl/>
        <w:kinsoku/>
        <w:wordWrap/>
        <w:overflowPunct/>
        <w:topLinePunct w:val="0"/>
        <w:autoSpaceDE/>
        <w:autoSpaceDN/>
        <w:bidi w:val="0"/>
        <w:adjustRightInd/>
        <w:snapToGrid/>
        <w:spacing w:line="580" w:lineRule="exact"/>
        <w:jc w:val="center"/>
        <w:textAlignment w:val="auto"/>
        <w:rPr>
          <w:rFonts w:ascii="仿宋" w:hAnsi="仿宋" w:eastAsia="仿宋"/>
          <w:b/>
          <w:sz w:val="32"/>
          <w:szCs w:val="32"/>
        </w:rPr>
      </w:pPr>
    </w:p>
    <w:p w14:paraId="7F80B0A8">
      <w:pPr>
        <w:keepNext w:val="0"/>
        <w:keepLines w:val="0"/>
        <w:pageBreakBefore w:val="0"/>
        <w:widowControl/>
        <w:kinsoku/>
        <w:wordWrap/>
        <w:overflowPunct/>
        <w:topLinePunct w:val="0"/>
        <w:autoSpaceDE/>
        <w:autoSpaceDN/>
        <w:bidi w:val="0"/>
        <w:adjustRightInd/>
        <w:snapToGrid/>
        <w:spacing w:line="580" w:lineRule="exact"/>
        <w:jc w:val="center"/>
        <w:textAlignment w:val="auto"/>
        <w:rPr>
          <w:rFonts w:ascii="仿宋" w:hAnsi="仿宋" w:eastAsia="仿宋"/>
          <w:b/>
          <w:sz w:val="32"/>
          <w:szCs w:val="32"/>
        </w:rPr>
      </w:pPr>
    </w:p>
    <w:p w14:paraId="759266B3">
      <w:pPr>
        <w:keepNext w:val="0"/>
        <w:keepLines w:val="0"/>
        <w:pageBreakBefore w:val="0"/>
        <w:widowControl/>
        <w:kinsoku/>
        <w:wordWrap/>
        <w:overflowPunct/>
        <w:topLinePunct w:val="0"/>
        <w:autoSpaceDE/>
        <w:autoSpaceDN/>
        <w:bidi w:val="0"/>
        <w:adjustRightInd/>
        <w:snapToGrid/>
        <w:spacing w:line="580" w:lineRule="exact"/>
        <w:jc w:val="center"/>
        <w:textAlignment w:val="auto"/>
        <w:rPr>
          <w:rFonts w:ascii="仿宋" w:hAnsi="仿宋" w:eastAsia="仿宋"/>
          <w:b/>
          <w:sz w:val="32"/>
          <w:szCs w:val="32"/>
        </w:rPr>
      </w:pPr>
    </w:p>
    <w:p w14:paraId="08C9F2CF">
      <w:pPr>
        <w:keepNext w:val="0"/>
        <w:keepLines w:val="0"/>
        <w:pageBreakBefore w:val="0"/>
        <w:widowControl/>
        <w:kinsoku/>
        <w:wordWrap/>
        <w:overflowPunct/>
        <w:topLinePunct w:val="0"/>
        <w:autoSpaceDE/>
        <w:autoSpaceDN/>
        <w:bidi w:val="0"/>
        <w:adjustRightInd/>
        <w:snapToGrid/>
        <w:spacing w:line="580" w:lineRule="exact"/>
        <w:jc w:val="center"/>
        <w:textAlignment w:val="auto"/>
        <w:rPr>
          <w:rFonts w:ascii="仿宋" w:hAnsi="仿宋" w:eastAsia="仿宋"/>
          <w:b/>
          <w:sz w:val="32"/>
          <w:szCs w:val="32"/>
        </w:rPr>
      </w:pPr>
    </w:p>
    <w:p w14:paraId="003F78C6">
      <w:pPr>
        <w:keepNext w:val="0"/>
        <w:keepLines w:val="0"/>
        <w:pageBreakBefore w:val="0"/>
        <w:widowControl/>
        <w:kinsoku/>
        <w:wordWrap/>
        <w:overflowPunct/>
        <w:topLinePunct w:val="0"/>
        <w:autoSpaceDE/>
        <w:autoSpaceDN/>
        <w:bidi w:val="0"/>
        <w:adjustRightInd/>
        <w:snapToGrid/>
        <w:spacing w:line="580" w:lineRule="exact"/>
        <w:jc w:val="center"/>
        <w:textAlignment w:val="auto"/>
        <w:rPr>
          <w:rFonts w:ascii="仿宋" w:hAnsi="仿宋" w:eastAsia="仿宋"/>
          <w:b/>
          <w:sz w:val="32"/>
          <w:szCs w:val="32"/>
        </w:rPr>
      </w:pPr>
    </w:p>
    <w:p w14:paraId="74BE0C1B">
      <w:pPr>
        <w:keepNext w:val="0"/>
        <w:keepLines w:val="0"/>
        <w:pageBreakBefore w:val="0"/>
        <w:widowControl/>
        <w:kinsoku/>
        <w:wordWrap/>
        <w:overflowPunct/>
        <w:topLinePunct w:val="0"/>
        <w:autoSpaceDE/>
        <w:autoSpaceDN/>
        <w:bidi w:val="0"/>
        <w:adjustRightInd/>
        <w:snapToGrid/>
        <w:spacing w:line="580" w:lineRule="exact"/>
        <w:jc w:val="center"/>
        <w:textAlignment w:val="auto"/>
        <w:rPr>
          <w:rFonts w:ascii="仿宋" w:hAnsi="仿宋" w:eastAsia="仿宋"/>
          <w:b/>
          <w:sz w:val="32"/>
          <w:szCs w:val="32"/>
        </w:rPr>
      </w:pPr>
    </w:p>
    <w:p w14:paraId="61362148">
      <w:pPr>
        <w:keepNext w:val="0"/>
        <w:keepLines w:val="0"/>
        <w:pageBreakBefore w:val="0"/>
        <w:widowControl/>
        <w:kinsoku/>
        <w:wordWrap/>
        <w:overflowPunct/>
        <w:topLinePunct w:val="0"/>
        <w:autoSpaceDE/>
        <w:autoSpaceDN/>
        <w:bidi w:val="0"/>
        <w:adjustRightInd/>
        <w:snapToGrid/>
        <w:spacing w:line="580" w:lineRule="exact"/>
        <w:jc w:val="center"/>
        <w:textAlignment w:val="auto"/>
        <w:rPr>
          <w:rFonts w:ascii="仿宋" w:hAnsi="仿宋" w:eastAsia="仿宋"/>
          <w:b/>
          <w:sz w:val="32"/>
          <w:szCs w:val="32"/>
        </w:rPr>
      </w:pPr>
      <w:r>
        <w:rPr>
          <w:rFonts w:ascii="仿宋" w:hAnsi="仿宋" w:eastAsia="仿宋"/>
          <w:b/>
          <w:sz w:val="32"/>
          <w:szCs w:val="32"/>
        </w:rPr>
        <w:t>需求框架</w:t>
      </w:r>
      <w:r>
        <w:rPr>
          <w:rFonts w:hint="eastAsia" w:ascii="仿宋" w:hAnsi="仿宋" w:eastAsia="仿宋"/>
          <w:b/>
          <w:sz w:val="32"/>
          <w:szCs w:val="32"/>
        </w:rPr>
        <w:t>（服务类</w:t>
      </w:r>
      <w:r>
        <w:rPr>
          <w:rFonts w:ascii="仿宋" w:hAnsi="仿宋" w:eastAsia="仿宋"/>
          <w:b/>
          <w:sz w:val="32"/>
          <w:szCs w:val="32"/>
        </w:rPr>
        <w:t>）</w:t>
      </w:r>
    </w:p>
    <w:p w14:paraId="3D04FD50">
      <w:pPr>
        <w:keepNext w:val="0"/>
        <w:keepLines w:val="0"/>
        <w:pageBreakBefore w:val="0"/>
        <w:pBdr>
          <w:bottom w:val="single" w:color="auto" w:sz="4" w:space="1"/>
        </w:pBdr>
        <w:kinsoku/>
        <w:wordWrap/>
        <w:overflowPunct/>
        <w:topLinePunct w:val="0"/>
        <w:autoSpaceDE/>
        <w:autoSpaceDN/>
        <w:bidi w:val="0"/>
        <w:adjustRightInd/>
        <w:snapToGrid/>
        <w:spacing w:line="580" w:lineRule="exact"/>
        <w:ind w:left="420" w:hanging="420"/>
        <w:textAlignment w:val="auto"/>
        <w:rPr>
          <w:rFonts w:ascii="仿宋" w:hAnsi="仿宋" w:eastAsia="仿宋"/>
          <w:b/>
          <w:sz w:val="28"/>
          <w:szCs w:val="28"/>
        </w:rPr>
      </w:pPr>
      <w:r>
        <w:rPr>
          <w:rFonts w:ascii="仿宋" w:hAnsi="仿宋" w:eastAsia="仿宋"/>
          <w:b/>
          <w:sz w:val="28"/>
          <w:szCs w:val="28"/>
        </w:rPr>
        <w:t>一、项目</w:t>
      </w:r>
      <w:r>
        <w:rPr>
          <w:rFonts w:hint="eastAsia" w:ascii="仿宋" w:hAnsi="仿宋" w:eastAsia="仿宋"/>
          <w:b/>
          <w:sz w:val="28"/>
          <w:szCs w:val="28"/>
        </w:rPr>
        <w:t>概况</w:t>
      </w:r>
    </w:p>
    <w:p w14:paraId="53B7C3EC">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default" w:ascii="仿宋" w:hAnsi="仿宋" w:eastAsia="仿宋"/>
          <w:sz w:val="28"/>
          <w:szCs w:val="28"/>
          <w:highlight w:val="none"/>
          <w:lang w:val="en-US" w:eastAsia="zh-CN"/>
        </w:rPr>
      </w:pPr>
      <w:r>
        <w:rPr>
          <w:rFonts w:hint="eastAsia" w:ascii="仿宋" w:hAnsi="仿宋" w:eastAsia="仿宋"/>
          <w:sz w:val="28"/>
          <w:szCs w:val="28"/>
          <w:highlight w:val="none"/>
          <w:lang w:val="en-US" w:eastAsia="zh-CN"/>
        </w:rPr>
        <w:t>以政府购买服务的形式为年龄16-59(＜60)周岁的智力、精神和重度肢体及多重残疾人提供专业化长期生活照料和日常护理服务。</w:t>
      </w:r>
    </w:p>
    <w:p w14:paraId="40A165EA">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default" w:ascii="仿宋" w:hAnsi="仿宋" w:eastAsia="仿宋"/>
          <w:sz w:val="28"/>
          <w:szCs w:val="28"/>
          <w:highlight w:val="none"/>
          <w:lang w:val="en-US" w:eastAsia="zh-CN"/>
        </w:rPr>
      </w:pPr>
      <w:r>
        <w:rPr>
          <w:rFonts w:hint="eastAsia" w:ascii="仿宋" w:hAnsi="仿宋" w:eastAsia="仿宋"/>
          <w:sz w:val="28"/>
          <w:szCs w:val="28"/>
          <w:highlight w:val="none"/>
          <w:lang w:val="en-US" w:eastAsia="zh-CN"/>
        </w:rPr>
        <w:t>针对不同残疾类别和程度，采取多种托养形式，实行分类服务，以满足残疾人的个性化需求。</w:t>
      </w:r>
    </w:p>
    <w:p w14:paraId="6D320B3B">
      <w:pPr>
        <w:keepNext w:val="0"/>
        <w:keepLines w:val="0"/>
        <w:pageBreakBefore w:val="0"/>
        <w:pBdr>
          <w:bottom w:val="single" w:color="auto" w:sz="4" w:space="1"/>
        </w:pBdr>
        <w:kinsoku/>
        <w:wordWrap/>
        <w:overflowPunct/>
        <w:topLinePunct w:val="0"/>
        <w:autoSpaceDE/>
        <w:autoSpaceDN/>
        <w:bidi w:val="0"/>
        <w:adjustRightInd/>
        <w:snapToGrid/>
        <w:spacing w:line="580" w:lineRule="exact"/>
        <w:ind w:left="420" w:hanging="420"/>
        <w:textAlignment w:val="auto"/>
        <w:rPr>
          <w:rFonts w:ascii="仿宋" w:hAnsi="仿宋" w:eastAsia="仿宋"/>
          <w:b/>
          <w:sz w:val="28"/>
          <w:szCs w:val="28"/>
        </w:rPr>
      </w:pPr>
      <w:r>
        <w:rPr>
          <w:rFonts w:hint="eastAsia" w:ascii="仿宋" w:hAnsi="仿宋" w:eastAsia="仿宋"/>
          <w:b/>
          <w:sz w:val="28"/>
          <w:szCs w:val="28"/>
        </w:rPr>
        <w:t>二、服务内容（包括工作区域、工作内容等）</w:t>
      </w:r>
    </w:p>
    <w:p w14:paraId="7D47FC53">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 w:hAnsi="仿宋" w:eastAsia="仿宋" w:cs="Times New Roman"/>
          <w:sz w:val="28"/>
          <w:szCs w:val="28"/>
          <w:lang w:val="en-US" w:eastAsia="zh-CN"/>
        </w:rPr>
      </w:pPr>
      <w:r>
        <w:rPr>
          <w:rFonts w:hint="eastAsia" w:ascii="仿宋" w:hAnsi="仿宋" w:eastAsia="仿宋" w:cs="Times New Roman"/>
          <w:color w:val="auto"/>
          <w:sz w:val="28"/>
          <w:szCs w:val="28"/>
          <w:lang w:val="en-US" w:eastAsia="zh-CN"/>
        </w:rPr>
        <w:t>（一）</w:t>
      </w:r>
      <w:r>
        <w:rPr>
          <w:rFonts w:hint="eastAsia" w:ascii="仿宋" w:hAnsi="仿宋" w:eastAsia="仿宋" w:cs="Times New Roman"/>
          <w:sz w:val="28"/>
          <w:szCs w:val="28"/>
          <w:lang w:val="en-US" w:eastAsia="zh-CN"/>
        </w:rPr>
        <w:t>集中托养,依据《就业年龄段智力、精神及重度肢体残疾人托养服务规范》（GB/T37516—2019）要求，采用24小时寄宿制集中居住和照料模式，为日常饮食起居需要专人护理而家庭护理有困难的智力、精神和重度肢体及多重残疾人提供专业化长期生活照料和日常护理等服务,具体内容包括提供生活照料和护理；生活自理能力训练；社会适应能力辅导；职业康复和劳动技能训练；运动功能训练等,服务人数约21人。</w:t>
      </w:r>
    </w:p>
    <w:p w14:paraId="64755105">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cs="Times New Roman"/>
          <w:color w:val="auto"/>
          <w:sz w:val="28"/>
          <w:szCs w:val="28"/>
          <w:lang w:val="en-US" w:eastAsia="zh-CN"/>
        </w:rPr>
        <w:t>（二）</w:t>
      </w:r>
      <w:r>
        <w:rPr>
          <w:rFonts w:hint="eastAsia" w:ascii="仿宋" w:hAnsi="仿宋" w:eastAsia="仿宋" w:cs="Times New Roman"/>
          <w:sz w:val="28"/>
          <w:szCs w:val="28"/>
          <w:lang w:val="en-US" w:eastAsia="zh-CN"/>
        </w:rPr>
        <w:t>居家安养，</w:t>
      </w:r>
      <w:r>
        <w:rPr>
          <w:rFonts w:hint="eastAsia" w:ascii="仿宋" w:hAnsi="仿宋" w:eastAsia="仿宋"/>
          <w:sz w:val="28"/>
          <w:szCs w:val="28"/>
          <w:lang w:val="en-US" w:eastAsia="zh-CN"/>
        </w:rPr>
        <w:t>残疾人家中,服务人数约150人：</w:t>
      </w:r>
    </w:p>
    <w:p w14:paraId="40CB616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1.生活照料服务：送餐服务、助餐服务、起居服务、助浴服务、理发服务、代购代办服务；</w:t>
      </w:r>
    </w:p>
    <w:p w14:paraId="1E7DD34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2.保洁服务：院子保洁服务、被服清洁服务、衣物熨烫服务、衣柜收纳服务；</w:t>
      </w:r>
    </w:p>
    <w:p w14:paraId="7DA53C0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3.医疗协助服务：陪同就医、测量血压、康复护理、协助使用康复保健仪器、进行康复训练；</w:t>
      </w:r>
    </w:p>
    <w:p w14:paraId="6F84BDE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4.心理慰藉服务：文化学习服务、欣赏游玩服务、精神慰藉服务；</w:t>
      </w:r>
    </w:p>
    <w:p w14:paraId="05C50454">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5.其他服务：根据居家安养残疾人需求，进行个性化的服务。</w:t>
      </w:r>
    </w:p>
    <w:p w14:paraId="199F61EA">
      <w:pPr>
        <w:pStyle w:val="3"/>
        <w:rPr>
          <w:rFonts w:hint="default"/>
          <w:lang w:val="en-US" w:eastAsia="zh-CN"/>
        </w:rPr>
      </w:pPr>
    </w:p>
    <w:p w14:paraId="3FC53893">
      <w:pPr>
        <w:keepNext w:val="0"/>
        <w:keepLines w:val="0"/>
        <w:pageBreakBefore w:val="0"/>
        <w:pBdr>
          <w:bottom w:val="single" w:color="auto" w:sz="4" w:space="1"/>
        </w:pBdr>
        <w:kinsoku/>
        <w:wordWrap/>
        <w:overflowPunct/>
        <w:topLinePunct w:val="0"/>
        <w:autoSpaceDE/>
        <w:autoSpaceDN/>
        <w:bidi w:val="0"/>
        <w:adjustRightInd/>
        <w:snapToGrid/>
        <w:spacing w:line="580" w:lineRule="exact"/>
        <w:ind w:left="420" w:hanging="420"/>
        <w:textAlignment w:val="auto"/>
        <w:rPr>
          <w:rFonts w:ascii="仿宋" w:hAnsi="仿宋" w:eastAsia="仿宋"/>
          <w:b/>
          <w:sz w:val="28"/>
          <w:szCs w:val="28"/>
        </w:rPr>
      </w:pPr>
      <w:r>
        <w:rPr>
          <w:rFonts w:hint="eastAsia" w:ascii="仿宋" w:hAnsi="仿宋" w:eastAsia="仿宋"/>
          <w:b/>
          <w:sz w:val="28"/>
          <w:szCs w:val="28"/>
        </w:rPr>
        <w:t>三、技术要求（如有，一般适合于技术服务项目）</w:t>
      </w:r>
    </w:p>
    <w:p w14:paraId="62B6CC9C">
      <w:pPr>
        <w:ind w:firstLine="560" w:firstLineChars="200"/>
        <w:rPr>
          <w:rFonts w:hint="default" w:ascii="仿宋" w:hAnsi="仿宋" w:eastAsia="仿宋" w:cs="仿宋"/>
          <w:sz w:val="28"/>
          <w:szCs w:val="32"/>
          <w:lang w:val="en-US" w:eastAsia="zh-CN"/>
        </w:rPr>
      </w:pPr>
      <w:r>
        <w:rPr>
          <w:rFonts w:hint="eastAsia" w:ascii="仿宋" w:hAnsi="仿宋" w:eastAsia="仿宋" w:cs="仿宋"/>
          <w:sz w:val="28"/>
          <w:szCs w:val="32"/>
          <w:lang w:val="en-US" w:eastAsia="zh-CN"/>
        </w:rPr>
        <w:t>满足</w:t>
      </w:r>
      <w:r>
        <w:rPr>
          <w:rFonts w:hint="eastAsia" w:ascii="仿宋" w:hAnsi="仿宋" w:eastAsia="仿宋" w:cs="Times New Roman"/>
          <w:sz w:val="28"/>
          <w:szCs w:val="28"/>
          <w:lang w:val="en-US" w:eastAsia="zh-CN"/>
        </w:rPr>
        <w:t>托养</w:t>
      </w:r>
      <w:r>
        <w:rPr>
          <w:rFonts w:hint="eastAsia" w:ascii="仿宋" w:hAnsi="仿宋" w:eastAsia="仿宋" w:cs="仿宋"/>
          <w:sz w:val="28"/>
          <w:szCs w:val="32"/>
          <w:lang w:val="en-US" w:eastAsia="zh-CN"/>
        </w:rPr>
        <w:t>服务的要求。</w:t>
      </w:r>
    </w:p>
    <w:p w14:paraId="40F891F9">
      <w:pPr>
        <w:keepNext w:val="0"/>
        <w:keepLines w:val="0"/>
        <w:pageBreakBefore w:val="0"/>
        <w:pBdr>
          <w:bottom w:val="single" w:color="auto" w:sz="4" w:space="1"/>
        </w:pBdr>
        <w:kinsoku/>
        <w:wordWrap/>
        <w:overflowPunct/>
        <w:topLinePunct w:val="0"/>
        <w:autoSpaceDE/>
        <w:autoSpaceDN/>
        <w:bidi w:val="0"/>
        <w:adjustRightInd/>
        <w:snapToGrid/>
        <w:spacing w:line="580" w:lineRule="exact"/>
        <w:ind w:left="420" w:hanging="420"/>
        <w:textAlignment w:val="auto"/>
        <w:rPr>
          <w:rFonts w:ascii="仿宋" w:hAnsi="仿宋" w:eastAsia="仿宋"/>
          <w:b/>
          <w:sz w:val="28"/>
          <w:szCs w:val="28"/>
        </w:rPr>
      </w:pPr>
      <w:r>
        <w:rPr>
          <w:rFonts w:hint="eastAsia" w:ascii="仿宋" w:hAnsi="仿宋" w:eastAsia="仿宋"/>
          <w:b/>
          <w:sz w:val="28"/>
          <w:szCs w:val="28"/>
        </w:rPr>
        <w:t>四、服务要求（如对人员配置、专业设备、服务标准等）</w:t>
      </w:r>
    </w:p>
    <w:p w14:paraId="1C7FFCD6">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1.机构资质。应依法建立、合法运营，具有与其业务范围相适应的经营场所，审批与注册登记手续齐全；应有稳定的运营资金保障，有完整的管理运行制度；应遵守有关国家法律法规，执行残疾人集中托养相关规定，并自觉接受社会监督和业务主管部门的管理；应保护服务对象的隐私，妥善保管其个人信息及资料可以依托符合条件的养老机构开展残疾人托养服务。</w:t>
      </w:r>
    </w:p>
    <w:p w14:paraId="1951B286">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2.人员配备。机构应当配备专业管理人员、专职或兼职专业技术人员和能满足服务需求的工勤人员;从业人员应持有身份证明、健康证明、对需持证上岗的岗位，应按照有关法律法规规定持有有效的从业资格和职业资格证书；每年参加 1 次以上相关专业培训。集中托养机构服务人员与服务对象比例不低于1:7。</w:t>
      </w:r>
    </w:p>
    <w:p w14:paraId="6014C344">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3.场地要求。集中托养服务机构房屋建筑质量安全、消防设施、无障碍环境应符合国家相关规定的要求。单人间使用面积不少于 10 ㎡；合居型室人均可使用面积不小于6㎡。</w:t>
      </w:r>
    </w:p>
    <w:p w14:paraId="531E71E7">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4.环境卫生。环境整洁、卫生，空气流通，采光充足;公共标识设置与无障碍设施符合相关规定。</w:t>
      </w:r>
    </w:p>
    <w:p w14:paraId="3B72658A">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5.设施设备。集中托养机构服务场所应装有空调或其他适用的取暖、降温设备，提供全天候热水供应;配备照明设备，公共区域设置应急照明灯；配备养护起居、护理保健和文体活动等基本设施，设备完好；配备远程监控安全管理和互联网云考勤管理设备。</w:t>
      </w:r>
    </w:p>
    <w:p w14:paraId="7F211CA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6.居家安养为每位残疾人提供服务不得少于100小时。</w:t>
      </w:r>
    </w:p>
    <w:p w14:paraId="5627455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乙方选派优秀服务员上门为残疾人服务，并与残疾人建立服务档案；每次服务结束填写服务记录表，服务对象在服务记录表签字或按手印予以确认，并对本次服务进行评价。</w:t>
      </w:r>
    </w:p>
    <w:p w14:paraId="292609D2">
      <w:pPr>
        <w:keepNext w:val="0"/>
        <w:keepLines w:val="0"/>
        <w:pageBreakBefore w:val="0"/>
        <w:pBdr>
          <w:bottom w:val="single" w:color="auto" w:sz="4" w:space="1"/>
        </w:pBdr>
        <w:kinsoku/>
        <w:wordWrap/>
        <w:overflowPunct/>
        <w:topLinePunct w:val="0"/>
        <w:autoSpaceDE/>
        <w:autoSpaceDN/>
        <w:bidi w:val="0"/>
        <w:adjustRightInd/>
        <w:snapToGrid/>
        <w:spacing w:line="580" w:lineRule="exact"/>
        <w:ind w:left="420" w:hanging="420"/>
        <w:textAlignment w:val="auto"/>
        <w:rPr>
          <w:rFonts w:ascii="仿宋" w:hAnsi="仿宋" w:eastAsia="仿宋"/>
          <w:b/>
          <w:sz w:val="28"/>
          <w:szCs w:val="28"/>
        </w:rPr>
      </w:pPr>
      <w:r>
        <w:rPr>
          <w:rFonts w:hint="eastAsia" w:ascii="仿宋" w:hAnsi="仿宋" w:eastAsia="仿宋"/>
          <w:b/>
          <w:sz w:val="28"/>
          <w:szCs w:val="28"/>
        </w:rPr>
        <w:t>五、商务要求（如服务期限、款项结算等）</w:t>
      </w:r>
    </w:p>
    <w:p w14:paraId="095075DE">
      <w:pPr>
        <w:keepNext w:val="0"/>
        <w:keepLines w:val="0"/>
        <w:pageBreakBefore w:val="0"/>
        <w:widowControl w:val="0"/>
        <w:kinsoku/>
        <w:wordWrap/>
        <w:overflowPunct/>
        <w:topLinePunct w:val="0"/>
        <w:autoSpaceDE/>
        <w:autoSpaceDN/>
        <w:bidi w:val="0"/>
        <w:adjustRightInd/>
        <w:snapToGrid/>
        <w:spacing w:line="580" w:lineRule="exact"/>
        <w:ind w:firstLine="280" w:firstLineChars="100"/>
        <w:textAlignment w:val="auto"/>
        <w:rPr>
          <w:rFonts w:hint="eastAsia" w:ascii="仿宋" w:hAnsi="仿宋" w:eastAsia="仿宋"/>
          <w:sz w:val="28"/>
          <w:szCs w:val="28"/>
        </w:rPr>
      </w:pPr>
      <w:r>
        <w:rPr>
          <w:rFonts w:hint="eastAsia" w:ascii="仿宋" w:hAnsi="仿宋" w:eastAsia="仿宋"/>
          <w:sz w:val="28"/>
          <w:szCs w:val="28"/>
        </w:rPr>
        <w:t>（一）服务期限</w:t>
      </w:r>
    </w:p>
    <w:p w14:paraId="5181DBC7">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 w:hAnsi="仿宋" w:eastAsia="仿宋"/>
          <w:color w:val="000000" w:themeColor="text1"/>
          <w:sz w:val="28"/>
          <w:szCs w:val="28"/>
        </w:rPr>
      </w:pPr>
      <w:r>
        <w:rPr>
          <w:rFonts w:hint="eastAsia" w:ascii="仿宋" w:hAnsi="仿宋" w:eastAsia="仿宋"/>
          <w:color w:val="000000" w:themeColor="text1"/>
          <w:sz w:val="28"/>
          <w:szCs w:val="28"/>
        </w:rPr>
        <w:t>自合同签订之日起</w:t>
      </w:r>
      <w:r>
        <w:rPr>
          <w:rFonts w:hint="eastAsia" w:ascii="仿宋" w:hAnsi="仿宋" w:eastAsia="仿宋"/>
          <w:color w:val="auto"/>
          <w:sz w:val="28"/>
          <w:szCs w:val="28"/>
          <w:highlight w:val="none"/>
          <w:lang w:val="en-US" w:eastAsia="zh-CN"/>
        </w:rPr>
        <w:t>至2027年4月30日</w:t>
      </w:r>
      <w:r>
        <w:rPr>
          <w:rFonts w:hint="eastAsia" w:ascii="仿宋" w:hAnsi="仿宋" w:eastAsia="仿宋"/>
          <w:color w:val="auto"/>
          <w:sz w:val="28"/>
          <w:szCs w:val="28"/>
        </w:rPr>
        <w:t>。</w:t>
      </w:r>
    </w:p>
    <w:p w14:paraId="55C47222">
      <w:pPr>
        <w:keepNext w:val="0"/>
        <w:keepLines w:val="0"/>
        <w:pageBreakBefore w:val="0"/>
        <w:widowControl w:val="0"/>
        <w:kinsoku/>
        <w:wordWrap/>
        <w:overflowPunct/>
        <w:topLinePunct w:val="0"/>
        <w:autoSpaceDE/>
        <w:autoSpaceDN/>
        <w:bidi w:val="0"/>
        <w:adjustRightInd/>
        <w:snapToGrid/>
        <w:spacing w:line="580" w:lineRule="exact"/>
        <w:ind w:firstLine="280" w:firstLineChars="100"/>
        <w:textAlignment w:val="auto"/>
        <w:rPr>
          <w:rFonts w:hint="eastAsia" w:ascii="仿宋" w:hAnsi="仿宋" w:eastAsia="仿宋"/>
          <w:sz w:val="28"/>
          <w:szCs w:val="28"/>
        </w:rPr>
      </w:pPr>
      <w:r>
        <w:rPr>
          <w:rFonts w:hint="eastAsia" w:ascii="仿宋" w:hAnsi="仿宋" w:eastAsia="仿宋"/>
          <w:sz w:val="28"/>
          <w:szCs w:val="28"/>
          <w:lang w:eastAsia="zh-CN"/>
        </w:rPr>
        <w:t>（二）</w:t>
      </w:r>
      <w:r>
        <w:rPr>
          <w:rFonts w:hint="eastAsia" w:ascii="仿宋" w:hAnsi="仿宋" w:eastAsia="仿宋"/>
          <w:sz w:val="28"/>
          <w:szCs w:val="28"/>
        </w:rPr>
        <w:t>款项结算</w:t>
      </w:r>
    </w:p>
    <w:p w14:paraId="1ED5BD79">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lang w:val="en-US" w:eastAsia="zh-CN"/>
        </w:rPr>
        <w:t>在此项目服务完成后，</w:t>
      </w:r>
      <w:r>
        <w:rPr>
          <w:rFonts w:hint="default" w:ascii="仿宋" w:hAnsi="仿宋" w:eastAsia="仿宋"/>
          <w:sz w:val="28"/>
          <w:szCs w:val="28"/>
          <w:lang w:val="en-US" w:eastAsia="zh-CN"/>
        </w:rPr>
        <w:t>甲方根据核实情况和满意率测评结果进行服务费的申请拨付</w:t>
      </w:r>
      <w:r>
        <w:rPr>
          <w:rFonts w:hint="eastAsia" w:ascii="仿宋" w:hAnsi="仿宋" w:eastAsia="仿宋"/>
          <w:sz w:val="28"/>
          <w:szCs w:val="28"/>
          <w:lang w:val="en-US" w:eastAsia="zh-CN"/>
        </w:rPr>
        <w:t>，甲</w:t>
      </w:r>
      <w:r>
        <w:rPr>
          <w:rFonts w:hint="eastAsia" w:ascii="仿宋" w:hAnsi="仿宋" w:eastAsia="仿宋"/>
          <w:color w:val="auto"/>
          <w:sz w:val="28"/>
          <w:szCs w:val="28"/>
          <w:lang w:val="en-US" w:eastAsia="zh-CN"/>
        </w:rPr>
        <w:t>方每半年支付</w:t>
      </w:r>
      <w:r>
        <w:rPr>
          <w:rFonts w:hint="eastAsia" w:ascii="仿宋" w:hAnsi="仿宋" w:eastAsia="仿宋"/>
          <w:sz w:val="28"/>
          <w:szCs w:val="28"/>
          <w:lang w:val="en-US" w:eastAsia="zh-CN"/>
        </w:rPr>
        <w:t>供应商服务费</w:t>
      </w:r>
      <w:r>
        <w:rPr>
          <w:rFonts w:hint="default" w:ascii="仿宋" w:hAnsi="仿宋" w:eastAsia="仿宋"/>
          <w:sz w:val="28"/>
          <w:szCs w:val="28"/>
          <w:lang w:val="en-US" w:eastAsia="zh-CN"/>
        </w:rPr>
        <w:t>。</w:t>
      </w:r>
      <w:r>
        <w:rPr>
          <w:rFonts w:hint="eastAsia" w:ascii="仿宋" w:hAnsi="仿宋" w:eastAsia="仿宋"/>
          <w:sz w:val="28"/>
          <w:szCs w:val="28"/>
        </w:rPr>
        <w:t>资金结算按实际服务人数及服务时间进行结算。</w:t>
      </w:r>
    </w:p>
    <w:p w14:paraId="2F1F667E">
      <w:pPr>
        <w:keepNext w:val="0"/>
        <w:keepLines w:val="0"/>
        <w:pageBreakBefore w:val="0"/>
        <w:widowControl w:val="0"/>
        <w:kinsoku/>
        <w:wordWrap/>
        <w:overflowPunct/>
        <w:topLinePunct w:val="0"/>
        <w:autoSpaceDE/>
        <w:autoSpaceDN/>
        <w:bidi w:val="0"/>
        <w:adjustRightInd/>
        <w:snapToGrid/>
        <w:spacing w:line="580" w:lineRule="exact"/>
        <w:ind w:firstLine="280" w:firstLineChars="100"/>
        <w:textAlignment w:val="auto"/>
        <w:rPr>
          <w:rFonts w:hint="eastAsia" w:ascii="仿宋" w:hAnsi="仿宋" w:eastAsia="仿宋"/>
          <w:sz w:val="28"/>
          <w:szCs w:val="28"/>
        </w:rPr>
      </w:pPr>
      <w:r>
        <w:rPr>
          <w:rFonts w:hint="eastAsia" w:ascii="仿宋" w:hAnsi="仿宋" w:eastAsia="仿宋"/>
          <w:sz w:val="28"/>
          <w:szCs w:val="28"/>
          <w:lang w:val="en-US" w:eastAsia="zh-CN"/>
        </w:rPr>
        <w:t>(三)补助标准</w:t>
      </w:r>
    </w:p>
    <w:p w14:paraId="6475A761">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cs="仿宋"/>
          <w:b w:val="0"/>
          <w:bCs w:val="0"/>
          <w:sz w:val="28"/>
          <w:szCs w:val="28"/>
          <w:lang w:val="en-US" w:eastAsia="zh-CN"/>
        </w:rPr>
        <w:t>1、集</w:t>
      </w:r>
      <w:r>
        <w:rPr>
          <w:rFonts w:hint="eastAsia" w:ascii="仿宋" w:hAnsi="仿宋" w:eastAsia="仿宋"/>
          <w:sz w:val="28"/>
          <w:szCs w:val="28"/>
          <w:lang w:val="en-US" w:eastAsia="zh-CN"/>
        </w:rPr>
        <w:t>中托养</w:t>
      </w:r>
      <w:r>
        <w:rPr>
          <w:rFonts w:hint="default" w:ascii="仿宋" w:hAnsi="仿宋" w:eastAsia="仿宋"/>
          <w:sz w:val="28"/>
          <w:szCs w:val="28"/>
          <w:lang w:val="en-US" w:eastAsia="zh-CN"/>
        </w:rPr>
        <w:t>每服务3个月为1人次，每人次购买标准6000元。个别服务对象确需长期服务的，按具体服务的时间确定人次。</w:t>
      </w:r>
    </w:p>
    <w:p w14:paraId="4CA60017">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default" w:ascii="仿宋" w:hAnsi="仿宋" w:eastAsia="仿宋"/>
          <w:sz w:val="28"/>
          <w:szCs w:val="28"/>
          <w:lang w:val="en-US" w:eastAsia="zh-CN"/>
        </w:rPr>
      </w:pPr>
      <w:r>
        <w:rPr>
          <w:rFonts w:hint="default" w:ascii="仿宋" w:hAnsi="仿宋" w:eastAsia="仿宋"/>
          <w:sz w:val="28"/>
          <w:szCs w:val="28"/>
          <w:lang w:val="en-US" w:eastAsia="zh-CN"/>
        </w:rPr>
        <w:t>每月托养20天(含20天)以上的按1个月补助，10天(含10天)以上按80%补助，10天以下不予补助。残疾人托养服务机构撤销或托养服务对象退出的，自撤销和退出当月起停拨托养补助资金。</w:t>
      </w:r>
    </w:p>
    <w:p w14:paraId="3467DE14">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2、居家安养每服务</w:t>
      </w:r>
      <w:r>
        <w:rPr>
          <w:rFonts w:hint="eastAsia" w:ascii="仿宋" w:hAnsi="仿宋" w:eastAsia="仿宋"/>
          <w:sz w:val="28"/>
          <w:szCs w:val="28"/>
          <w:lang w:val="en-US" w:eastAsia="zh-CN"/>
        </w:rPr>
        <w:t>不少于100小时为1人次，每人次购买标准2500元。</w:t>
      </w:r>
    </w:p>
    <w:p w14:paraId="3675A989">
      <w:pPr>
        <w:keepNext w:val="0"/>
        <w:keepLines w:val="0"/>
        <w:pageBreakBefore w:val="0"/>
        <w:pBdr>
          <w:bottom w:val="single" w:color="auto" w:sz="4" w:space="1"/>
        </w:pBdr>
        <w:kinsoku/>
        <w:wordWrap/>
        <w:overflowPunct/>
        <w:topLinePunct w:val="0"/>
        <w:autoSpaceDE/>
        <w:autoSpaceDN/>
        <w:bidi w:val="0"/>
        <w:adjustRightInd/>
        <w:snapToGrid/>
        <w:spacing w:line="580" w:lineRule="exact"/>
        <w:textAlignment w:val="auto"/>
        <w:rPr>
          <w:rFonts w:ascii="仿宋" w:hAnsi="仿宋" w:eastAsia="仿宋"/>
          <w:b/>
          <w:sz w:val="28"/>
          <w:szCs w:val="28"/>
        </w:rPr>
      </w:pPr>
      <w:r>
        <w:rPr>
          <w:rFonts w:hint="eastAsia" w:ascii="仿宋" w:hAnsi="仿宋" w:eastAsia="仿宋"/>
          <w:b/>
          <w:sz w:val="28"/>
          <w:szCs w:val="28"/>
        </w:rPr>
        <w:t>六、其他（如有要求，请写明）</w:t>
      </w:r>
    </w:p>
    <w:p w14:paraId="24CF7C3A">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仿宋" w:hAnsi="仿宋" w:eastAsia="仿宋"/>
          <w:sz w:val="28"/>
          <w:szCs w:val="28"/>
        </w:rPr>
      </w:pPr>
      <w:r>
        <w:rPr>
          <w:rFonts w:hint="eastAsia" w:ascii="仿宋" w:hAnsi="仿宋" w:eastAsia="仿宋"/>
          <w:sz w:val="28"/>
          <w:szCs w:val="28"/>
        </w:rPr>
        <w:t>（一）对服务商的业绩要求</w:t>
      </w:r>
    </w:p>
    <w:p w14:paraId="04871C50">
      <w:pPr>
        <w:keepNext w:val="0"/>
        <w:keepLines w:val="0"/>
        <w:pageBreakBefore w:val="0"/>
        <w:widowControl w:val="0"/>
        <w:kinsoku/>
        <w:wordWrap/>
        <w:overflowPunct/>
        <w:topLinePunct w:val="0"/>
        <w:autoSpaceDE/>
        <w:autoSpaceDN/>
        <w:bidi w:val="0"/>
        <w:adjustRightInd/>
        <w:snapToGrid/>
        <w:spacing w:line="580" w:lineRule="exact"/>
        <w:ind w:firstLine="280" w:firstLineChars="100"/>
        <w:textAlignment w:val="auto"/>
        <w:rPr>
          <w:rFonts w:hint="default" w:ascii="仿宋" w:hAnsi="仿宋" w:eastAsia="仿宋" w:cs="Times New Roman"/>
          <w:sz w:val="28"/>
          <w:szCs w:val="28"/>
          <w:lang w:val="en-US" w:eastAsia="zh-CN"/>
        </w:rPr>
      </w:pPr>
      <w:r>
        <w:rPr>
          <w:rFonts w:hint="default" w:ascii="仿宋" w:hAnsi="仿宋" w:eastAsia="仿宋" w:cs="Times New Roman"/>
          <w:sz w:val="28"/>
          <w:szCs w:val="28"/>
          <w:lang w:val="en-US" w:eastAsia="zh-CN"/>
        </w:rPr>
        <w:t>供应商提供202</w:t>
      </w:r>
      <w:r>
        <w:rPr>
          <w:rFonts w:hint="eastAsia" w:ascii="仿宋" w:hAnsi="仿宋" w:eastAsia="仿宋" w:cs="Times New Roman"/>
          <w:sz w:val="28"/>
          <w:szCs w:val="28"/>
          <w:lang w:val="en-US" w:eastAsia="zh-CN"/>
        </w:rPr>
        <w:t>3</w:t>
      </w:r>
      <w:r>
        <w:rPr>
          <w:rFonts w:hint="default" w:ascii="仿宋" w:hAnsi="仿宋" w:eastAsia="仿宋" w:cs="Times New Roman"/>
          <w:sz w:val="28"/>
          <w:szCs w:val="28"/>
          <w:lang w:val="en-US" w:eastAsia="zh-CN"/>
        </w:rPr>
        <w:t>年1月1日起至今同类项目业绩</w:t>
      </w:r>
      <w:r>
        <w:rPr>
          <w:rFonts w:hint="eastAsia" w:ascii="仿宋" w:hAnsi="仿宋" w:eastAsia="仿宋" w:cs="Times New Roman"/>
          <w:sz w:val="28"/>
          <w:szCs w:val="28"/>
          <w:lang w:val="en-US" w:eastAsia="zh-CN"/>
        </w:rPr>
        <w:t>。</w:t>
      </w:r>
    </w:p>
    <w:p w14:paraId="4A6A47F0">
      <w:pPr>
        <w:keepNext w:val="0"/>
        <w:keepLines w:val="0"/>
        <w:pageBreakBefore w:val="0"/>
        <w:widowControl w:val="0"/>
        <w:kinsoku/>
        <w:wordWrap/>
        <w:overflowPunct/>
        <w:topLinePunct w:val="0"/>
        <w:autoSpaceDE/>
        <w:autoSpaceDN/>
        <w:bidi w:val="0"/>
        <w:adjustRightInd/>
        <w:snapToGrid/>
        <w:spacing w:line="580" w:lineRule="exact"/>
        <w:textAlignment w:val="auto"/>
        <w:rPr>
          <w:rFonts w:ascii="仿宋" w:hAnsi="仿宋" w:eastAsia="仿宋"/>
          <w:sz w:val="28"/>
          <w:szCs w:val="28"/>
        </w:rPr>
      </w:pPr>
      <w:r>
        <w:rPr>
          <w:rFonts w:hint="eastAsia" w:ascii="仿宋" w:hAnsi="仿宋" w:eastAsia="仿宋"/>
          <w:sz w:val="28"/>
          <w:szCs w:val="28"/>
        </w:rPr>
        <w:t>（二）进度要求</w:t>
      </w:r>
    </w:p>
    <w:p w14:paraId="7AA234ED">
      <w:pPr>
        <w:keepNext w:val="0"/>
        <w:keepLines w:val="0"/>
        <w:pageBreakBefore w:val="0"/>
        <w:widowControl w:val="0"/>
        <w:kinsoku/>
        <w:wordWrap/>
        <w:overflowPunct/>
        <w:topLinePunct w:val="0"/>
        <w:autoSpaceDE/>
        <w:autoSpaceDN/>
        <w:bidi w:val="0"/>
        <w:adjustRightInd/>
        <w:snapToGrid/>
        <w:spacing w:line="580" w:lineRule="exact"/>
        <w:ind w:firstLine="280" w:firstLineChars="100"/>
        <w:textAlignment w:val="auto"/>
        <w:rPr>
          <w:rFonts w:hint="eastAsia" w:ascii="仿宋" w:hAnsi="仿宋" w:eastAsia="仿宋"/>
          <w:color w:val="FF0000"/>
          <w:sz w:val="28"/>
          <w:szCs w:val="28"/>
          <w:highlight w:val="none"/>
          <w:lang w:eastAsia="zh-CN"/>
        </w:rPr>
      </w:pPr>
      <w:r>
        <w:rPr>
          <w:rFonts w:hint="eastAsia" w:ascii="仿宋" w:hAnsi="仿宋" w:eastAsia="仿宋"/>
          <w:color w:val="000000" w:themeColor="text1"/>
          <w:sz w:val="28"/>
          <w:szCs w:val="28"/>
        </w:rPr>
        <w:t>自合同签订之日起</w:t>
      </w:r>
      <w:r>
        <w:rPr>
          <w:rFonts w:hint="eastAsia" w:ascii="仿宋" w:hAnsi="仿宋" w:eastAsia="仿宋"/>
          <w:color w:val="auto"/>
          <w:sz w:val="28"/>
          <w:szCs w:val="28"/>
          <w:highlight w:val="none"/>
          <w:lang w:val="en-US" w:eastAsia="zh-CN"/>
        </w:rPr>
        <w:t>至2027年4月30日</w:t>
      </w:r>
      <w:r>
        <w:rPr>
          <w:rFonts w:hint="eastAsia" w:ascii="仿宋" w:hAnsi="仿宋" w:eastAsia="仿宋"/>
          <w:sz w:val="28"/>
          <w:szCs w:val="28"/>
          <w:highlight w:val="none"/>
          <w:lang w:val="en-US" w:eastAsia="zh-CN"/>
        </w:rPr>
        <w:t>前完成</w:t>
      </w:r>
      <w:r>
        <w:rPr>
          <w:rFonts w:hint="eastAsia" w:ascii="仿宋" w:hAnsi="仿宋" w:eastAsia="仿宋"/>
          <w:sz w:val="28"/>
          <w:szCs w:val="28"/>
          <w:highlight w:val="none"/>
          <w:lang w:eastAsia="zh-CN"/>
        </w:rPr>
        <w:t>。</w:t>
      </w:r>
    </w:p>
    <w:p w14:paraId="7C0FEA93">
      <w:pPr>
        <w:keepNext w:val="0"/>
        <w:keepLines w:val="0"/>
        <w:pageBreakBefore w:val="0"/>
        <w:widowControl w:val="0"/>
        <w:kinsoku/>
        <w:wordWrap/>
        <w:overflowPunct/>
        <w:topLinePunct w:val="0"/>
        <w:autoSpaceDE/>
        <w:autoSpaceDN/>
        <w:bidi w:val="0"/>
        <w:adjustRightInd/>
        <w:snapToGrid/>
        <w:spacing w:line="580" w:lineRule="exact"/>
        <w:textAlignment w:val="auto"/>
        <w:rPr>
          <w:rFonts w:ascii="仿宋" w:hAnsi="仿宋" w:eastAsia="仿宋"/>
          <w:sz w:val="28"/>
          <w:szCs w:val="28"/>
        </w:rPr>
      </w:pPr>
      <w:r>
        <w:rPr>
          <w:rFonts w:hint="eastAsia" w:ascii="仿宋" w:hAnsi="仿宋" w:eastAsia="仿宋"/>
          <w:sz w:val="28"/>
          <w:szCs w:val="28"/>
        </w:rPr>
        <w:t>（三）成果交付要求</w:t>
      </w:r>
    </w:p>
    <w:p w14:paraId="6BD985D7">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服务全部完成后，乙方向甲方反馈记录表和回访表，并提供服务现场照片和文字记录。</w:t>
      </w:r>
    </w:p>
    <w:p w14:paraId="764E1D84">
      <w:pPr>
        <w:keepNext w:val="0"/>
        <w:keepLines w:val="0"/>
        <w:pageBreakBefore w:val="0"/>
        <w:widowControl w:val="0"/>
        <w:kinsoku/>
        <w:wordWrap/>
        <w:overflowPunct/>
        <w:topLinePunct w:val="0"/>
        <w:autoSpaceDE/>
        <w:autoSpaceDN/>
        <w:bidi w:val="0"/>
        <w:adjustRightInd/>
        <w:snapToGrid/>
        <w:spacing w:line="580" w:lineRule="exact"/>
        <w:textAlignment w:val="auto"/>
        <w:rPr>
          <w:rFonts w:ascii="仿宋" w:hAnsi="仿宋" w:eastAsia="仿宋"/>
          <w:sz w:val="28"/>
          <w:szCs w:val="28"/>
        </w:rPr>
      </w:pPr>
      <w:r>
        <w:rPr>
          <w:rFonts w:hint="eastAsia" w:ascii="仿宋" w:hAnsi="仿宋" w:eastAsia="仿宋"/>
          <w:sz w:val="28"/>
          <w:szCs w:val="28"/>
        </w:rPr>
        <w:t>（四</w:t>
      </w:r>
      <w:r>
        <w:rPr>
          <w:rFonts w:ascii="仿宋" w:hAnsi="仿宋" w:eastAsia="仿宋"/>
          <w:sz w:val="28"/>
          <w:szCs w:val="28"/>
        </w:rPr>
        <w:t>）</w:t>
      </w:r>
      <w:r>
        <w:rPr>
          <w:rFonts w:hint="eastAsia" w:ascii="仿宋" w:hAnsi="仿宋" w:eastAsia="仿宋"/>
          <w:sz w:val="28"/>
          <w:szCs w:val="28"/>
        </w:rPr>
        <w:t>质量验收标准或规范</w:t>
      </w:r>
    </w:p>
    <w:p w14:paraId="50C33B1E">
      <w:pPr>
        <w:keepNext w:val="0"/>
        <w:keepLines w:val="0"/>
        <w:pageBreakBefore w:val="0"/>
        <w:widowControl w:val="0"/>
        <w:kinsoku/>
        <w:wordWrap/>
        <w:overflowPunct/>
        <w:topLinePunct w:val="0"/>
        <w:autoSpaceDE/>
        <w:autoSpaceDN/>
        <w:bidi w:val="0"/>
        <w:adjustRightInd/>
        <w:snapToGrid/>
        <w:spacing w:line="580" w:lineRule="exact"/>
        <w:ind w:firstLine="560" w:firstLineChars="200"/>
        <w:jc w:val="left"/>
        <w:textAlignment w:val="auto"/>
        <w:rPr>
          <w:rFonts w:hint="eastAsia" w:ascii="仿宋" w:hAnsi="仿宋" w:eastAsia="仿宋"/>
          <w:sz w:val="28"/>
          <w:szCs w:val="28"/>
          <w:lang w:eastAsia="zh-CN"/>
        </w:rPr>
      </w:pPr>
      <w:r>
        <w:rPr>
          <w:rFonts w:hint="eastAsia" w:ascii="仿宋" w:hAnsi="仿宋" w:eastAsia="仿宋"/>
          <w:sz w:val="28"/>
          <w:szCs w:val="28"/>
          <w:lang w:eastAsia="zh-CN"/>
        </w:rPr>
        <w:t>被服务残疾人满意率测评结果为依据。</w:t>
      </w:r>
      <w:r>
        <w:rPr>
          <w:rFonts w:hint="default" w:ascii="仿宋" w:hAnsi="仿宋" w:eastAsia="仿宋"/>
          <w:sz w:val="28"/>
          <w:szCs w:val="28"/>
          <w:lang w:val="en-US" w:eastAsia="zh-CN"/>
        </w:rPr>
        <w:t>满意率达到</w:t>
      </w:r>
      <w:r>
        <w:rPr>
          <w:rFonts w:hint="eastAsia" w:ascii="仿宋" w:hAnsi="仿宋" w:eastAsia="仿宋"/>
          <w:sz w:val="28"/>
          <w:szCs w:val="28"/>
          <w:lang w:val="en-US" w:eastAsia="zh-CN"/>
        </w:rPr>
        <w:t>8</w:t>
      </w:r>
      <w:r>
        <w:rPr>
          <w:rFonts w:hint="default" w:ascii="仿宋" w:hAnsi="仿宋" w:eastAsia="仿宋"/>
          <w:sz w:val="28"/>
          <w:szCs w:val="28"/>
          <w:lang w:val="en-US" w:eastAsia="zh-CN"/>
        </w:rPr>
        <w:t>0%以上的，全额支付服务费用；满意率每下降一个</w:t>
      </w:r>
      <w:r>
        <w:rPr>
          <w:rFonts w:hint="eastAsia" w:ascii="仿宋" w:hAnsi="仿宋" w:eastAsia="仿宋"/>
          <w:sz w:val="28"/>
          <w:szCs w:val="28"/>
          <w:lang w:val="en-US" w:eastAsia="zh-CN"/>
        </w:rPr>
        <w:t>百分</w:t>
      </w:r>
      <w:r>
        <w:rPr>
          <w:rFonts w:hint="default" w:ascii="仿宋" w:hAnsi="仿宋" w:eastAsia="仿宋"/>
          <w:sz w:val="28"/>
          <w:szCs w:val="28"/>
          <w:lang w:val="en-US" w:eastAsia="zh-CN"/>
        </w:rPr>
        <w:t>点，扣减服务费</w:t>
      </w:r>
      <w:r>
        <w:rPr>
          <w:rFonts w:hint="eastAsia" w:ascii="仿宋" w:hAnsi="仿宋" w:eastAsia="仿宋"/>
          <w:sz w:val="28"/>
          <w:szCs w:val="28"/>
          <w:lang w:val="en-US" w:eastAsia="zh-CN"/>
        </w:rPr>
        <w:t>的1%</w:t>
      </w:r>
      <w:r>
        <w:rPr>
          <w:rFonts w:hint="default" w:ascii="仿宋" w:hAnsi="仿宋" w:eastAsia="仿宋"/>
          <w:sz w:val="28"/>
          <w:szCs w:val="28"/>
          <w:lang w:val="en-US" w:eastAsia="zh-CN"/>
        </w:rPr>
        <w:t>。满意率低于7</w:t>
      </w:r>
      <w:r>
        <w:rPr>
          <w:rFonts w:hint="eastAsia" w:ascii="仿宋" w:hAnsi="仿宋" w:eastAsia="仿宋"/>
          <w:sz w:val="28"/>
          <w:szCs w:val="28"/>
          <w:lang w:val="en-US" w:eastAsia="zh-CN"/>
        </w:rPr>
        <w:t>0</w:t>
      </w:r>
      <w:r>
        <w:rPr>
          <w:rFonts w:hint="default" w:ascii="仿宋" w:hAnsi="仿宋" w:eastAsia="仿宋"/>
          <w:sz w:val="28"/>
          <w:szCs w:val="28"/>
          <w:lang w:val="en-US" w:eastAsia="zh-CN"/>
        </w:rPr>
        <w:t>%以下的，暂停支付服务费用，并责令为期两个月整改，整改后满意率达到</w:t>
      </w:r>
      <w:r>
        <w:rPr>
          <w:rFonts w:hint="eastAsia" w:ascii="仿宋" w:hAnsi="仿宋" w:eastAsia="仿宋"/>
          <w:sz w:val="28"/>
          <w:szCs w:val="28"/>
          <w:lang w:val="en-US" w:eastAsia="zh-CN"/>
        </w:rPr>
        <w:t>8</w:t>
      </w:r>
      <w:r>
        <w:rPr>
          <w:rFonts w:hint="default" w:ascii="仿宋" w:hAnsi="仿宋" w:eastAsia="仿宋"/>
          <w:sz w:val="28"/>
          <w:szCs w:val="28"/>
          <w:lang w:val="en-US" w:eastAsia="zh-CN"/>
        </w:rPr>
        <w:t>0%的，整改期间按实际满意率兑现相应服务费，若仍低于7</w:t>
      </w:r>
      <w:r>
        <w:rPr>
          <w:rFonts w:hint="eastAsia" w:ascii="仿宋" w:hAnsi="仿宋" w:eastAsia="仿宋"/>
          <w:sz w:val="28"/>
          <w:szCs w:val="28"/>
          <w:lang w:val="en-US" w:eastAsia="zh-CN"/>
        </w:rPr>
        <w:t>0</w:t>
      </w:r>
      <w:r>
        <w:rPr>
          <w:rFonts w:hint="default" w:ascii="仿宋" w:hAnsi="仿宋" w:eastAsia="仿宋"/>
          <w:sz w:val="28"/>
          <w:szCs w:val="28"/>
          <w:lang w:val="en-US" w:eastAsia="zh-CN"/>
        </w:rPr>
        <w:t>%的，甲方有权终止合同</w:t>
      </w:r>
      <w:r>
        <w:rPr>
          <w:rFonts w:hint="eastAsia" w:ascii="仿宋" w:hAnsi="仿宋" w:eastAsia="仿宋"/>
          <w:sz w:val="28"/>
          <w:szCs w:val="28"/>
          <w:lang w:val="en-US" w:eastAsia="zh-CN"/>
        </w:rPr>
        <w:t>。</w:t>
      </w:r>
    </w:p>
    <w:p w14:paraId="32C2B3C6">
      <w:pPr>
        <w:keepNext w:val="0"/>
        <w:keepLines w:val="0"/>
        <w:pageBreakBefore w:val="0"/>
        <w:widowControl w:val="0"/>
        <w:kinsoku/>
        <w:wordWrap/>
        <w:overflowPunct/>
        <w:topLinePunct w:val="0"/>
        <w:autoSpaceDE/>
        <w:autoSpaceDN/>
        <w:bidi w:val="0"/>
        <w:adjustRightInd/>
        <w:snapToGrid/>
        <w:spacing w:line="580" w:lineRule="exact"/>
        <w:textAlignment w:val="auto"/>
        <w:rPr>
          <w:rFonts w:ascii="仿宋" w:hAnsi="仿宋" w:eastAsia="仿宋"/>
          <w:sz w:val="28"/>
          <w:szCs w:val="28"/>
        </w:rPr>
      </w:pPr>
      <w:r>
        <w:rPr>
          <w:rFonts w:hint="eastAsia" w:ascii="仿宋" w:hAnsi="仿宋" w:eastAsia="仿宋"/>
          <w:sz w:val="28"/>
          <w:szCs w:val="28"/>
        </w:rPr>
        <w:t>（</w:t>
      </w:r>
      <w:r>
        <w:rPr>
          <w:rFonts w:hint="eastAsia" w:ascii="仿宋" w:hAnsi="仿宋" w:eastAsia="仿宋"/>
          <w:sz w:val="28"/>
          <w:szCs w:val="28"/>
          <w:lang w:eastAsia="zh-CN"/>
        </w:rPr>
        <w:t>五</w:t>
      </w:r>
      <w:r>
        <w:rPr>
          <w:rFonts w:ascii="仿宋" w:hAnsi="仿宋" w:eastAsia="仿宋"/>
          <w:sz w:val="28"/>
          <w:szCs w:val="28"/>
        </w:rPr>
        <w:t>）违约责任</w:t>
      </w:r>
    </w:p>
    <w:p w14:paraId="3FDB79CC">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 w:hAnsi="仿宋" w:eastAsia="仿宋" w:cs="Times New Roman"/>
          <w:sz w:val="28"/>
          <w:szCs w:val="28"/>
          <w:lang w:val="en-US" w:eastAsia="zh-CN"/>
        </w:rPr>
      </w:pPr>
      <w:r>
        <w:rPr>
          <w:rFonts w:hint="eastAsia" w:ascii="仿宋" w:hAnsi="仿宋" w:eastAsia="仿宋" w:cs="Times New Roman"/>
          <w:sz w:val="28"/>
          <w:szCs w:val="28"/>
          <w:lang w:val="en-US" w:eastAsia="zh-CN"/>
        </w:rPr>
        <w:t xml:space="preserve">1.按照《中华人民共和国民法典》中的相关条款执行。 </w:t>
      </w:r>
    </w:p>
    <w:p w14:paraId="47E306F7">
      <w:pPr>
        <w:keepNext w:val="0"/>
        <w:keepLines w:val="0"/>
        <w:pageBreakBefore w:val="0"/>
        <w:widowControl w:val="0"/>
        <w:kinsoku/>
        <w:wordWrap/>
        <w:overflowPunct/>
        <w:topLinePunct w:val="0"/>
        <w:autoSpaceDE/>
        <w:autoSpaceDN/>
        <w:bidi w:val="0"/>
        <w:adjustRightInd/>
        <w:snapToGrid/>
        <w:spacing w:line="580" w:lineRule="exact"/>
        <w:ind w:firstLine="560" w:firstLineChars="200"/>
        <w:textAlignment w:val="auto"/>
        <w:rPr>
          <w:rFonts w:hint="eastAsia" w:ascii="仿宋" w:hAnsi="仿宋" w:eastAsia="仿宋" w:cs="Times New Roman"/>
          <w:sz w:val="28"/>
          <w:szCs w:val="28"/>
          <w:lang w:val="en-US" w:eastAsia="zh-CN"/>
        </w:rPr>
      </w:pPr>
      <w:r>
        <w:rPr>
          <w:rFonts w:hint="eastAsia" w:ascii="仿宋" w:hAnsi="仿宋" w:eastAsia="仿宋" w:cs="Times New Roman"/>
          <w:sz w:val="28"/>
          <w:szCs w:val="28"/>
          <w:lang w:val="en-US" w:eastAsia="zh-CN"/>
        </w:rPr>
        <w:t>2.成交供应商未按合同要求提供服务或提供的服务质量不能满足技术要求，且在规定时间内未使采购人满意的，采购人有权终止合同，同时报请监管部门对其违约行为进行追究。</w:t>
      </w:r>
    </w:p>
    <w:p w14:paraId="712DA281">
      <w:pPr>
        <w:keepNext w:val="0"/>
        <w:keepLines w:val="0"/>
        <w:pageBreakBefore w:val="0"/>
        <w:widowControl w:val="0"/>
        <w:kinsoku/>
        <w:wordWrap/>
        <w:overflowPunct/>
        <w:topLinePunct w:val="0"/>
        <w:autoSpaceDE/>
        <w:autoSpaceDN/>
        <w:bidi w:val="0"/>
        <w:adjustRightInd/>
        <w:snapToGrid/>
        <w:spacing w:line="580" w:lineRule="exact"/>
        <w:ind w:firstLine="420" w:firstLineChars="200"/>
        <w:textAlignment w:val="auto"/>
        <w:rPr>
          <w:rFonts w:hint="eastAsia" w:eastAsia="宋体"/>
          <w:lang w:eastAsia="zh-CN"/>
        </w:rPr>
      </w:pPr>
    </w:p>
    <w:sectPr>
      <w:footerReference r:id="rId3" w:type="default"/>
      <w:pgSz w:w="11906" w:h="16838"/>
      <w:pgMar w:top="1440" w:right="1800" w:bottom="1135"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Calibri Light">
    <w:panose1 w:val="020F03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方正小标宋简体">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KSOF0FAC8413">
    <w:panose1 w:val="020B0604020202020204"/>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F4AC02">
    <w:pPr>
      <w:spacing w:line="175" w:lineRule="auto"/>
      <w:ind w:firstLine="7560" w:firstLineChars="2700"/>
      <w:rPr>
        <w:rFonts w:ascii="宋体" w:hAnsi="宋体" w:eastAsia="宋体" w:cs="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MzZmZmQ2OWZkOTg3N2M0YjY1NDQ4Y2ZmMTMyZWNjNGYifQ=="/>
  </w:docVars>
  <w:rsids>
    <w:rsidRoot w:val="0022387C"/>
    <w:rsid w:val="0000159C"/>
    <w:rsid w:val="000019FA"/>
    <w:rsid w:val="00002BB3"/>
    <w:rsid w:val="00003F53"/>
    <w:rsid w:val="00004F9A"/>
    <w:rsid w:val="00006A52"/>
    <w:rsid w:val="00012137"/>
    <w:rsid w:val="00012844"/>
    <w:rsid w:val="00012F9B"/>
    <w:rsid w:val="00013929"/>
    <w:rsid w:val="00014DAF"/>
    <w:rsid w:val="00015802"/>
    <w:rsid w:val="00016042"/>
    <w:rsid w:val="00022F41"/>
    <w:rsid w:val="00023261"/>
    <w:rsid w:val="000234CF"/>
    <w:rsid w:val="000235C8"/>
    <w:rsid w:val="00027E6B"/>
    <w:rsid w:val="0003251F"/>
    <w:rsid w:val="00032BB4"/>
    <w:rsid w:val="00033377"/>
    <w:rsid w:val="00033B5A"/>
    <w:rsid w:val="00037F2F"/>
    <w:rsid w:val="00037FD3"/>
    <w:rsid w:val="000403A2"/>
    <w:rsid w:val="00040799"/>
    <w:rsid w:val="00040973"/>
    <w:rsid w:val="00043830"/>
    <w:rsid w:val="000440AF"/>
    <w:rsid w:val="00044F32"/>
    <w:rsid w:val="00051EF3"/>
    <w:rsid w:val="000543B4"/>
    <w:rsid w:val="00054879"/>
    <w:rsid w:val="000556F1"/>
    <w:rsid w:val="0005692F"/>
    <w:rsid w:val="00061A13"/>
    <w:rsid w:val="00063EEF"/>
    <w:rsid w:val="00064071"/>
    <w:rsid w:val="00064386"/>
    <w:rsid w:val="00067A39"/>
    <w:rsid w:val="00067D44"/>
    <w:rsid w:val="0007053B"/>
    <w:rsid w:val="00070AA6"/>
    <w:rsid w:val="0007534F"/>
    <w:rsid w:val="000770B7"/>
    <w:rsid w:val="00077B80"/>
    <w:rsid w:val="000857F2"/>
    <w:rsid w:val="00090002"/>
    <w:rsid w:val="000906B5"/>
    <w:rsid w:val="000911CC"/>
    <w:rsid w:val="000951C6"/>
    <w:rsid w:val="00095A8D"/>
    <w:rsid w:val="00096428"/>
    <w:rsid w:val="00097CDB"/>
    <w:rsid w:val="000A0237"/>
    <w:rsid w:val="000A2583"/>
    <w:rsid w:val="000B5ACF"/>
    <w:rsid w:val="000B6858"/>
    <w:rsid w:val="000B6D5A"/>
    <w:rsid w:val="000C048C"/>
    <w:rsid w:val="000C078B"/>
    <w:rsid w:val="000C21A4"/>
    <w:rsid w:val="000C538D"/>
    <w:rsid w:val="000C59A5"/>
    <w:rsid w:val="000D0AF3"/>
    <w:rsid w:val="000D0DE1"/>
    <w:rsid w:val="000D1277"/>
    <w:rsid w:val="000D4097"/>
    <w:rsid w:val="000E3FB5"/>
    <w:rsid w:val="000E6AE7"/>
    <w:rsid w:val="000F0C8A"/>
    <w:rsid w:val="000F1A9A"/>
    <w:rsid w:val="000F27AD"/>
    <w:rsid w:val="000F2BEC"/>
    <w:rsid w:val="000F35AB"/>
    <w:rsid w:val="000F3645"/>
    <w:rsid w:val="000F4ECB"/>
    <w:rsid w:val="000F66FE"/>
    <w:rsid w:val="000F6831"/>
    <w:rsid w:val="000F6A10"/>
    <w:rsid w:val="000F735B"/>
    <w:rsid w:val="000F7DA6"/>
    <w:rsid w:val="00100C1B"/>
    <w:rsid w:val="00103379"/>
    <w:rsid w:val="00106530"/>
    <w:rsid w:val="00107B8A"/>
    <w:rsid w:val="001101BD"/>
    <w:rsid w:val="00111F0F"/>
    <w:rsid w:val="001131D6"/>
    <w:rsid w:val="00113B9B"/>
    <w:rsid w:val="00121FC0"/>
    <w:rsid w:val="00122D76"/>
    <w:rsid w:val="001257D4"/>
    <w:rsid w:val="0013015E"/>
    <w:rsid w:val="00131904"/>
    <w:rsid w:val="0013342E"/>
    <w:rsid w:val="001338D9"/>
    <w:rsid w:val="00133ADB"/>
    <w:rsid w:val="00134EE2"/>
    <w:rsid w:val="001351E3"/>
    <w:rsid w:val="00135AA2"/>
    <w:rsid w:val="00136D4A"/>
    <w:rsid w:val="00137E7B"/>
    <w:rsid w:val="00142244"/>
    <w:rsid w:val="001454AD"/>
    <w:rsid w:val="001455F6"/>
    <w:rsid w:val="001456C7"/>
    <w:rsid w:val="0015361E"/>
    <w:rsid w:val="00156ED5"/>
    <w:rsid w:val="001630D0"/>
    <w:rsid w:val="00164101"/>
    <w:rsid w:val="00164EE1"/>
    <w:rsid w:val="00166FD9"/>
    <w:rsid w:val="00167ECE"/>
    <w:rsid w:val="0017054A"/>
    <w:rsid w:val="00171A61"/>
    <w:rsid w:val="00173749"/>
    <w:rsid w:val="00173A35"/>
    <w:rsid w:val="0017410F"/>
    <w:rsid w:val="00174285"/>
    <w:rsid w:val="00175756"/>
    <w:rsid w:val="00176F0E"/>
    <w:rsid w:val="00180B10"/>
    <w:rsid w:val="00184F72"/>
    <w:rsid w:val="00187846"/>
    <w:rsid w:val="00191A7E"/>
    <w:rsid w:val="00193B5F"/>
    <w:rsid w:val="001947E8"/>
    <w:rsid w:val="00194890"/>
    <w:rsid w:val="00196A1C"/>
    <w:rsid w:val="001A2103"/>
    <w:rsid w:val="001A5309"/>
    <w:rsid w:val="001A5764"/>
    <w:rsid w:val="001B0699"/>
    <w:rsid w:val="001B2019"/>
    <w:rsid w:val="001B26DC"/>
    <w:rsid w:val="001B3EEA"/>
    <w:rsid w:val="001B49FD"/>
    <w:rsid w:val="001C0BA3"/>
    <w:rsid w:val="001C0BBD"/>
    <w:rsid w:val="001C25ED"/>
    <w:rsid w:val="001D1BCB"/>
    <w:rsid w:val="001D22C0"/>
    <w:rsid w:val="001D4171"/>
    <w:rsid w:val="001D576E"/>
    <w:rsid w:val="001D70BC"/>
    <w:rsid w:val="001E2BB9"/>
    <w:rsid w:val="001E6A70"/>
    <w:rsid w:val="001F2059"/>
    <w:rsid w:val="001F49A1"/>
    <w:rsid w:val="001F4ACC"/>
    <w:rsid w:val="001F7532"/>
    <w:rsid w:val="00201795"/>
    <w:rsid w:val="0020498C"/>
    <w:rsid w:val="00207790"/>
    <w:rsid w:val="00210CFC"/>
    <w:rsid w:val="00210FBE"/>
    <w:rsid w:val="002125C8"/>
    <w:rsid w:val="00213205"/>
    <w:rsid w:val="002137AF"/>
    <w:rsid w:val="002174B0"/>
    <w:rsid w:val="00220787"/>
    <w:rsid w:val="0022387C"/>
    <w:rsid w:val="00230C6A"/>
    <w:rsid w:val="00233D53"/>
    <w:rsid w:val="002345B9"/>
    <w:rsid w:val="00237A3F"/>
    <w:rsid w:val="00237C8C"/>
    <w:rsid w:val="0024210D"/>
    <w:rsid w:val="00244C29"/>
    <w:rsid w:val="00247B11"/>
    <w:rsid w:val="00250468"/>
    <w:rsid w:val="00250A0D"/>
    <w:rsid w:val="00250B6E"/>
    <w:rsid w:val="00252050"/>
    <w:rsid w:val="00253B74"/>
    <w:rsid w:val="002547E0"/>
    <w:rsid w:val="00255DBC"/>
    <w:rsid w:val="0025777A"/>
    <w:rsid w:val="00260306"/>
    <w:rsid w:val="00261898"/>
    <w:rsid w:val="00264014"/>
    <w:rsid w:val="0026501F"/>
    <w:rsid w:val="00266611"/>
    <w:rsid w:val="00267AE5"/>
    <w:rsid w:val="00267C8A"/>
    <w:rsid w:val="00271136"/>
    <w:rsid w:val="00273219"/>
    <w:rsid w:val="002742EA"/>
    <w:rsid w:val="0027449B"/>
    <w:rsid w:val="00276641"/>
    <w:rsid w:val="0028033D"/>
    <w:rsid w:val="00282837"/>
    <w:rsid w:val="00291777"/>
    <w:rsid w:val="0029384E"/>
    <w:rsid w:val="002938B0"/>
    <w:rsid w:val="002961E2"/>
    <w:rsid w:val="00296372"/>
    <w:rsid w:val="00297703"/>
    <w:rsid w:val="00297866"/>
    <w:rsid w:val="002A3B25"/>
    <w:rsid w:val="002A6815"/>
    <w:rsid w:val="002B35C4"/>
    <w:rsid w:val="002B36C2"/>
    <w:rsid w:val="002B59BE"/>
    <w:rsid w:val="002B65AB"/>
    <w:rsid w:val="002B696D"/>
    <w:rsid w:val="002C4511"/>
    <w:rsid w:val="002D2B5F"/>
    <w:rsid w:val="002D327B"/>
    <w:rsid w:val="002D41DD"/>
    <w:rsid w:val="002D7418"/>
    <w:rsid w:val="002E1660"/>
    <w:rsid w:val="002E43F6"/>
    <w:rsid w:val="002E7C3E"/>
    <w:rsid w:val="002F1C19"/>
    <w:rsid w:val="002F1C7D"/>
    <w:rsid w:val="002F1EC9"/>
    <w:rsid w:val="002F25EC"/>
    <w:rsid w:val="002F2EAB"/>
    <w:rsid w:val="002F30DD"/>
    <w:rsid w:val="002F3224"/>
    <w:rsid w:val="002F7D7D"/>
    <w:rsid w:val="00300067"/>
    <w:rsid w:val="00300B27"/>
    <w:rsid w:val="0030123B"/>
    <w:rsid w:val="00301FAE"/>
    <w:rsid w:val="003024CF"/>
    <w:rsid w:val="00305BAD"/>
    <w:rsid w:val="00306470"/>
    <w:rsid w:val="00311862"/>
    <w:rsid w:val="00316D60"/>
    <w:rsid w:val="003172BB"/>
    <w:rsid w:val="00322208"/>
    <w:rsid w:val="003245F8"/>
    <w:rsid w:val="00325D47"/>
    <w:rsid w:val="00325EF1"/>
    <w:rsid w:val="00332A7C"/>
    <w:rsid w:val="00337CFC"/>
    <w:rsid w:val="003406B1"/>
    <w:rsid w:val="00343305"/>
    <w:rsid w:val="003443D3"/>
    <w:rsid w:val="003450CD"/>
    <w:rsid w:val="00345F35"/>
    <w:rsid w:val="00351734"/>
    <w:rsid w:val="00354FCF"/>
    <w:rsid w:val="00360830"/>
    <w:rsid w:val="003635C1"/>
    <w:rsid w:val="00364896"/>
    <w:rsid w:val="00366A2C"/>
    <w:rsid w:val="00372CF8"/>
    <w:rsid w:val="00373AE9"/>
    <w:rsid w:val="00374506"/>
    <w:rsid w:val="0037495D"/>
    <w:rsid w:val="00375819"/>
    <w:rsid w:val="00375C89"/>
    <w:rsid w:val="00376DAF"/>
    <w:rsid w:val="003833FB"/>
    <w:rsid w:val="00383F8F"/>
    <w:rsid w:val="00384AC1"/>
    <w:rsid w:val="003872CB"/>
    <w:rsid w:val="00387AFC"/>
    <w:rsid w:val="00390290"/>
    <w:rsid w:val="0039216D"/>
    <w:rsid w:val="00392EBD"/>
    <w:rsid w:val="00393459"/>
    <w:rsid w:val="003943D1"/>
    <w:rsid w:val="0039449C"/>
    <w:rsid w:val="00395695"/>
    <w:rsid w:val="003A0002"/>
    <w:rsid w:val="003A0295"/>
    <w:rsid w:val="003A0D83"/>
    <w:rsid w:val="003B0D75"/>
    <w:rsid w:val="003B3207"/>
    <w:rsid w:val="003C3325"/>
    <w:rsid w:val="003D2606"/>
    <w:rsid w:val="003D39C7"/>
    <w:rsid w:val="003D45F5"/>
    <w:rsid w:val="003D6B60"/>
    <w:rsid w:val="003E010E"/>
    <w:rsid w:val="003E1D81"/>
    <w:rsid w:val="003E7874"/>
    <w:rsid w:val="003F60A3"/>
    <w:rsid w:val="004001BE"/>
    <w:rsid w:val="0040124D"/>
    <w:rsid w:val="004017C8"/>
    <w:rsid w:val="0040181A"/>
    <w:rsid w:val="004024C2"/>
    <w:rsid w:val="004068A7"/>
    <w:rsid w:val="00406C11"/>
    <w:rsid w:val="004106B2"/>
    <w:rsid w:val="00412CBC"/>
    <w:rsid w:val="004156E2"/>
    <w:rsid w:val="0042388D"/>
    <w:rsid w:val="00427ABD"/>
    <w:rsid w:val="004317AB"/>
    <w:rsid w:val="00431DBF"/>
    <w:rsid w:val="00433512"/>
    <w:rsid w:val="0043432D"/>
    <w:rsid w:val="00441D7B"/>
    <w:rsid w:val="00444250"/>
    <w:rsid w:val="00444298"/>
    <w:rsid w:val="004456C5"/>
    <w:rsid w:val="00454666"/>
    <w:rsid w:val="004574A4"/>
    <w:rsid w:val="00463236"/>
    <w:rsid w:val="004657D3"/>
    <w:rsid w:val="0046690A"/>
    <w:rsid w:val="0046782F"/>
    <w:rsid w:val="00471E1E"/>
    <w:rsid w:val="0047278F"/>
    <w:rsid w:val="0047590B"/>
    <w:rsid w:val="00490F98"/>
    <w:rsid w:val="00491349"/>
    <w:rsid w:val="00493684"/>
    <w:rsid w:val="00493E48"/>
    <w:rsid w:val="00496ACE"/>
    <w:rsid w:val="00497530"/>
    <w:rsid w:val="004A00FD"/>
    <w:rsid w:val="004A5CFF"/>
    <w:rsid w:val="004A61D7"/>
    <w:rsid w:val="004A6B5A"/>
    <w:rsid w:val="004B1026"/>
    <w:rsid w:val="004B5992"/>
    <w:rsid w:val="004C093C"/>
    <w:rsid w:val="004C0B7A"/>
    <w:rsid w:val="004C0CA0"/>
    <w:rsid w:val="004C2A01"/>
    <w:rsid w:val="004C5B48"/>
    <w:rsid w:val="004C6493"/>
    <w:rsid w:val="004D2D8E"/>
    <w:rsid w:val="004D4879"/>
    <w:rsid w:val="004D7C23"/>
    <w:rsid w:val="004D7F2C"/>
    <w:rsid w:val="004E07B6"/>
    <w:rsid w:val="004E0B6D"/>
    <w:rsid w:val="004E63AF"/>
    <w:rsid w:val="004F411F"/>
    <w:rsid w:val="004F60D3"/>
    <w:rsid w:val="004F7D8F"/>
    <w:rsid w:val="0050182A"/>
    <w:rsid w:val="00502DB5"/>
    <w:rsid w:val="005053C1"/>
    <w:rsid w:val="00506ECC"/>
    <w:rsid w:val="00510D3F"/>
    <w:rsid w:val="00511E18"/>
    <w:rsid w:val="00512B77"/>
    <w:rsid w:val="00515ADE"/>
    <w:rsid w:val="00515E63"/>
    <w:rsid w:val="005176F4"/>
    <w:rsid w:val="005203BA"/>
    <w:rsid w:val="005220F8"/>
    <w:rsid w:val="00522932"/>
    <w:rsid w:val="0052539A"/>
    <w:rsid w:val="005309DD"/>
    <w:rsid w:val="0053320F"/>
    <w:rsid w:val="005406CD"/>
    <w:rsid w:val="00542C65"/>
    <w:rsid w:val="00544037"/>
    <w:rsid w:val="0054537C"/>
    <w:rsid w:val="00547AD0"/>
    <w:rsid w:val="005509F0"/>
    <w:rsid w:val="00553778"/>
    <w:rsid w:val="00553AC5"/>
    <w:rsid w:val="00554646"/>
    <w:rsid w:val="005555A0"/>
    <w:rsid w:val="0056216F"/>
    <w:rsid w:val="005627E9"/>
    <w:rsid w:val="00572506"/>
    <w:rsid w:val="00573AC9"/>
    <w:rsid w:val="00581DBA"/>
    <w:rsid w:val="00581F60"/>
    <w:rsid w:val="005829C2"/>
    <w:rsid w:val="00582A46"/>
    <w:rsid w:val="0058322B"/>
    <w:rsid w:val="00583A5C"/>
    <w:rsid w:val="0058471F"/>
    <w:rsid w:val="0058487A"/>
    <w:rsid w:val="00592CFD"/>
    <w:rsid w:val="00593C8A"/>
    <w:rsid w:val="005960B9"/>
    <w:rsid w:val="005A3DFC"/>
    <w:rsid w:val="005A5B0F"/>
    <w:rsid w:val="005A69F8"/>
    <w:rsid w:val="005A6B45"/>
    <w:rsid w:val="005A7B9D"/>
    <w:rsid w:val="005B0579"/>
    <w:rsid w:val="005B27CD"/>
    <w:rsid w:val="005B314D"/>
    <w:rsid w:val="005B353B"/>
    <w:rsid w:val="005B547C"/>
    <w:rsid w:val="005B65A5"/>
    <w:rsid w:val="005B67BE"/>
    <w:rsid w:val="005B7116"/>
    <w:rsid w:val="005C494A"/>
    <w:rsid w:val="005C6C4F"/>
    <w:rsid w:val="005D000E"/>
    <w:rsid w:val="005D62E5"/>
    <w:rsid w:val="005D7216"/>
    <w:rsid w:val="005E12F7"/>
    <w:rsid w:val="005E339B"/>
    <w:rsid w:val="005E548A"/>
    <w:rsid w:val="005E5BCC"/>
    <w:rsid w:val="005E5CCE"/>
    <w:rsid w:val="005E6CCC"/>
    <w:rsid w:val="005F19BB"/>
    <w:rsid w:val="005F3B5B"/>
    <w:rsid w:val="006022C0"/>
    <w:rsid w:val="00602E42"/>
    <w:rsid w:val="00603657"/>
    <w:rsid w:val="0060479B"/>
    <w:rsid w:val="00606A55"/>
    <w:rsid w:val="00611AC2"/>
    <w:rsid w:val="00613BB6"/>
    <w:rsid w:val="0061777B"/>
    <w:rsid w:val="00624066"/>
    <w:rsid w:val="00624620"/>
    <w:rsid w:val="00624946"/>
    <w:rsid w:val="00625173"/>
    <w:rsid w:val="00630CCB"/>
    <w:rsid w:val="00631E71"/>
    <w:rsid w:val="0063350A"/>
    <w:rsid w:val="006340A0"/>
    <w:rsid w:val="0063581A"/>
    <w:rsid w:val="00636BF4"/>
    <w:rsid w:val="00642CB1"/>
    <w:rsid w:val="006431A9"/>
    <w:rsid w:val="006466DF"/>
    <w:rsid w:val="006518D0"/>
    <w:rsid w:val="00652393"/>
    <w:rsid w:val="00656003"/>
    <w:rsid w:val="006571DD"/>
    <w:rsid w:val="0065774D"/>
    <w:rsid w:val="0065792C"/>
    <w:rsid w:val="0066668A"/>
    <w:rsid w:val="00675065"/>
    <w:rsid w:val="00675563"/>
    <w:rsid w:val="00675632"/>
    <w:rsid w:val="00685346"/>
    <w:rsid w:val="00685B24"/>
    <w:rsid w:val="006870E8"/>
    <w:rsid w:val="00690BC5"/>
    <w:rsid w:val="00690C8E"/>
    <w:rsid w:val="006933DD"/>
    <w:rsid w:val="0069471D"/>
    <w:rsid w:val="00695670"/>
    <w:rsid w:val="00695E20"/>
    <w:rsid w:val="006A3BA0"/>
    <w:rsid w:val="006A4EC6"/>
    <w:rsid w:val="006A6DF3"/>
    <w:rsid w:val="006B20D5"/>
    <w:rsid w:val="006B34F6"/>
    <w:rsid w:val="006B4952"/>
    <w:rsid w:val="006B5EA1"/>
    <w:rsid w:val="006B7F10"/>
    <w:rsid w:val="006C042B"/>
    <w:rsid w:val="006C2543"/>
    <w:rsid w:val="006C7C59"/>
    <w:rsid w:val="006D0312"/>
    <w:rsid w:val="006D214E"/>
    <w:rsid w:val="006D2DEA"/>
    <w:rsid w:val="006D2E9C"/>
    <w:rsid w:val="006D30BC"/>
    <w:rsid w:val="006E1A0E"/>
    <w:rsid w:val="006E6E8B"/>
    <w:rsid w:val="006E7C76"/>
    <w:rsid w:val="006F04CD"/>
    <w:rsid w:val="006F07C9"/>
    <w:rsid w:val="006F0A6B"/>
    <w:rsid w:val="006F0F75"/>
    <w:rsid w:val="006F5AC8"/>
    <w:rsid w:val="006F5F50"/>
    <w:rsid w:val="006F721C"/>
    <w:rsid w:val="00704218"/>
    <w:rsid w:val="00706102"/>
    <w:rsid w:val="00711356"/>
    <w:rsid w:val="00716375"/>
    <w:rsid w:val="00724763"/>
    <w:rsid w:val="007326D4"/>
    <w:rsid w:val="007331C5"/>
    <w:rsid w:val="00733D26"/>
    <w:rsid w:val="00733E96"/>
    <w:rsid w:val="00734BE2"/>
    <w:rsid w:val="00734DBA"/>
    <w:rsid w:val="007405AB"/>
    <w:rsid w:val="0074169B"/>
    <w:rsid w:val="007416A5"/>
    <w:rsid w:val="00742326"/>
    <w:rsid w:val="00743F8B"/>
    <w:rsid w:val="007552A7"/>
    <w:rsid w:val="00757FC1"/>
    <w:rsid w:val="00760265"/>
    <w:rsid w:val="00763522"/>
    <w:rsid w:val="00770D89"/>
    <w:rsid w:val="00771FBD"/>
    <w:rsid w:val="00772751"/>
    <w:rsid w:val="00772BFA"/>
    <w:rsid w:val="007732E5"/>
    <w:rsid w:val="00773A1F"/>
    <w:rsid w:val="007750D4"/>
    <w:rsid w:val="00775725"/>
    <w:rsid w:val="00781A2A"/>
    <w:rsid w:val="0079003B"/>
    <w:rsid w:val="00797959"/>
    <w:rsid w:val="007A0298"/>
    <w:rsid w:val="007A0EED"/>
    <w:rsid w:val="007A1F61"/>
    <w:rsid w:val="007A2D00"/>
    <w:rsid w:val="007A3433"/>
    <w:rsid w:val="007A5B38"/>
    <w:rsid w:val="007A7AC5"/>
    <w:rsid w:val="007B1707"/>
    <w:rsid w:val="007B1F48"/>
    <w:rsid w:val="007B4190"/>
    <w:rsid w:val="007B5A22"/>
    <w:rsid w:val="007B7795"/>
    <w:rsid w:val="007C1E2E"/>
    <w:rsid w:val="007C32E6"/>
    <w:rsid w:val="007C6103"/>
    <w:rsid w:val="007C7079"/>
    <w:rsid w:val="007C745E"/>
    <w:rsid w:val="007C7E4A"/>
    <w:rsid w:val="007D249E"/>
    <w:rsid w:val="007D2EE8"/>
    <w:rsid w:val="007D4745"/>
    <w:rsid w:val="007D596E"/>
    <w:rsid w:val="007D61F2"/>
    <w:rsid w:val="007D6288"/>
    <w:rsid w:val="007D7D00"/>
    <w:rsid w:val="007E1576"/>
    <w:rsid w:val="007E2BD2"/>
    <w:rsid w:val="007E3D61"/>
    <w:rsid w:val="007E5F41"/>
    <w:rsid w:val="007E6CF2"/>
    <w:rsid w:val="007F1EB4"/>
    <w:rsid w:val="007F5493"/>
    <w:rsid w:val="007F5B53"/>
    <w:rsid w:val="007F6DC7"/>
    <w:rsid w:val="0080075E"/>
    <w:rsid w:val="00802AAC"/>
    <w:rsid w:val="00806FED"/>
    <w:rsid w:val="00811115"/>
    <w:rsid w:val="008134C7"/>
    <w:rsid w:val="008139EB"/>
    <w:rsid w:val="008150A6"/>
    <w:rsid w:val="008151E2"/>
    <w:rsid w:val="00816091"/>
    <w:rsid w:val="00816182"/>
    <w:rsid w:val="00821BA2"/>
    <w:rsid w:val="00822824"/>
    <w:rsid w:val="008228B9"/>
    <w:rsid w:val="00824639"/>
    <w:rsid w:val="00826C95"/>
    <w:rsid w:val="00832985"/>
    <w:rsid w:val="008332CE"/>
    <w:rsid w:val="008345B9"/>
    <w:rsid w:val="008354ED"/>
    <w:rsid w:val="00835DAD"/>
    <w:rsid w:val="008376EF"/>
    <w:rsid w:val="00837760"/>
    <w:rsid w:val="00837F02"/>
    <w:rsid w:val="00840EF2"/>
    <w:rsid w:val="00843C41"/>
    <w:rsid w:val="0084500E"/>
    <w:rsid w:val="008455FB"/>
    <w:rsid w:val="0084584F"/>
    <w:rsid w:val="00850BC8"/>
    <w:rsid w:val="00850E33"/>
    <w:rsid w:val="00856715"/>
    <w:rsid w:val="00856DC0"/>
    <w:rsid w:val="00861CE7"/>
    <w:rsid w:val="008641A3"/>
    <w:rsid w:val="00864D01"/>
    <w:rsid w:val="00865BFC"/>
    <w:rsid w:val="008669F7"/>
    <w:rsid w:val="0087394A"/>
    <w:rsid w:val="00874D32"/>
    <w:rsid w:val="00881B84"/>
    <w:rsid w:val="008876A3"/>
    <w:rsid w:val="00887DFB"/>
    <w:rsid w:val="0089283A"/>
    <w:rsid w:val="00892ADC"/>
    <w:rsid w:val="00893813"/>
    <w:rsid w:val="0089658C"/>
    <w:rsid w:val="00896F74"/>
    <w:rsid w:val="00897000"/>
    <w:rsid w:val="008A2458"/>
    <w:rsid w:val="008A66B8"/>
    <w:rsid w:val="008A7EED"/>
    <w:rsid w:val="008B2B1D"/>
    <w:rsid w:val="008B5009"/>
    <w:rsid w:val="008B7E45"/>
    <w:rsid w:val="008C1237"/>
    <w:rsid w:val="008C64FB"/>
    <w:rsid w:val="008C771B"/>
    <w:rsid w:val="008C77A4"/>
    <w:rsid w:val="008D0DB7"/>
    <w:rsid w:val="008D2DAF"/>
    <w:rsid w:val="008D4EEC"/>
    <w:rsid w:val="008E1C91"/>
    <w:rsid w:val="008E2EFF"/>
    <w:rsid w:val="008E3B9E"/>
    <w:rsid w:val="008E4E0F"/>
    <w:rsid w:val="008E738E"/>
    <w:rsid w:val="008F0A84"/>
    <w:rsid w:val="008F0CC3"/>
    <w:rsid w:val="008F44C7"/>
    <w:rsid w:val="008F5035"/>
    <w:rsid w:val="008F5056"/>
    <w:rsid w:val="0090408F"/>
    <w:rsid w:val="00906F8A"/>
    <w:rsid w:val="00915570"/>
    <w:rsid w:val="0091611D"/>
    <w:rsid w:val="00916267"/>
    <w:rsid w:val="00921082"/>
    <w:rsid w:val="00922EFB"/>
    <w:rsid w:val="00923A6C"/>
    <w:rsid w:val="009249C8"/>
    <w:rsid w:val="00933F00"/>
    <w:rsid w:val="00935401"/>
    <w:rsid w:val="0094003A"/>
    <w:rsid w:val="0094004A"/>
    <w:rsid w:val="00946A82"/>
    <w:rsid w:val="00951071"/>
    <w:rsid w:val="0095333C"/>
    <w:rsid w:val="00955186"/>
    <w:rsid w:val="00956EE8"/>
    <w:rsid w:val="009643C2"/>
    <w:rsid w:val="00966B6A"/>
    <w:rsid w:val="0097057C"/>
    <w:rsid w:val="009715C5"/>
    <w:rsid w:val="00971AF2"/>
    <w:rsid w:val="009723B8"/>
    <w:rsid w:val="00974455"/>
    <w:rsid w:val="0098281C"/>
    <w:rsid w:val="0098423D"/>
    <w:rsid w:val="009850E9"/>
    <w:rsid w:val="00985DFA"/>
    <w:rsid w:val="00986315"/>
    <w:rsid w:val="009911E3"/>
    <w:rsid w:val="00994E42"/>
    <w:rsid w:val="00995178"/>
    <w:rsid w:val="009A1C33"/>
    <w:rsid w:val="009A2439"/>
    <w:rsid w:val="009A2BFF"/>
    <w:rsid w:val="009A6D30"/>
    <w:rsid w:val="009B206F"/>
    <w:rsid w:val="009B5F6F"/>
    <w:rsid w:val="009B7A7F"/>
    <w:rsid w:val="009B7A90"/>
    <w:rsid w:val="009B7BA4"/>
    <w:rsid w:val="009C1007"/>
    <w:rsid w:val="009C1F6E"/>
    <w:rsid w:val="009C2514"/>
    <w:rsid w:val="009C3C03"/>
    <w:rsid w:val="009C3EBA"/>
    <w:rsid w:val="009C4C61"/>
    <w:rsid w:val="009C5377"/>
    <w:rsid w:val="009C7BA0"/>
    <w:rsid w:val="009D1B51"/>
    <w:rsid w:val="009D52BF"/>
    <w:rsid w:val="009D6DD3"/>
    <w:rsid w:val="009E3F57"/>
    <w:rsid w:val="009E4F8A"/>
    <w:rsid w:val="009E6771"/>
    <w:rsid w:val="009E67E4"/>
    <w:rsid w:val="009F0511"/>
    <w:rsid w:val="009F1DBD"/>
    <w:rsid w:val="009F22FE"/>
    <w:rsid w:val="009F750B"/>
    <w:rsid w:val="00A00435"/>
    <w:rsid w:val="00A03071"/>
    <w:rsid w:val="00A05B11"/>
    <w:rsid w:val="00A06B7F"/>
    <w:rsid w:val="00A07D9C"/>
    <w:rsid w:val="00A109CC"/>
    <w:rsid w:val="00A13EDB"/>
    <w:rsid w:val="00A14C4D"/>
    <w:rsid w:val="00A15845"/>
    <w:rsid w:val="00A17B52"/>
    <w:rsid w:val="00A2141C"/>
    <w:rsid w:val="00A21B16"/>
    <w:rsid w:val="00A22D76"/>
    <w:rsid w:val="00A24D47"/>
    <w:rsid w:val="00A30370"/>
    <w:rsid w:val="00A32017"/>
    <w:rsid w:val="00A3527C"/>
    <w:rsid w:val="00A37E7E"/>
    <w:rsid w:val="00A4098F"/>
    <w:rsid w:val="00A4193A"/>
    <w:rsid w:val="00A45C6F"/>
    <w:rsid w:val="00A46DCC"/>
    <w:rsid w:val="00A5014E"/>
    <w:rsid w:val="00A562E3"/>
    <w:rsid w:val="00A569D3"/>
    <w:rsid w:val="00A6062B"/>
    <w:rsid w:val="00A62089"/>
    <w:rsid w:val="00A654EF"/>
    <w:rsid w:val="00A658F2"/>
    <w:rsid w:val="00A65AFD"/>
    <w:rsid w:val="00A66B78"/>
    <w:rsid w:val="00A6769B"/>
    <w:rsid w:val="00A677C6"/>
    <w:rsid w:val="00A67E25"/>
    <w:rsid w:val="00A72C38"/>
    <w:rsid w:val="00A72FD2"/>
    <w:rsid w:val="00A7420A"/>
    <w:rsid w:val="00A74D3C"/>
    <w:rsid w:val="00A75DB1"/>
    <w:rsid w:val="00A761C2"/>
    <w:rsid w:val="00A76D29"/>
    <w:rsid w:val="00A86960"/>
    <w:rsid w:val="00A91A54"/>
    <w:rsid w:val="00A91B7E"/>
    <w:rsid w:val="00A96F13"/>
    <w:rsid w:val="00AA1080"/>
    <w:rsid w:val="00AA16D3"/>
    <w:rsid w:val="00AA18CA"/>
    <w:rsid w:val="00AA3BFA"/>
    <w:rsid w:val="00AA5A0A"/>
    <w:rsid w:val="00AA5E84"/>
    <w:rsid w:val="00AA725C"/>
    <w:rsid w:val="00AB3274"/>
    <w:rsid w:val="00AB7A0E"/>
    <w:rsid w:val="00AC0409"/>
    <w:rsid w:val="00AC0C60"/>
    <w:rsid w:val="00AC2E63"/>
    <w:rsid w:val="00AC2EA5"/>
    <w:rsid w:val="00AC3A70"/>
    <w:rsid w:val="00AC63F8"/>
    <w:rsid w:val="00AC7144"/>
    <w:rsid w:val="00AC75AF"/>
    <w:rsid w:val="00AD340C"/>
    <w:rsid w:val="00AD3849"/>
    <w:rsid w:val="00AD3D18"/>
    <w:rsid w:val="00AD4D41"/>
    <w:rsid w:val="00AD4DD2"/>
    <w:rsid w:val="00AD6114"/>
    <w:rsid w:val="00AD74EC"/>
    <w:rsid w:val="00AE01B3"/>
    <w:rsid w:val="00AE0CFD"/>
    <w:rsid w:val="00AE1DA8"/>
    <w:rsid w:val="00AE4D94"/>
    <w:rsid w:val="00AE5612"/>
    <w:rsid w:val="00AE6664"/>
    <w:rsid w:val="00AE6EED"/>
    <w:rsid w:val="00AE74AC"/>
    <w:rsid w:val="00B02758"/>
    <w:rsid w:val="00B02B5A"/>
    <w:rsid w:val="00B036CF"/>
    <w:rsid w:val="00B04B8A"/>
    <w:rsid w:val="00B04BFB"/>
    <w:rsid w:val="00B104AA"/>
    <w:rsid w:val="00B11872"/>
    <w:rsid w:val="00B13979"/>
    <w:rsid w:val="00B15E4F"/>
    <w:rsid w:val="00B2012B"/>
    <w:rsid w:val="00B20B29"/>
    <w:rsid w:val="00B20CB9"/>
    <w:rsid w:val="00B20D52"/>
    <w:rsid w:val="00B2167C"/>
    <w:rsid w:val="00B246D3"/>
    <w:rsid w:val="00B262C9"/>
    <w:rsid w:val="00B26A2C"/>
    <w:rsid w:val="00B30526"/>
    <w:rsid w:val="00B32FCD"/>
    <w:rsid w:val="00B34577"/>
    <w:rsid w:val="00B34E07"/>
    <w:rsid w:val="00B42D00"/>
    <w:rsid w:val="00B43464"/>
    <w:rsid w:val="00B45223"/>
    <w:rsid w:val="00B45C7D"/>
    <w:rsid w:val="00B461F3"/>
    <w:rsid w:val="00B50C36"/>
    <w:rsid w:val="00B51C5E"/>
    <w:rsid w:val="00B52083"/>
    <w:rsid w:val="00B52525"/>
    <w:rsid w:val="00B52B44"/>
    <w:rsid w:val="00B52D72"/>
    <w:rsid w:val="00B56BAC"/>
    <w:rsid w:val="00B571F4"/>
    <w:rsid w:val="00B64780"/>
    <w:rsid w:val="00B6494B"/>
    <w:rsid w:val="00B65E8E"/>
    <w:rsid w:val="00B67926"/>
    <w:rsid w:val="00B679FA"/>
    <w:rsid w:val="00B72B4C"/>
    <w:rsid w:val="00B75DE1"/>
    <w:rsid w:val="00B76EAC"/>
    <w:rsid w:val="00B81ECA"/>
    <w:rsid w:val="00B838D7"/>
    <w:rsid w:val="00B86A3E"/>
    <w:rsid w:val="00B9113C"/>
    <w:rsid w:val="00B91DE8"/>
    <w:rsid w:val="00B96111"/>
    <w:rsid w:val="00B975ED"/>
    <w:rsid w:val="00B979E2"/>
    <w:rsid w:val="00B97D1F"/>
    <w:rsid w:val="00B97E9D"/>
    <w:rsid w:val="00BA38E0"/>
    <w:rsid w:val="00BA619F"/>
    <w:rsid w:val="00BA7D43"/>
    <w:rsid w:val="00BB02EB"/>
    <w:rsid w:val="00BB0A6C"/>
    <w:rsid w:val="00BB2DBC"/>
    <w:rsid w:val="00BB4AC7"/>
    <w:rsid w:val="00BB4CD0"/>
    <w:rsid w:val="00BB61C1"/>
    <w:rsid w:val="00BB6B4A"/>
    <w:rsid w:val="00BB7E90"/>
    <w:rsid w:val="00BC03CC"/>
    <w:rsid w:val="00BC11D7"/>
    <w:rsid w:val="00BC1B9C"/>
    <w:rsid w:val="00BC2C14"/>
    <w:rsid w:val="00BC31EE"/>
    <w:rsid w:val="00BC3C19"/>
    <w:rsid w:val="00BC4B27"/>
    <w:rsid w:val="00BC5C23"/>
    <w:rsid w:val="00BD15BE"/>
    <w:rsid w:val="00BD3BF3"/>
    <w:rsid w:val="00BD5316"/>
    <w:rsid w:val="00BD6613"/>
    <w:rsid w:val="00BD7E81"/>
    <w:rsid w:val="00BE41BE"/>
    <w:rsid w:val="00BE6F8C"/>
    <w:rsid w:val="00BE735F"/>
    <w:rsid w:val="00BF0B0F"/>
    <w:rsid w:val="00BF150A"/>
    <w:rsid w:val="00BF30A5"/>
    <w:rsid w:val="00BF3210"/>
    <w:rsid w:val="00BF3B09"/>
    <w:rsid w:val="00C03270"/>
    <w:rsid w:val="00C048FB"/>
    <w:rsid w:val="00C04CFA"/>
    <w:rsid w:val="00C076EF"/>
    <w:rsid w:val="00C16C84"/>
    <w:rsid w:val="00C21DB4"/>
    <w:rsid w:val="00C224CD"/>
    <w:rsid w:val="00C25539"/>
    <w:rsid w:val="00C25C2B"/>
    <w:rsid w:val="00C34D95"/>
    <w:rsid w:val="00C357EB"/>
    <w:rsid w:val="00C37015"/>
    <w:rsid w:val="00C40072"/>
    <w:rsid w:val="00C4213E"/>
    <w:rsid w:val="00C438D5"/>
    <w:rsid w:val="00C45741"/>
    <w:rsid w:val="00C46563"/>
    <w:rsid w:val="00C472A3"/>
    <w:rsid w:val="00C50C4A"/>
    <w:rsid w:val="00C524B1"/>
    <w:rsid w:val="00C56B9D"/>
    <w:rsid w:val="00C60706"/>
    <w:rsid w:val="00C6464D"/>
    <w:rsid w:val="00C64FE6"/>
    <w:rsid w:val="00C72DBC"/>
    <w:rsid w:val="00C76B39"/>
    <w:rsid w:val="00C8194B"/>
    <w:rsid w:val="00C8510F"/>
    <w:rsid w:val="00C856C4"/>
    <w:rsid w:val="00C8634C"/>
    <w:rsid w:val="00C86F92"/>
    <w:rsid w:val="00C90072"/>
    <w:rsid w:val="00C9533B"/>
    <w:rsid w:val="00CB0748"/>
    <w:rsid w:val="00CB18BD"/>
    <w:rsid w:val="00CB232C"/>
    <w:rsid w:val="00CB2D79"/>
    <w:rsid w:val="00CB2E90"/>
    <w:rsid w:val="00CB4405"/>
    <w:rsid w:val="00CB4EF4"/>
    <w:rsid w:val="00CB5BD0"/>
    <w:rsid w:val="00CB63F6"/>
    <w:rsid w:val="00CC042F"/>
    <w:rsid w:val="00CC11D6"/>
    <w:rsid w:val="00CD2668"/>
    <w:rsid w:val="00CD2FAC"/>
    <w:rsid w:val="00CD495B"/>
    <w:rsid w:val="00CD7C0B"/>
    <w:rsid w:val="00CD7C6C"/>
    <w:rsid w:val="00CE3BDB"/>
    <w:rsid w:val="00CE4305"/>
    <w:rsid w:val="00CE44AB"/>
    <w:rsid w:val="00CE4BC6"/>
    <w:rsid w:val="00CE52BF"/>
    <w:rsid w:val="00CE70DB"/>
    <w:rsid w:val="00CF001E"/>
    <w:rsid w:val="00CF50D5"/>
    <w:rsid w:val="00CF5C9B"/>
    <w:rsid w:val="00CF6662"/>
    <w:rsid w:val="00D01058"/>
    <w:rsid w:val="00D01136"/>
    <w:rsid w:val="00D03474"/>
    <w:rsid w:val="00D03476"/>
    <w:rsid w:val="00D03C0F"/>
    <w:rsid w:val="00D06B71"/>
    <w:rsid w:val="00D105D9"/>
    <w:rsid w:val="00D11FB0"/>
    <w:rsid w:val="00D129B0"/>
    <w:rsid w:val="00D1756F"/>
    <w:rsid w:val="00D21893"/>
    <w:rsid w:val="00D23DB6"/>
    <w:rsid w:val="00D242FC"/>
    <w:rsid w:val="00D26400"/>
    <w:rsid w:val="00D264F9"/>
    <w:rsid w:val="00D35E6A"/>
    <w:rsid w:val="00D361F7"/>
    <w:rsid w:val="00D37A4D"/>
    <w:rsid w:val="00D37BDA"/>
    <w:rsid w:val="00D409F8"/>
    <w:rsid w:val="00D41D8D"/>
    <w:rsid w:val="00D51C08"/>
    <w:rsid w:val="00D51F3E"/>
    <w:rsid w:val="00D55D74"/>
    <w:rsid w:val="00D568D6"/>
    <w:rsid w:val="00D613B2"/>
    <w:rsid w:val="00D61D4F"/>
    <w:rsid w:val="00D62526"/>
    <w:rsid w:val="00D65B3B"/>
    <w:rsid w:val="00D6655A"/>
    <w:rsid w:val="00D7158D"/>
    <w:rsid w:val="00D73BEF"/>
    <w:rsid w:val="00D75DD7"/>
    <w:rsid w:val="00D8461E"/>
    <w:rsid w:val="00D848AF"/>
    <w:rsid w:val="00D84D41"/>
    <w:rsid w:val="00D85867"/>
    <w:rsid w:val="00D90438"/>
    <w:rsid w:val="00D90F7C"/>
    <w:rsid w:val="00D93BBB"/>
    <w:rsid w:val="00D9483F"/>
    <w:rsid w:val="00D9612C"/>
    <w:rsid w:val="00DA0DFD"/>
    <w:rsid w:val="00DA26D1"/>
    <w:rsid w:val="00DB18FC"/>
    <w:rsid w:val="00DB2769"/>
    <w:rsid w:val="00DB4762"/>
    <w:rsid w:val="00DB630A"/>
    <w:rsid w:val="00DB6473"/>
    <w:rsid w:val="00DC4AE1"/>
    <w:rsid w:val="00DC6B38"/>
    <w:rsid w:val="00DC767D"/>
    <w:rsid w:val="00DC7A15"/>
    <w:rsid w:val="00DD0CDD"/>
    <w:rsid w:val="00DD26EA"/>
    <w:rsid w:val="00DD35BB"/>
    <w:rsid w:val="00DD7198"/>
    <w:rsid w:val="00DE3B48"/>
    <w:rsid w:val="00DF0FF1"/>
    <w:rsid w:val="00DF1557"/>
    <w:rsid w:val="00DF7223"/>
    <w:rsid w:val="00DF749E"/>
    <w:rsid w:val="00DF7988"/>
    <w:rsid w:val="00E0112E"/>
    <w:rsid w:val="00E02056"/>
    <w:rsid w:val="00E037D5"/>
    <w:rsid w:val="00E07EB9"/>
    <w:rsid w:val="00E10A87"/>
    <w:rsid w:val="00E114BC"/>
    <w:rsid w:val="00E11D50"/>
    <w:rsid w:val="00E13609"/>
    <w:rsid w:val="00E14B3C"/>
    <w:rsid w:val="00E16067"/>
    <w:rsid w:val="00E212E3"/>
    <w:rsid w:val="00E227F4"/>
    <w:rsid w:val="00E23903"/>
    <w:rsid w:val="00E2575E"/>
    <w:rsid w:val="00E27DAA"/>
    <w:rsid w:val="00E27FDC"/>
    <w:rsid w:val="00E30E7D"/>
    <w:rsid w:val="00E31BA9"/>
    <w:rsid w:val="00E40872"/>
    <w:rsid w:val="00E41594"/>
    <w:rsid w:val="00E46A08"/>
    <w:rsid w:val="00E56FE8"/>
    <w:rsid w:val="00E57C5E"/>
    <w:rsid w:val="00E6057C"/>
    <w:rsid w:val="00E607A7"/>
    <w:rsid w:val="00E63BD1"/>
    <w:rsid w:val="00E6467D"/>
    <w:rsid w:val="00E66BCF"/>
    <w:rsid w:val="00E71342"/>
    <w:rsid w:val="00E728E4"/>
    <w:rsid w:val="00E75741"/>
    <w:rsid w:val="00E83DB2"/>
    <w:rsid w:val="00E85DAF"/>
    <w:rsid w:val="00E87864"/>
    <w:rsid w:val="00E9170D"/>
    <w:rsid w:val="00E9198A"/>
    <w:rsid w:val="00E931C1"/>
    <w:rsid w:val="00E93D73"/>
    <w:rsid w:val="00E94BFD"/>
    <w:rsid w:val="00E94E0E"/>
    <w:rsid w:val="00E97186"/>
    <w:rsid w:val="00E97F6C"/>
    <w:rsid w:val="00EA04D2"/>
    <w:rsid w:val="00EA68DB"/>
    <w:rsid w:val="00EB1A62"/>
    <w:rsid w:val="00EB7A4C"/>
    <w:rsid w:val="00EC2A66"/>
    <w:rsid w:val="00EC3672"/>
    <w:rsid w:val="00ED0960"/>
    <w:rsid w:val="00ED3782"/>
    <w:rsid w:val="00ED56C1"/>
    <w:rsid w:val="00EE1F49"/>
    <w:rsid w:val="00EE1F87"/>
    <w:rsid w:val="00EE3720"/>
    <w:rsid w:val="00EE3F92"/>
    <w:rsid w:val="00EE7634"/>
    <w:rsid w:val="00EF1FCF"/>
    <w:rsid w:val="00EF271D"/>
    <w:rsid w:val="00EF4228"/>
    <w:rsid w:val="00EF4DC8"/>
    <w:rsid w:val="00EF659E"/>
    <w:rsid w:val="00EF6A13"/>
    <w:rsid w:val="00F01751"/>
    <w:rsid w:val="00F02CF2"/>
    <w:rsid w:val="00F0385A"/>
    <w:rsid w:val="00F1070F"/>
    <w:rsid w:val="00F14992"/>
    <w:rsid w:val="00F14DE0"/>
    <w:rsid w:val="00F21D20"/>
    <w:rsid w:val="00F22674"/>
    <w:rsid w:val="00F22B78"/>
    <w:rsid w:val="00F244F9"/>
    <w:rsid w:val="00F25220"/>
    <w:rsid w:val="00F25320"/>
    <w:rsid w:val="00F26FA6"/>
    <w:rsid w:val="00F306D7"/>
    <w:rsid w:val="00F308B7"/>
    <w:rsid w:val="00F31CAB"/>
    <w:rsid w:val="00F32A46"/>
    <w:rsid w:val="00F37170"/>
    <w:rsid w:val="00F43040"/>
    <w:rsid w:val="00F44E00"/>
    <w:rsid w:val="00F44EC3"/>
    <w:rsid w:val="00F459DC"/>
    <w:rsid w:val="00F46B72"/>
    <w:rsid w:val="00F474AB"/>
    <w:rsid w:val="00F476F6"/>
    <w:rsid w:val="00F47A28"/>
    <w:rsid w:val="00F5050C"/>
    <w:rsid w:val="00F5134E"/>
    <w:rsid w:val="00F528DD"/>
    <w:rsid w:val="00F52A18"/>
    <w:rsid w:val="00F52C68"/>
    <w:rsid w:val="00F53CC6"/>
    <w:rsid w:val="00F564CD"/>
    <w:rsid w:val="00F61702"/>
    <w:rsid w:val="00F62E71"/>
    <w:rsid w:val="00F630C8"/>
    <w:rsid w:val="00F64C12"/>
    <w:rsid w:val="00F6552D"/>
    <w:rsid w:val="00F67278"/>
    <w:rsid w:val="00F710E9"/>
    <w:rsid w:val="00F733F0"/>
    <w:rsid w:val="00F76A72"/>
    <w:rsid w:val="00F77340"/>
    <w:rsid w:val="00F8042D"/>
    <w:rsid w:val="00F85256"/>
    <w:rsid w:val="00F87572"/>
    <w:rsid w:val="00F87CA2"/>
    <w:rsid w:val="00F91976"/>
    <w:rsid w:val="00F92C8D"/>
    <w:rsid w:val="00F931AD"/>
    <w:rsid w:val="00F9741A"/>
    <w:rsid w:val="00FA1F53"/>
    <w:rsid w:val="00FA2095"/>
    <w:rsid w:val="00FA244D"/>
    <w:rsid w:val="00FB1215"/>
    <w:rsid w:val="00FB4CB0"/>
    <w:rsid w:val="00FB6392"/>
    <w:rsid w:val="00FC39BA"/>
    <w:rsid w:val="00FC3DAC"/>
    <w:rsid w:val="00FD1428"/>
    <w:rsid w:val="00FD20C5"/>
    <w:rsid w:val="00FD2761"/>
    <w:rsid w:val="00FD37B5"/>
    <w:rsid w:val="00FD4568"/>
    <w:rsid w:val="00FD5B5E"/>
    <w:rsid w:val="00FD613E"/>
    <w:rsid w:val="00FD6F4D"/>
    <w:rsid w:val="00FE05A0"/>
    <w:rsid w:val="00FE3FCF"/>
    <w:rsid w:val="00FF2E19"/>
    <w:rsid w:val="00FF756F"/>
    <w:rsid w:val="01321246"/>
    <w:rsid w:val="027C05BC"/>
    <w:rsid w:val="038A570F"/>
    <w:rsid w:val="043833BC"/>
    <w:rsid w:val="04B4432A"/>
    <w:rsid w:val="05257DE5"/>
    <w:rsid w:val="06021ED4"/>
    <w:rsid w:val="077F469B"/>
    <w:rsid w:val="089332B7"/>
    <w:rsid w:val="08B721E5"/>
    <w:rsid w:val="09052FE4"/>
    <w:rsid w:val="09104908"/>
    <w:rsid w:val="0A856C30"/>
    <w:rsid w:val="0B730241"/>
    <w:rsid w:val="0E9B1118"/>
    <w:rsid w:val="0F6E4136"/>
    <w:rsid w:val="0FA22032"/>
    <w:rsid w:val="0FDA7A1E"/>
    <w:rsid w:val="1101524B"/>
    <w:rsid w:val="12094461"/>
    <w:rsid w:val="126073BE"/>
    <w:rsid w:val="128C7E61"/>
    <w:rsid w:val="136E5D3A"/>
    <w:rsid w:val="138228A6"/>
    <w:rsid w:val="14812B5E"/>
    <w:rsid w:val="148A24DD"/>
    <w:rsid w:val="15234B6D"/>
    <w:rsid w:val="1662201E"/>
    <w:rsid w:val="17A25179"/>
    <w:rsid w:val="17A56B63"/>
    <w:rsid w:val="186802BC"/>
    <w:rsid w:val="186B5BF1"/>
    <w:rsid w:val="18B708FC"/>
    <w:rsid w:val="196D36B1"/>
    <w:rsid w:val="1A6920CA"/>
    <w:rsid w:val="1C2F3746"/>
    <w:rsid w:val="1E766B63"/>
    <w:rsid w:val="1E774BE7"/>
    <w:rsid w:val="1EC91389"/>
    <w:rsid w:val="1ECF0A05"/>
    <w:rsid w:val="1FC2532F"/>
    <w:rsid w:val="1FEA10E3"/>
    <w:rsid w:val="20EB5CF5"/>
    <w:rsid w:val="21426520"/>
    <w:rsid w:val="2190618E"/>
    <w:rsid w:val="220821C8"/>
    <w:rsid w:val="23DE58D7"/>
    <w:rsid w:val="250A144A"/>
    <w:rsid w:val="257D706D"/>
    <w:rsid w:val="284952E9"/>
    <w:rsid w:val="28612632"/>
    <w:rsid w:val="28D56B7C"/>
    <w:rsid w:val="28F44BC3"/>
    <w:rsid w:val="29891E41"/>
    <w:rsid w:val="2A8940C2"/>
    <w:rsid w:val="2B0F281A"/>
    <w:rsid w:val="2B440153"/>
    <w:rsid w:val="2B966A97"/>
    <w:rsid w:val="2BCC7B06"/>
    <w:rsid w:val="2BE041B6"/>
    <w:rsid w:val="2C016606"/>
    <w:rsid w:val="2E1C4C38"/>
    <w:rsid w:val="32384404"/>
    <w:rsid w:val="33CB12A8"/>
    <w:rsid w:val="34621C0C"/>
    <w:rsid w:val="349B4AE3"/>
    <w:rsid w:val="37052D23"/>
    <w:rsid w:val="37D10256"/>
    <w:rsid w:val="37E70B83"/>
    <w:rsid w:val="388A225D"/>
    <w:rsid w:val="39102ED9"/>
    <w:rsid w:val="3964630E"/>
    <w:rsid w:val="3A5176E3"/>
    <w:rsid w:val="3AF811CC"/>
    <w:rsid w:val="3B075B05"/>
    <w:rsid w:val="3C6A3D54"/>
    <w:rsid w:val="3D5C1616"/>
    <w:rsid w:val="3DA12006"/>
    <w:rsid w:val="401C5365"/>
    <w:rsid w:val="403E177F"/>
    <w:rsid w:val="404623E2"/>
    <w:rsid w:val="42E163F2"/>
    <w:rsid w:val="43090FA9"/>
    <w:rsid w:val="433A3D54"/>
    <w:rsid w:val="44F404AD"/>
    <w:rsid w:val="45036AF3"/>
    <w:rsid w:val="45154A79"/>
    <w:rsid w:val="47DA67C1"/>
    <w:rsid w:val="4866760A"/>
    <w:rsid w:val="497B3032"/>
    <w:rsid w:val="4AF546D9"/>
    <w:rsid w:val="4D0734BB"/>
    <w:rsid w:val="4D990CF9"/>
    <w:rsid w:val="4ED137BE"/>
    <w:rsid w:val="52B140C9"/>
    <w:rsid w:val="52BE405A"/>
    <w:rsid w:val="54E16725"/>
    <w:rsid w:val="56E76B7E"/>
    <w:rsid w:val="5728063B"/>
    <w:rsid w:val="575256B8"/>
    <w:rsid w:val="58FC3B2E"/>
    <w:rsid w:val="5C1D6295"/>
    <w:rsid w:val="5CC44F35"/>
    <w:rsid w:val="5D577585"/>
    <w:rsid w:val="5D604AE8"/>
    <w:rsid w:val="5D902A97"/>
    <w:rsid w:val="5F8B131F"/>
    <w:rsid w:val="5FFA069B"/>
    <w:rsid w:val="60704EC4"/>
    <w:rsid w:val="608D17E4"/>
    <w:rsid w:val="619A3EE4"/>
    <w:rsid w:val="62620EA5"/>
    <w:rsid w:val="62EA512E"/>
    <w:rsid w:val="64807C98"/>
    <w:rsid w:val="651915C4"/>
    <w:rsid w:val="65BD4645"/>
    <w:rsid w:val="66C673D5"/>
    <w:rsid w:val="68614F46"/>
    <w:rsid w:val="697D0373"/>
    <w:rsid w:val="69F60125"/>
    <w:rsid w:val="69FC398E"/>
    <w:rsid w:val="6AFE7291"/>
    <w:rsid w:val="6C3E2441"/>
    <w:rsid w:val="6F2D576B"/>
    <w:rsid w:val="6F406C0D"/>
    <w:rsid w:val="704020FA"/>
    <w:rsid w:val="70E71FAC"/>
    <w:rsid w:val="712F2F00"/>
    <w:rsid w:val="71535E5D"/>
    <w:rsid w:val="72CE7313"/>
    <w:rsid w:val="742A7349"/>
    <w:rsid w:val="74EE59E9"/>
    <w:rsid w:val="75FA2D4B"/>
    <w:rsid w:val="77607947"/>
    <w:rsid w:val="777D1E86"/>
    <w:rsid w:val="781A76D5"/>
    <w:rsid w:val="7AAB661D"/>
    <w:rsid w:val="7BAE0860"/>
    <w:rsid w:val="7C1305BB"/>
    <w:rsid w:val="7D7B25B4"/>
    <w:rsid w:val="7E5D031B"/>
    <w:rsid w:val="7FA426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35"/>
    <w:semiHidden/>
    <w:unhideWhenUsed/>
    <w:qFormat/>
    <w:uiPriority w:val="99"/>
    <w:pPr>
      <w:jc w:val="left"/>
    </w:pPr>
  </w:style>
  <w:style w:type="paragraph" w:styleId="3">
    <w:name w:val="Body Text"/>
    <w:basedOn w:val="1"/>
    <w:semiHidden/>
    <w:qFormat/>
    <w:uiPriority w:val="0"/>
    <w:rPr>
      <w:rFonts w:ascii="FangSong_GB2312" w:hAnsi="FangSong_GB2312" w:eastAsia="FangSong_GB2312" w:cs="FangSong_GB2312"/>
      <w:sz w:val="31"/>
      <w:szCs w:val="31"/>
      <w:lang w:val="en-US" w:eastAsia="en-US" w:bidi="ar-SA"/>
    </w:rPr>
  </w:style>
  <w:style w:type="paragraph" w:styleId="4">
    <w:name w:val="Balloon Text"/>
    <w:basedOn w:val="1"/>
    <w:link w:val="37"/>
    <w:semiHidden/>
    <w:unhideWhenUsed/>
    <w:qFormat/>
    <w:uiPriority w:val="99"/>
    <w:rPr>
      <w:sz w:val="18"/>
      <w:szCs w:val="18"/>
    </w:rPr>
  </w:style>
  <w:style w:type="paragraph" w:styleId="5">
    <w:name w:val="footer"/>
    <w:basedOn w:val="1"/>
    <w:link w:val="34"/>
    <w:unhideWhenUsed/>
    <w:qFormat/>
    <w:uiPriority w:val="99"/>
    <w:pPr>
      <w:tabs>
        <w:tab w:val="center" w:pos="4153"/>
        <w:tab w:val="right" w:pos="8306"/>
      </w:tabs>
      <w:snapToGrid w:val="0"/>
      <w:jc w:val="left"/>
    </w:pPr>
    <w:rPr>
      <w:sz w:val="18"/>
      <w:szCs w:val="18"/>
    </w:rPr>
  </w:style>
  <w:style w:type="paragraph" w:styleId="6">
    <w:name w:val="header"/>
    <w:basedOn w:val="1"/>
    <w:link w:val="3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36"/>
    <w:semiHidden/>
    <w:unhideWhenUsed/>
    <w:qFormat/>
    <w:uiPriority w:val="99"/>
    <w:rPr>
      <w:b/>
      <w:bCs/>
    </w:rPr>
  </w:style>
  <w:style w:type="character" w:styleId="10">
    <w:name w:val="annotation reference"/>
    <w:basedOn w:val="9"/>
    <w:semiHidden/>
    <w:unhideWhenUsed/>
    <w:qFormat/>
    <w:uiPriority w:val="99"/>
    <w:rPr>
      <w:sz w:val="21"/>
      <w:szCs w:val="21"/>
    </w:rPr>
  </w:style>
  <w:style w:type="paragraph" w:customStyle="1" w:styleId="11">
    <w:name w:val="※封面大标题"/>
    <w:basedOn w:val="1"/>
    <w:next w:val="1"/>
    <w:qFormat/>
    <w:uiPriority w:val="0"/>
    <w:pPr>
      <w:widowControl/>
      <w:jc w:val="center"/>
    </w:pPr>
    <w:rPr>
      <w:rFonts w:ascii="华文中宋" w:hAnsi="华文中宋" w:eastAsia="华文中宋"/>
      <w:sz w:val="96"/>
      <w:szCs w:val="96"/>
    </w:rPr>
  </w:style>
  <w:style w:type="paragraph" w:customStyle="1" w:styleId="12">
    <w:name w:val="※封面题颌"/>
    <w:basedOn w:val="1"/>
    <w:next w:val="1"/>
    <w:qFormat/>
    <w:uiPriority w:val="0"/>
    <w:pPr>
      <w:widowControl/>
      <w:jc w:val="center"/>
    </w:pPr>
    <w:rPr>
      <w:rFonts w:ascii="Calibri Light" w:hAnsi="Calibri Light" w:eastAsia="华文仿宋"/>
      <w:sz w:val="36"/>
      <w:szCs w:val="36"/>
    </w:rPr>
  </w:style>
  <w:style w:type="paragraph" w:customStyle="1" w:styleId="13">
    <w:name w:val="※封面题眉"/>
    <w:basedOn w:val="1"/>
    <w:next w:val="11"/>
    <w:qFormat/>
    <w:uiPriority w:val="0"/>
    <w:pPr>
      <w:widowControl/>
      <w:jc w:val="center"/>
    </w:pPr>
    <w:rPr>
      <w:rFonts w:ascii="华文仿宋" w:hAnsi="华文仿宋" w:eastAsia="华文仿宋"/>
      <w:sz w:val="52"/>
      <w:szCs w:val="28"/>
    </w:rPr>
  </w:style>
  <w:style w:type="paragraph" w:customStyle="1" w:styleId="14">
    <w:name w:val="※封面题须"/>
    <w:basedOn w:val="1"/>
    <w:qFormat/>
    <w:uiPriority w:val="0"/>
    <w:pPr>
      <w:widowControl/>
      <w:ind w:left="850" w:leftChars="350" w:right="250" w:rightChars="250" w:hanging="500" w:hangingChars="500"/>
      <w:jc w:val="left"/>
    </w:pPr>
    <w:rPr>
      <w:rFonts w:ascii="Calibri Light" w:hAnsi="Calibri Light" w:eastAsia="华文仿宋"/>
      <w:sz w:val="36"/>
      <w:szCs w:val="36"/>
    </w:rPr>
  </w:style>
  <w:style w:type="paragraph" w:customStyle="1" w:styleId="15">
    <w:name w:val="※目录（次）"/>
    <w:basedOn w:val="1"/>
    <w:qFormat/>
    <w:uiPriority w:val="0"/>
    <w:pPr>
      <w:widowControl/>
      <w:tabs>
        <w:tab w:val="right" w:leader="hyphen" w:pos="8400"/>
      </w:tabs>
      <w:wordWrap w:val="0"/>
      <w:ind w:left="700" w:leftChars="200" w:right="300" w:rightChars="300" w:hanging="500" w:hangingChars="500"/>
      <w:jc w:val="left"/>
    </w:pPr>
    <w:rPr>
      <w:rFonts w:ascii="Calibri Light" w:hAnsi="Calibri Light" w:eastAsia="华文仿宋"/>
      <w:sz w:val="36"/>
      <w:szCs w:val="28"/>
    </w:rPr>
  </w:style>
  <w:style w:type="paragraph" w:customStyle="1" w:styleId="16">
    <w:name w:val="※目录（主）"/>
    <w:basedOn w:val="1"/>
    <w:qFormat/>
    <w:uiPriority w:val="0"/>
    <w:pPr>
      <w:widowControl/>
      <w:tabs>
        <w:tab w:val="right" w:leader="hyphen" w:pos="8400"/>
      </w:tabs>
      <w:spacing w:afterLines="100" w:line="400" w:lineRule="exact"/>
      <w:ind w:left="200" w:leftChars="200" w:right="200" w:rightChars="200" w:hanging="499" w:hangingChars="400"/>
      <w:jc w:val="left"/>
    </w:pPr>
    <w:rPr>
      <w:rFonts w:ascii="Calibri Light" w:hAnsi="Calibri Light" w:eastAsia="华文仿宋"/>
      <w:sz w:val="36"/>
      <w:szCs w:val="36"/>
    </w:rPr>
  </w:style>
  <w:style w:type="paragraph" w:customStyle="1" w:styleId="17">
    <w:name w:val="※小标题 1"/>
    <w:basedOn w:val="1"/>
    <w:next w:val="1"/>
    <w:qFormat/>
    <w:uiPriority w:val="0"/>
    <w:pPr>
      <w:widowControl/>
      <w:wordWrap w:val="0"/>
      <w:spacing w:before="20" w:after="20" w:line="400" w:lineRule="exact"/>
      <w:ind w:firstLine="200" w:firstLineChars="200"/>
      <w:jc w:val="left"/>
      <w:outlineLvl w:val="4"/>
    </w:pPr>
    <w:rPr>
      <w:rFonts w:ascii="Calibri Light" w:hAnsi="Calibri Light" w:eastAsia="华文仿宋"/>
      <w:b/>
      <w:sz w:val="28"/>
      <w:szCs w:val="28"/>
    </w:rPr>
  </w:style>
  <w:style w:type="paragraph" w:customStyle="1" w:styleId="18">
    <w:name w:val="※正文"/>
    <w:basedOn w:val="1"/>
    <w:next w:val="1"/>
    <w:qFormat/>
    <w:uiPriority w:val="0"/>
    <w:pPr>
      <w:widowControl/>
      <w:wordWrap w:val="0"/>
      <w:spacing w:line="400" w:lineRule="exact"/>
    </w:pPr>
    <w:rPr>
      <w:rFonts w:ascii="Calibri Light" w:hAnsi="Calibri Light" w:eastAsia="华文仿宋"/>
      <w:sz w:val="28"/>
      <w:szCs w:val="28"/>
    </w:rPr>
  </w:style>
  <w:style w:type="paragraph" w:customStyle="1" w:styleId="19">
    <w:name w:val="※小标题 一"/>
    <w:basedOn w:val="18"/>
    <w:next w:val="18"/>
    <w:qFormat/>
    <w:uiPriority w:val="0"/>
    <w:pPr>
      <w:spacing w:before="120" w:line="240" w:lineRule="auto"/>
      <w:outlineLvl w:val="2"/>
    </w:pPr>
    <w:rPr>
      <w:b/>
      <w:color w:val="1F3864" w:themeColor="accent5" w:themeShade="80"/>
      <w:sz w:val="32"/>
    </w:rPr>
  </w:style>
  <w:style w:type="paragraph" w:customStyle="1" w:styleId="20">
    <w:name w:val="※小标题（1）"/>
    <w:basedOn w:val="1"/>
    <w:next w:val="18"/>
    <w:qFormat/>
    <w:uiPriority w:val="0"/>
    <w:pPr>
      <w:widowControl/>
      <w:wordWrap w:val="0"/>
      <w:spacing w:line="400" w:lineRule="exact"/>
      <w:ind w:firstLine="200" w:firstLineChars="200"/>
      <w:outlineLvl w:val="5"/>
    </w:pPr>
    <w:rPr>
      <w:rFonts w:ascii="Calibri Light" w:hAnsi="Calibri Light" w:eastAsia="华文仿宋"/>
      <w:b/>
      <w:sz w:val="28"/>
      <w:szCs w:val="28"/>
    </w:rPr>
  </w:style>
  <w:style w:type="paragraph" w:customStyle="1" w:styleId="21">
    <w:name w:val="※小标题（一）"/>
    <w:basedOn w:val="1"/>
    <w:next w:val="18"/>
    <w:qFormat/>
    <w:uiPriority w:val="0"/>
    <w:pPr>
      <w:widowControl/>
      <w:wordWrap w:val="0"/>
      <w:spacing w:before="60" w:after="60" w:line="400" w:lineRule="exact"/>
      <w:ind w:firstLine="200" w:firstLineChars="200"/>
      <w:outlineLvl w:val="3"/>
    </w:pPr>
    <w:rPr>
      <w:rFonts w:ascii="Calibri Light" w:hAnsi="Calibri Light" w:eastAsia="华文仿宋"/>
      <w:b/>
      <w:sz w:val="28"/>
      <w:szCs w:val="28"/>
    </w:rPr>
  </w:style>
  <w:style w:type="paragraph" w:customStyle="1" w:styleId="22">
    <w:name w:val="※页脚（横屏）"/>
    <w:basedOn w:val="1"/>
    <w:qFormat/>
    <w:uiPriority w:val="0"/>
    <w:pPr>
      <w:widowControl/>
      <w:tabs>
        <w:tab w:val="center" w:pos="7000"/>
      </w:tabs>
      <w:wordWrap w:val="0"/>
      <w:spacing w:line="240" w:lineRule="atLeast"/>
      <w:jc w:val="left"/>
    </w:pPr>
    <w:rPr>
      <w:rFonts w:ascii="宋体" w:hAnsi="宋体"/>
      <w:sz w:val="18"/>
      <w:szCs w:val="18"/>
    </w:rPr>
  </w:style>
  <w:style w:type="paragraph" w:customStyle="1" w:styleId="23">
    <w:name w:val="※页脚（竖屏）"/>
    <w:basedOn w:val="1"/>
    <w:qFormat/>
    <w:uiPriority w:val="0"/>
    <w:pPr>
      <w:widowControl/>
      <w:tabs>
        <w:tab w:val="center" w:pos="4536"/>
      </w:tabs>
      <w:wordWrap w:val="0"/>
      <w:spacing w:line="240" w:lineRule="atLeast"/>
      <w:jc w:val="left"/>
    </w:pPr>
    <w:rPr>
      <w:rFonts w:ascii="宋体" w:hAnsi="宋体"/>
      <w:sz w:val="18"/>
      <w:szCs w:val="18"/>
    </w:rPr>
  </w:style>
  <w:style w:type="paragraph" w:customStyle="1" w:styleId="24">
    <w:name w:val="※页眉"/>
    <w:basedOn w:val="18"/>
    <w:qFormat/>
    <w:uiPriority w:val="0"/>
    <w:pPr>
      <w:pBdr>
        <w:bottom w:val="single" w:color="auto" w:sz="4" w:space="1"/>
      </w:pBdr>
      <w:spacing w:line="240" w:lineRule="atLeast"/>
      <w:jc w:val="right"/>
    </w:pPr>
    <w:rPr>
      <w:rFonts w:ascii="宋体" w:hAnsi="宋体" w:eastAsia="宋体"/>
      <w:sz w:val="18"/>
    </w:rPr>
  </w:style>
  <w:style w:type="paragraph" w:customStyle="1" w:styleId="25">
    <w:name w:val="※章节标题（第X章）"/>
    <w:basedOn w:val="1"/>
    <w:qFormat/>
    <w:uiPriority w:val="0"/>
    <w:pPr>
      <w:widowControl/>
      <w:jc w:val="center"/>
      <w:outlineLvl w:val="0"/>
    </w:pPr>
    <w:rPr>
      <w:rFonts w:ascii="Calibri Light" w:hAnsi="Calibri Light" w:eastAsia="黑体"/>
      <w:sz w:val="36"/>
      <w:szCs w:val="28"/>
    </w:rPr>
  </w:style>
  <w:style w:type="paragraph" w:customStyle="1" w:styleId="26">
    <w:name w:val="※章节标题（第Y部分）"/>
    <w:basedOn w:val="1"/>
    <w:next w:val="1"/>
    <w:qFormat/>
    <w:uiPriority w:val="0"/>
    <w:pPr>
      <w:widowControl/>
      <w:jc w:val="center"/>
      <w:outlineLvl w:val="1"/>
    </w:pPr>
    <w:rPr>
      <w:rFonts w:ascii="Calibri Light" w:hAnsi="Calibri Light" w:eastAsia="黑体"/>
      <w:color w:val="1F4E79" w:themeColor="accent1" w:themeShade="80"/>
      <w:sz w:val="32"/>
      <w:szCs w:val="36"/>
    </w:rPr>
  </w:style>
  <w:style w:type="paragraph" w:customStyle="1" w:styleId="27">
    <w:name w:val="※章节标题（第Z部分分项）"/>
    <w:basedOn w:val="26"/>
    <w:qFormat/>
    <w:uiPriority w:val="0"/>
    <w:pPr>
      <w:outlineLvl w:val="2"/>
    </w:pPr>
  </w:style>
  <w:style w:type="paragraph" w:customStyle="1" w:styleId="28">
    <w:name w:val="※正文（落款）"/>
    <w:basedOn w:val="1"/>
    <w:qFormat/>
    <w:uiPriority w:val="0"/>
    <w:pPr>
      <w:widowControl/>
      <w:tabs>
        <w:tab w:val="center" w:pos="6663"/>
      </w:tabs>
      <w:wordWrap w:val="0"/>
      <w:spacing w:line="240" w:lineRule="atLeast"/>
      <w:jc w:val="left"/>
    </w:pPr>
    <w:rPr>
      <w:rFonts w:ascii="Calibri Light" w:hAnsi="Calibri Light" w:eastAsia="华文仿宋"/>
      <w:sz w:val="28"/>
      <w:szCs w:val="28"/>
    </w:rPr>
  </w:style>
  <w:style w:type="paragraph" w:customStyle="1" w:styleId="29">
    <w:name w:val="※正文（缩进2）"/>
    <w:basedOn w:val="18"/>
    <w:qFormat/>
    <w:uiPriority w:val="0"/>
    <w:pPr>
      <w:ind w:firstLine="200" w:firstLineChars="200"/>
    </w:pPr>
  </w:style>
  <w:style w:type="paragraph" w:customStyle="1" w:styleId="30">
    <w:name w:val="※正文（缩进4）"/>
    <w:basedOn w:val="18"/>
    <w:qFormat/>
    <w:uiPriority w:val="0"/>
    <w:pPr>
      <w:ind w:firstLine="400" w:firstLineChars="400"/>
    </w:pPr>
  </w:style>
  <w:style w:type="paragraph" w:customStyle="1" w:styleId="31">
    <w:name w:val="样式"/>
    <w:link w:val="32"/>
    <w:qFormat/>
    <w:uiPriority w:val="0"/>
    <w:pPr>
      <w:widowControl w:val="0"/>
      <w:autoSpaceDE w:val="0"/>
      <w:autoSpaceDN w:val="0"/>
      <w:adjustRightInd w:val="0"/>
    </w:pPr>
    <w:rPr>
      <w:rFonts w:ascii="宋体" w:hAnsi="宋体" w:eastAsia="宋体" w:cs="宋体"/>
      <w:sz w:val="24"/>
      <w:szCs w:val="24"/>
      <w:lang w:val="en-US" w:eastAsia="zh-CN" w:bidi="ar-SA"/>
    </w:rPr>
  </w:style>
  <w:style w:type="character" w:customStyle="1" w:styleId="32">
    <w:name w:val="样式 Char Char"/>
    <w:link w:val="31"/>
    <w:qFormat/>
    <w:locked/>
    <w:uiPriority w:val="0"/>
    <w:rPr>
      <w:rFonts w:ascii="宋体" w:hAnsi="宋体" w:eastAsia="宋体" w:cs="宋体"/>
      <w:kern w:val="0"/>
      <w:sz w:val="24"/>
      <w:szCs w:val="24"/>
    </w:rPr>
  </w:style>
  <w:style w:type="character" w:customStyle="1" w:styleId="33">
    <w:name w:val="页眉 Char"/>
    <w:basedOn w:val="9"/>
    <w:link w:val="6"/>
    <w:qFormat/>
    <w:uiPriority w:val="99"/>
    <w:rPr>
      <w:rFonts w:ascii="Calibri" w:hAnsi="Calibri" w:eastAsia="宋体" w:cs="Times New Roman"/>
      <w:sz w:val="18"/>
      <w:szCs w:val="18"/>
    </w:rPr>
  </w:style>
  <w:style w:type="character" w:customStyle="1" w:styleId="34">
    <w:name w:val="页脚 Char"/>
    <w:basedOn w:val="9"/>
    <w:link w:val="5"/>
    <w:qFormat/>
    <w:uiPriority w:val="99"/>
    <w:rPr>
      <w:rFonts w:ascii="Calibri" w:hAnsi="Calibri" w:eastAsia="宋体" w:cs="Times New Roman"/>
      <w:sz w:val="18"/>
      <w:szCs w:val="18"/>
    </w:rPr>
  </w:style>
  <w:style w:type="character" w:customStyle="1" w:styleId="35">
    <w:name w:val="批注文字 Char"/>
    <w:basedOn w:val="9"/>
    <w:link w:val="2"/>
    <w:semiHidden/>
    <w:qFormat/>
    <w:uiPriority w:val="99"/>
    <w:rPr>
      <w:rFonts w:ascii="Calibri" w:hAnsi="Calibri" w:eastAsia="宋体" w:cs="Times New Roman"/>
    </w:rPr>
  </w:style>
  <w:style w:type="character" w:customStyle="1" w:styleId="36">
    <w:name w:val="批注主题 Char"/>
    <w:basedOn w:val="35"/>
    <w:link w:val="7"/>
    <w:semiHidden/>
    <w:qFormat/>
    <w:uiPriority w:val="99"/>
    <w:rPr>
      <w:rFonts w:ascii="Calibri" w:hAnsi="Calibri" w:eastAsia="宋体" w:cs="Times New Roman"/>
      <w:b/>
      <w:bCs/>
    </w:rPr>
  </w:style>
  <w:style w:type="character" w:customStyle="1" w:styleId="37">
    <w:name w:val="批注框文本 Char"/>
    <w:basedOn w:val="9"/>
    <w:link w:val="4"/>
    <w:semiHidden/>
    <w:qFormat/>
    <w:uiPriority w:val="99"/>
    <w:rPr>
      <w:rFonts w:ascii="Calibri" w:hAnsi="Calibri" w:eastAsia="宋体" w:cs="Times New Roman"/>
      <w:sz w:val="18"/>
      <w:szCs w:val="18"/>
    </w:rPr>
  </w:style>
  <w:style w:type="paragraph" w:customStyle="1" w:styleId="3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7</Pages>
  <Words>3607</Words>
  <Characters>3802</Characters>
  <Lines>21</Lines>
  <Paragraphs>6</Paragraphs>
  <TotalTime>28</TotalTime>
  <ScaleCrop>false</ScaleCrop>
  <LinksUpToDate>false</LinksUpToDate>
  <CharactersWithSpaces>3859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2021-03-19T04:39:00Z</dcterms:created>
  <dc:creator>lenovo</dc:creator>
  <cp:lastModifiedBy>学凯</cp:lastModifiedBy>
  <cp:lastPrinted>2026-06-23T06:22:00Z</cp:lastPrinted>
  <dcterms:modified xsi:type="dcterms:W3CDTF">2026-07-15T11:48:22Z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7078136359264F8AAA3B3AECE92908DA_12</vt:lpwstr>
  </property>
  <property fmtid="{D5CDD505-2E9C-101B-9397-08002B2CF9AE}" pid="4" name="KSOTemplateDocerSaveRecord">
    <vt:lpwstr>eyJoZGlkIjoiN2FmOGNjMjYxYTkzNGI4NWI0Mjc2YjE5MWY5MDBmMDYiLCJ1c2VySWQiOiIyNjkyNTU4MDcifQ==</vt:lpwstr>
  </property>
</Properties>
</file>