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版本号：ZKGSF(ZB)-2026152120260729001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省体育训练中心南区足球五人制场地维修改造工程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ZKGSF(ZB)-20261521</w:t>
      </w:r>
      <w:r>
        <w:br/>
      </w:r>
      <w:r>
        <w:br/>
      </w:r>
      <w:r>
        <w:br/>
      </w:r>
    </w:p>
    <w:p>
      <w:pPr>
        <w:pStyle w:val="null3"/>
        <w:jc w:val="center"/>
        <w:outlineLvl w:val="2"/>
      </w:pPr>
      <w:r>
        <w:rPr>
          <w:rFonts w:ascii="仿宋_GB2312" w:hAnsi="仿宋_GB2312" w:cs="仿宋_GB2312" w:eastAsia="仿宋_GB2312"/>
          <w:sz w:val="28"/>
          <w:b/>
        </w:rPr>
        <w:t>陕西省体育训练中心</w:t>
      </w:r>
    </w:p>
    <w:p>
      <w:pPr>
        <w:pStyle w:val="null3"/>
        <w:jc w:val="center"/>
        <w:outlineLvl w:val="2"/>
      </w:pPr>
      <w:r>
        <w:rPr>
          <w:rFonts w:ascii="仿宋_GB2312" w:hAnsi="仿宋_GB2312" w:cs="仿宋_GB2312" w:eastAsia="仿宋_GB2312"/>
          <w:sz w:val="28"/>
          <w:b/>
        </w:rPr>
        <w:t>中科高盛咨询集团有限公司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中科高盛咨询集团有限公司</w:t>
      </w:r>
      <w:r>
        <w:rPr>
          <w:rFonts w:ascii="仿宋_GB2312" w:hAnsi="仿宋_GB2312" w:cs="仿宋_GB2312" w:eastAsia="仿宋_GB2312"/>
        </w:rPr>
        <w:t>（以下简称“代理机构”）受</w:t>
      </w:r>
      <w:r>
        <w:rPr>
          <w:rFonts w:ascii="仿宋_GB2312" w:hAnsi="仿宋_GB2312" w:cs="仿宋_GB2312" w:eastAsia="仿宋_GB2312"/>
        </w:rPr>
        <w:t>陕西省体育训练中心</w:t>
      </w:r>
      <w:r>
        <w:rPr>
          <w:rFonts w:ascii="仿宋_GB2312" w:hAnsi="仿宋_GB2312" w:cs="仿宋_GB2312" w:eastAsia="仿宋_GB2312"/>
        </w:rPr>
        <w:t>委托，拟对</w:t>
      </w:r>
      <w:r>
        <w:rPr>
          <w:rFonts w:ascii="仿宋_GB2312" w:hAnsi="仿宋_GB2312" w:cs="仿宋_GB2312" w:eastAsia="仿宋_GB2312"/>
        </w:rPr>
        <w:t>省体育训练中心南区足球五人制场地维修改造工程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ZKGSF(ZB)-20261521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省体育训练中心南区足球五人制场地维修改造工程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本项目是对陕西省体育训练中心南区足球五人制场地维修改造工程，内容详见采购清单及图纸。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采购包1（南区足球五人制场地维修改造工程）：属于专门面向中小企业采购。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委托授权书及法定代表人（主要负责人）身份证明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页面跳转至“中国执行信息公开网”网站（zxgk.court.gov.cn）），不得为“中国政府采购网”网站（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3、非联合体磋商声明：提交非联合体形式参加本项目磋商的声明函。供应商需在项目电子化交易系统中按要求上传相应证明文件并进行电子签章。</w:t>
      </w:r>
    </w:p>
    <w:p>
      <w:pPr>
        <w:pStyle w:val="null3"/>
      </w:pPr>
      <w:r>
        <w:rPr>
          <w:rFonts w:ascii="仿宋_GB2312" w:hAnsi="仿宋_GB2312" w:cs="仿宋_GB2312" w:eastAsia="仿宋_GB2312"/>
        </w:rPr>
        <w:t>4、资质要求：供应商须具备国家建设行政主管部门颁发的建筑工程施工总承包三级(含)及以上资质及其有效的安全生产许可证；外省进陕企业提供陕西省住房和城乡建设厅官网企业库外省进陕企业信息首页截图。供应商需在项目电子化交易系统中按要求上传相应证明文件并进行电子签章。</w:t>
      </w:r>
    </w:p>
    <w:p>
      <w:pPr>
        <w:pStyle w:val="null3"/>
      </w:pPr>
      <w:r>
        <w:rPr>
          <w:rFonts w:ascii="仿宋_GB2312" w:hAnsi="仿宋_GB2312" w:cs="仿宋_GB2312" w:eastAsia="仿宋_GB2312"/>
        </w:rPr>
        <w:t>5、拟派项目经理资质和专业要求：供应商拟派项目经理需具备建筑工程专业二级（含二级）以上注册建造师证书。具备有效的安全生产考核合格证，在本单位注册，且未担任其他在建工程项目的项目经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陕西省体育训练中心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西安市丈八东路303号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88586741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中科高盛咨询集团有限公司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西安市未央区未央路113号雅荷花园A18栋</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张俊姣、王佩雨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029-81310033、17792634642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采购包1：2,201,242.42元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履约保证金收取与退还：乙方在合同签订前将项目履约保证金转账至甲方指定账户,未按照磋商文件要求按时足额缴纳履约保证金的，甲方将取消乙方成交资格，且无需承担任何责任，甲方可重新组织采购活动。质保期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标准的92%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陕西省体育训练中心</w:t>
      </w:r>
      <w:r>
        <w:rPr>
          <w:rFonts w:ascii="仿宋_GB2312" w:hAnsi="仿宋_GB2312" w:cs="仿宋_GB2312" w:eastAsia="仿宋_GB2312"/>
        </w:rPr>
        <w:t>和</w:t>
      </w:r>
      <w:r>
        <w:rPr>
          <w:rFonts w:ascii="仿宋_GB2312" w:hAnsi="仿宋_GB2312" w:cs="仿宋_GB2312" w:eastAsia="仿宋_GB2312"/>
        </w:rPr>
        <w:t>中科高盛咨询集团有限公司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陕西省体育训练中心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中科高盛咨询集团有限公司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陕西省体育训练中心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中科高盛咨询集团有限公司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整体工程符合国家现行建筑、体育场地施工验收规范，工程质量合格；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中科高盛咨询集团有限公司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联系人：张俊姣、王佩雨</w:t>
      </w:r>
    </w:p>
    <w:p>
      <w:pPr>
        <w:pStyle w:val="null3"/>
      </w:pPr>
      <w:r>
        <w:rPr>
          <w:rFonts w:ascii="仿宋_GB2312" w:hAnsi="仿宋_GB2312" w:cs="仿宋_GB2312" w:eastAsia="仿宋_GB2312"/>
        </w:rPr>
        <w:t>联系电话：029-81310033</w:t>
      </w:r>
    </w:p>
    <w:p>
      <w:pPr>
        <w:pStyle w:val="null3"/>
      </w:pPr>
      <w:r>
        <w:rPr>
          <w:rFonts w:ascii="仿宋_GB2312" w:hAnsi="仿宋_GB2312" w:cs="仿宋_GB2312" w:eastAsia="仿宋_GB2312"/>
        </w:rPr>
        <w:t>地址：西安市未央区未央路113号雅荷花园A18栋</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2,201,242.42</w:t>
      </w:r>
    </w:p>
    <w:p>
      <w:pPr>
        <w:pStyle w:val="null3"/>
      </w:pPr>
      <w:r>
        <w:rPr>
          <w:rFonts w:ascii="仿宋_GB2312" w:hAnsi="仿宋_GB2312" w:cs="仿宋_GB2312" w:eastAsia="仿宋_GB2312"/>
        </w:rPr>
        <w:t>采购包最高限价（元）: 2,201,242.42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省体育训练中心南区足球五人制场地维修改造工程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2,201,242.42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标的名称：省体育训练中心南区足球五人制场地维修改造工程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项目概况</w:t>
            </w:r>
          </w:p>
          <w:p>
            <w:pPr>
              <w:pStyle w:val="null3"/>
              <w:jc w:val="both"/>
            </w:pPr>
            <w:r>
              <w:rPr>
                <w:rFonts w:ascii="仿宋_GB2312" w:hAnsi="仿宋_GB2312" w:cs="仿宋_GB2312" w:eastAsia="仿宋_GB2312"/>
              </w:rPr>
              <w:t>1.</w:t>
            </w:r>
            <w:r>
              <w:rPr>
                <w:rFonts w:ascii="仿宋_GB2312" w:hAnsi="仿宋_GB2312" w:cs="仿宋_GB2312" w:eastAsia="仿宋_GB2312"/>
              </w:rPr>
              <w:t>主要维修改造内容</w:t>
            </w:r>
          </w:p>
          <w:p>
            <w:pPr>
              <w:pStyle w:val="null3"/>
              <w:jc w:val="both"/>
            </w:pPr>
            <w:r>
              <w:rPr>
                <w:rFonts w:ascii="仿宋_GB2312" w:hAnsi="仿宋_GB2312" w:cs="仿宋_GB2312" w:eastAsia="仿宋_GB2312"/>
              </w:rPr>
              <w:t>清理场地旧草皮，对排水沟进行清淤，重新铺设人造草皮、新做球场隔断围网，更换场地球门</w:t>
            </w:r>
            <w:r>
              <w:rPr>
                <w:rFonts w:ascii="仿宋_GB2312" w:hAnsi="仿宋_GB2312" w:cs="仿宋_GB2312" w:eastAsia="仿宋_GB2312"/>
              </w:rPr>
              <w:t>18个。新做电缆管沟，新换照明电缆并调整灯光控制线路。具体以工程量清单为准。</w:t>
            </w:r>
          </w:p>
          <w:p>
            <w:pPr>
              <w:pStyle w:val="null3"/>
              <w:jc w:val="both"/>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、施工地点、计划工期、缺陷责任期、质量保修期</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工程地点：</w:t>
            </w:r>
            <w:r>
              <w:rPr>
                <w:rFonts w:ascii="仿宋_GB2312" w:hAnsi="仿宋_GB2312" w:cs="仿宋_GB2312" w:eastAsia="仿宋_GB2312"/>
                <w:sz w:val="20"/>
                <w:color w:val="000000"/>
              </w:rPr>
              <w:t>西安市雁塔区丈八东路</w:t>
            </w:r>
            <w:r>
              <w:rPr>
                <w:rFonts w:ascii="仿宋_GB2312" w:hAnsi="仿宋_GB2312" w:cs="仿宋_GB2312" w:eastAsia="仿宋_GB2312"/>
                <w:sz w:val="20"/>
                <w:color w:val="000000"/>
              </w:rPr>
              <w:t>303 号</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计划工期：</w:t>
            </w:r>
            <w:r>
              <w:rPr>
                <w:rFonts w:ascii="仿宋_GB2312" w:hAnsi="仿宋_GB2312" w:cs="仿宋_GB2312" w:eastAsia="仿宋_GB2312"/>
                <w:sz w:val="20"/>
                <w:color w:val="000000"/>
              </w:rPr>
              <w:t>自进场之日起</w:t>
            </w:r>
            <w:r>
              <w:rPr>
                <w:rFonts w:ascii="仿宋_GB2312" w:hAnsi="仿宋_GB2312" w:cs="仿宋_GB2312" w:eastAsia="仿宋_GB2312"/>
                <w:sz w:val="20"/>
                <w:color w:val="000000"/>
              </w:rPr>
              <w:t>60个日历天内竣工</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缺陷责任期：本工程缺陷责任期为</w:t>
            </w:r>
            <w:r>
              <w:rPr>
                <w:rFonts w:ascii="仿宋_GB2312" w:hAnsi="仿宋_GB2312" w:cs="仿宋_GB2312" w:eastAsia="仿宋_GB2312"/>
                <w:sz w:val="20"/>
                <w:color w:val="000000"/>
              </w:rPr>
              <w:t>24个月，缺陷责任期自工程竣工验收合格之日起计算。</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rPr>
              <w:t>质保期：验收合格后</w:t>
            </w:r>
            <w:r>
              <w:rPr>
                <w:rFonts w:ascii="仿宋_GB2312" w:hAnsi="仿宋_GB2312" w:cs="仿宋_GB2312" w:eastAsia="仿宋_GB2312"/>
              </w:rPr>
              <w:t>2年</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rPr>
              <w:t>质量标准：工程质量应达到国家或专业质量检验评定标准的合格条件。</w:t>
            </w:r>
          </w:p>
          <w:p>
            <w:pPr>
              <w:pStyle w:val="null3"/>
              <w:jc w:val="both"/>
            </w:pPr>
            <w:r>
              <w:rPr>
                <w:rFonts w:ascii="仿宋_GB2312" w:hAnsi="仿宋_GB2312" w:cs="仿宋_GB2312" w:eastAsia="仿宋_GB2312"/>
              </w:rPr>
              <w:t>6</w:t>
            </w:r>
            <w:r>
              <w:rPr>
                <w:rFonts w:ascii="仿宋_GB2312" w:hAnsi="仿宋_GB2312" w:cs="仿宋_GB2312" w:eastAsia="仿宋_GB2312"/>
              </w:rPr>
              <w:t>.工程验收的主要依据、标准及要求：</w:t>
            </w:r>
          </w:p>
          <w:p>
            <w:pPr>
              <w:pStyle w:val="null3"/>
              <w:jc w:val="both"/>
            </w:pPr>
            <w:r>
              <w:rPr>
                <w:rFonts w:ascii="仿宋_GB2312" w:hAnsi="仿宋_GB2312" w:cs="仿宋_GB2312" w:eastAsia="仿宋_GB2312"/>
              </w:rPr>
              <w:t>（</w:t>
            </w:r>
            <w:r>
              <w:rPr>
                <w:rFonts w:ascii="仿宋_GB2312" w:hAnsi="仿宋_GB2312" w:cs="仿宋_GB2312" w:eastAsia="仿宋_GB2312"/>
              </w:rPr>
              <w:t>1）施工材料符合招标及环保要求，主材提供检验合格证、生产合格证等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2）部分施工工艺满足相关施工验收标准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）、其他要求</w:t>
            </w:r>
          </w:p>
          <w:p>
            <w:pPr>
              <w:pStyle w:val="null3"/>
              <w:jc w:val="both"/>
            </w:pPr>
            <w:r>
              <w:rPr>
                <w:rFonts w:ascii="仿宋_GB2312" w:hAnsi="仿宋_GB2312" w:cs="仿宋_GB2312" w:eastAsia="仿宋_GB2312"/>
              </w:rPr>
              <w:t>1、人造草坪强制标准及认证要求：人造草坪符合 GB/T20394-2019、GB 36246-2018《中小学合成材料面层运动场地》国家标准，提供带 CMA/CNAS 资质的全套成品检测报告；投标方提供该款草坪国内体育行业主管专项认证证书或 FIFA 国际足联场地认证证书（二者任选其一提供），证书官网可核验备案；国内认可主管认证含 NSCC 国体世纪人造草坪产品认证、中体联 CSC 人造草坪专项认证；</w:t>
            </w:r>
          </w:p>
          <w:p>
            <w:pPr>
              <w:pStyle w:val="null3"/>
              <w:jc w:val="both"/>
            </w:pPr>
            <w:r>
              <w:rPr>
                <w:rFonts w:ascii="仿宋_GB2312" w:hAnsi="仿宋_GB2312" w:cs="仿宋_GB2312" w:eastAsia="仿宋_GB2312"/>
              </w:rPr>
              <w:t xml:space="preserve"> </w:t>
            </w:r>
            <w:r>
              <w:rPr>
                <w:rFonts w:ascii="仿宋_GB2312" w:hAnsi="仿宋_GB2312" w:cs="仿宋_GB2312" w:eastAsia="仿宋_GB2312"/>
              </w:rPr>
              <w:t>2</w:t>
            </w:r>
            <w:r>
              <w:rPr>
                <w:rFonts w:ascii="仿宋_GB2312" w:hAnsi="仿宋_GB2312" w:cs="仿宋_GB2312" w:eastAsia="仿宋_GB2312"/>
              </w:rPr>
              <w:t>、填充颗粒物料检测要求：绿色环保高聚物缓冲颗粒提供</w:t>
            </w:r>
            <w:r>
              <w:rPr>
                <w:rFonts w:ascii="仿宋_GB2312" w:hAnsi="仿宋_GB2312" w:cs="仿宋_GB2312" w:eastAsia="仿宋_GB2312"/>
              </w:rPr>
              <w:t>CMA/CNAS 检测报告，无重金属、无邻苯类有害物质；石英砂为干燥圆形硅质砂，无杂质无粉尘，进场前提供砂石检测合格资料。</w:t>
            </w:r>
          </w:p>
          <w:p>
            <w:pPr>
              <w:pStyle w:val="null3"/>
            </w:pPr>
            <w:r>
              <w:rPr>
                <w:rFonts w:ascii="仿宋_GB2312" w:hAnsi="仿宋_GB2312" w:cs="仿宋_GB2312" w:eastAsia="仿宋_GB2312"/>
                <w:sz w:val="21"/>
              </w:rPr>
              <w:t>3</w:t>
            </w:r>
            <w:r>
              <w:rPr>
                <w:rFonts w:ascii="仿宋_GB2312" w:hAnsi="仿宋_GB2312" w:cs="仿宋_GB2312" w:eastAsia="仿宋_GB2312"/>
                <w:sz w:val="21"/>
              </w:rPr>
              <w:t>、样品递交要求：供应商须在响应文件递交截止前提交</w:t>
            </w:r>
            <w:r>
              <w:rPr>
                <w:rFonts w:ascii="仿宋_GB2312" w:hAnsi="仿宋_GB2312" w:cs="仿宋_GB2312" w:eastAsia="仿宋_GB2312"/>
                <w:sz w:val="21"/>
              </w:rPr>
              <w:t xml:space="preserve"> 30cm×30cm 实物板材样品 3 块，分别为足球场深绿色人造草坪样品、足球场浅绿色人造草坪样品、配套 10mm 合成吸震垫样品；另需同步提交石英砂、环保高聚物填充颗粒实物小样各 1 份。所有板材样品、袋装填充小样均需标注项目名称、项目编号、供应商全称，送至西安市未央区未央路 113 号雅荷花园 A18 栋统一封存，封存样品全程作为评审、竣工验收比对依据。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符合现行国家有关工程施工验收规范和标准的要求“合格”标准。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符合磋商文件要求。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1.供应商的磋商报价包括施工设备费、人工费、管理费、材料与设备费、安装费、维护费、保险费、采购代理服务费、造价咨询费、税金、利润、风险、责任等所有费用，并符合建设工程计价规则。 2.成交供应商在施工期间应严格遵守国家、省、市有关防火、安全文明施工、夜间施工等规定,建立规章制度和防护措施,应按安全施工的要求,采取严格科学的安全措施,确保施工安全和第三者的安全,确保工程质量和生产安全。否则,由此造成的经济和法律责任均由成交人承担。 3.成交供应商应配合项目建设进度,向采购人提供本项目施工组织方案、施工进度计划和施工作业计划，并签订施工安全责任书。 4.成交供应商在领取成交通知书前，须向采购代理机构提供纸质版响应文件3套（1正2副），U盘2份（U盘需包括系统生成的全部已签章响应文件（PDF格式）、U盘标明供应商名称。）且提供的响应文件必须与在陕西省政府采购综合管理平台的项目电子化交易系统中提交的电子响应文件内容一致，纸质版响应文件必须装订成册签字盖章。 5.付款方式：合同签订后10个工作日内甲方拨付合同总额的40%作为工程预付款；工程进度达到整体项目的60%时支付合同总价的20%；工程竣工后，采购人组织各参建方对本项目进行最终验收，竣工验收合格后，甲方向乙方支付至合同总额的80%；工程竣工结算审核完成后30日内，甲方向乙方支付工程款至结算价总额的100%。 乙方在申请支付各项工程款项时需提供对应金额的发票。最终结清详见合同条款。 6.根据《建设工程工程量清单计价标准（DB61/T5126-2025）》、《房屋建筑与装饰工程工程量计算标准（DB61/T5129-2025）》、《通用安装工程工程量计算标准（DB61/T5130-2025）》、《陕西省房屋建筑与装饰工程消耗量定额(2025)》、《陕西省通用安装工程消耗量定额(2025)》、《陕西省房屋建筑与装饰工程基价表(2025)》、《陕西省通用安装工程基价表(2025)》、《陕西省建设工程费用规则(2025)》及其他相关的计价依据和办法。7.材料价格按2026年4期《陕西省工程造价信息》价格信息计价。信息价没有的主材价格按市场价计入。8.广联达软件版本为GCCP7.0版本号: 7.5000.23.3。9.本工程暂列金额税前为91743.12元，税后为100000元。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社保资金缴纳证明：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3.税收缴纳证明：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4.无重大违法记录声明：参加政府采购活动前3年内在经营活动中没有重大违法记录的书面声明。供应商需在项目电子化交易系统中按要求填写《响应函》完成承诺并进行电子签章。 5.履约能力承诺：提交具有履行合同所必需的设备和专业技术能力的承诺函。供应商需在项目电子化交易系统中按要求填写《响应函》完成承诺并进行电子签章。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2025年度经审计完整的财务审计报告（成立时间至提交磋商文件截止时间不足一年的可提供成立后任意时段的资产负债表），或其2026年1月1日至今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及法定代表人（主要负责人）身份证明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页面跳转至“中国执行信息公开网”网站（zxgk.court.gov.cn）），不得为“中国政府采购网”网站（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提交非联合体形式参加本项目磋商的声明函。供应商需在项目电子化交易系统中按要求上传相应证明文件并进行电子签章。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国家建设行政主管部门颁发的建筑工程施工总承包三级(含)及以上资质及其有效的安全生产许可证；外省进陕企业提供陕西省住房和城乡建设厅官网企业库外省进陕企业信息首页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需具备建筑工程专业二级（含二级）以上注册建造师证书。具备有效的安全生产考核合格证，在本单位注册，且未担任其他在建工程项目的项目经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供应商响应有效期自提交响应文件截止之日起不少于90天。供应商需在项目电子化交易系统中按要求填写《响应函》完成承诺并进行电子签章。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磋商响应文件内容应全面响应磋商文件要求，且无未实质性响应及无效标的情形。</w:t>
            </w:r>
          </w:p>
        </w:tc>
        <w:tc>
          <w:tcPr>
            <w:tcW w:type="dxa" w:w="1661"/>
          </w:tcPr>
          <w:p>
            <w:pPr>
              <w:pStyle w:val="null3"/>
            </w:pPr>
            <w:r>
              <w:rPr>
                <w:rFonts w:ascii="仿宋_GB2312" w:hAnsi="仿宋_GB2312" w:cs="仿宋_GB2312" w:eastAsia="仿宋_GB2312"/>
              </w:rPr>
              <w:t>响应文件封面 商务响应偏离表.docx 响应函 供应商承诺书.docx 合同条款响应偏离表.docx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供应商需在项目电子化交易系统中按要求填写《报价函》、《标的清单》、《响应函附录》并进行电子签章。</w:t>
            </w:r>
          </w:p>
        </w:tc>
        <w:tc>
          <w:tcPr>
            <w:tcW w:type="dxa" w:w="1661"/>
          </w:tcPr>
          <w:p>
            <w:pPr>
              <w:pStyle w:val="null3"/>
            </w:pPr>
            <w:r>
              <w:rPr>
                <w:rFonts w:ascii="仿宋_GB2312" w:hAnsi="仿宋_GB2312" w:cs="仿宋_GB2312" w:eastAsia="仿宋_GB2312"/>
              </w:rPr>
              <w:t>响应文件封面 响应函附录.docx 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供应商需在项目电子化交易系统中按要求填写《报价函》、《响应函附录》并进行电子签章。</w:t>
            </w:r>
          </w:p>
        </w:tc>
        <w:tc>
          <w:tcPr>
            <w:tcW w:type="dxa" w:w="1661"/>
          </w:tcPr>
          <w:p>
            <w:pPr>
              <w:pStyle w:val="null3"/>
            </w:pPr>
            <w:r>
              <w:rPr>
                <w:rFonts w:ascii="仿宋_GB2312" w:hAnsi="仿宋_GB2312" w:cs="仿宋_GB2312" w:eastAsia="仿宋_GB2312"/>
              </w:rPr>
              <w:t>响应文件封面 响应函附录.docx 报价函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供应商需在项目电子化交易系统中按要求编制磋商响应文件并进行电子签章。</w:t>
            </w:r>
          </w:p>
        </w:tc>
        <w:tc>
          <w:tcPr>
            <w:tcW w:type="dxa" w:w="1661"/>
          </w:tcPr>
          <w:p>
            <w:pPr>
              <w:pStyle w:val="null3"/>
            </w:pPr>
            <w:r>
              <w:rPr>
                <w:rFonts w:ascii="仿宋_GB2312" w:hAnsi="仿宋_GB2312" w:cs="仿宋_GB2312" w:eastAsia="仿宋_GB2312"/>
              </w:rPr>
              <w:t>技术方案.docx 已标价工程量清单 响应函附录.docx 中小企业声明函 供应商承诺书.docx 响应文件封面 商务响应偏离表.docx 残疾人福利性单位声明函 报价函 标的清单 资格证明材料.docx 响应函 监狱企业的证明文件 合同条款响应偏离表.docx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（磋商响应内容）实质性要求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技术方案.docx 已标价工程量清单 商务响应偏离表.docx 响应函附录.docx 报价函 资格证明材料.docx 响应函 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 针对本项目的施工方案及技术措施。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施工总进度计划及保证措施</w:t>
            </w:r>
          </w:p>
        </w:tc>
        <w:tc>
          <w:tcPr>
            <w:tcW w:type="dxa" w:w="2492"/>
          </w:tcPr>
          <w:p>
            <w:pPr>
              <w:pStyle w:val="null3"/>
            </w:pPr>
            <w:r>
              <w:rPr>
                <w:rFonts w:ascii="仿宋_GB2312" w:hAnsi="仿宋_GB2312" w:cs="仿宋_GB2312" w:eastAsia="仿宋_GB2312"/>
              </w:rPr>
              <w:t>一、评审内容： 针对本项目的施工总进度计划及保证措施。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质量保证措施计划</w:t>
            </w:r>
          </w:p>
        </w:tc>
        <w:tc>
          <w:tcPr>
            <w:tcW w:type="dxa" w:w="2492"/>
          </w:tcPr>
          <w:p>
            <w:pPr>
              <w:pStyle w:val="null3"/>
            </w:pPr>
            <w:r>
              <w:rPr>
                <w:rFonts w:ascii="仿宋_GB2312" w:hAnsi="仿宋_GB2312" w:cs="仿宋_GB2312" w:eastAsia="仿宋_GB2312"/>
              </w:rPr>
              <w:t>一、评审内容： 针对本项目的质量保证措施计划。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施工安全措施计划</w:t>
            </w:r>
          </w:p>
        </w:tc>
        <w:tc>
          <w:tcPr>
            <w:tcW w:type="dxa" w:w="2492"/>
          </w:tcPr>
          <w:p>
            <w:pPr>
              <w:pStyle w:val="null3"/>
            </w:pPr>
            <w:r>
              <w:rPr>
                <w:rFonts w:ascii="仿宋_GB2312" w:hAnsi="仿宋_GB2312" w:cs="仿宋_GB2312" w:eastAsia="仿宋_GB2312"/>
              </w:rPr>
              <w:t>一、评审内容： 针对本项目的施工安全措施计划。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文明施工和环境保护措施计划</w:t>
            </w:r>
          </w:p>
        </w:tc>
        <w:tc>
          <w:tcPr>
            <w:tcW w:type="dxa" w:w="2492"/>
          </w:tcPr>
          <w:p>
            <w:pPr>
              <w:pStyle w:val="null3"/>
            </w:pPr>
            <w:r>
              <w:rPr>
                <w:rFonts w:ascii="仿宋_GB2312" w:hAnsi="仿宋_GB2312" w:cs="仿宋_GB2312" w:eastAsia="仿宋_GB2312"/>
              </w:rPr>
              <w:t>一、评审内容： 针对本项目的文明施工和环境保护措施计划。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针对本项目的施工机械配备和材料投入计划。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简单粗略得0.5分；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针对本项目的人员配备。 二、评审标准： 团队人员数量充足、配备合理、职责明确，完全满足项目需求，得3分； 团队人员数量较为充足、配备较为合理、职责较为明确，满足项目需求，得2分； 团队人员数量较少、配备合理性较差、职责基本明确，基本满足项目需求，得1分；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针对本项目的应急预案。 二、评审标准： 1、完整性：内容全面、详实； 2、可实施性：切合本项目实际情况，实施步骤清晰、合理； 3、针对性：能够紧扣项目实际情况，内容科学合理。 三、赋分标准： 每完全满足一个评审标准得2分； 满足评审标准，稍有欠缺得1.5分； 基本满足评审标准，欠缺较多得1分；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相关服务承诺</w:t>
            </w:r>
          </w:p>
        </w:tc>
        <w:tc>
          <w:tcPr>
            <w:tcW w:type="dxa" w:w="2492"/>
          </w:tcPr>
          <w:p>
            <w:pPr>
              <w:pStyle w:val="null3"/>
            </w:pPr>
            <w:r>
              <w:rPr>
                <w:rFonts w:ascii="仿宋_GB2312" w:hAnsi="仿宋_GB2312" w:cs="仿宋_GB2312" w:eastAsia="仿宋_GB2312"/>
              </w:rPr>
              <w:t>一、评审内容： 针对本项目的服务承诺。 二、评审标准： 服务承诺明确、合理、内容详实，针对性和可操作性强，得2分； 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供应商须完整提交全套实物样品，所有样品独立分装，粘贴标签标注项目名称、供应商名称，响应文件截止前送达评审现场；缺失任意一类样品、样品规格尺寸不符、未做标识，本样品评审项直接得0分。 需提交样品清单： 人造草坪：深绿色、浅绿色各 1 块，单块尺寸30cm×30cm； 10mm 合成材料吸震垫：1 块，30cm×30cm； 填充石英砂：透明密封容器盛装不少于 500g； 环保高聚物填充颗粒：透明密封容器盛装不少于 500g。 二、评审标准 （一）深绿色、浅绿色人造草坪（7 分） ①厚度与草丝结构（2分） 要求：草丝绒高 50 (±1) mm，草丝直立无倒伏弯折；草坪基底粘接牢固，无脱丝、抽丝、漏底；深浅两块样品均满足要求得 2分。 扣分规则：单块草坪出现倒伏 / 脱丝 / 漏底任意一处瑕疵，每项扣 0.5 分，扣完本项分值为止。 ②外观工艺色泽（1 分） 要求：同色系草坪色泽均匀，无明显色差、发白、杂色；表面无油污、划痕、凹凸颗粒；边缘裁切整齐无毛边，无刺鼻化工异味，两块样品全部达标得 1 分。 扣分规则：出现色差、污渍、毛边、异味任意一项瑕疵扣 0.5 分，扣完本项分值为止。 ③物理手感与耐磨性（1分） 要求：草丝柔韧，反复弯折无发白、裂纹；表面摩擦不起毛、不掉粉；按压回弹迅速，无永久弯折痕迹，两块样品全部达标得 1分。 扣分规则：草丝易断、掉粉、回弹差任意一项扣 0.5 分，扣完本项分值为止。 ④铺设适配性（1分） 要求：草坪平整度佳，拼接缝隙贴合紧密；草丝密度均匀，无稀疏空缺；底布防水不渗水，满足场地铺装要求，两块样品全部达标得 1分。 扣分规则：密度不均、平整度差、渗水任意一项扣 0.5 分，扣完本项分值为止。 ⑤CMA检验报告评审（2分） 评审要求：提供有效的人造草坪 CMA 成品检测报告，同时配套提供该款草坪国内体育行业主管专项认证证书或 FIFA 国际足联场地认证证书（二者任选其一），证书、报告资质齐全、在有效期内，产品型号与样品完全一致。 计分扣分规则：报告、配套认证均完整合规、指标全合格得 2 分；缺认证或报告有效但单项核心指标不达标扣 1 分；报告过期、无 CMA 资质、未提供报告本项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（二）10mm 合成材料吸震垫（2分） 评审标准： 实测厚度≥10mm，公差≤±0.05mm； 剖面三层复合结构完整，粘接牢固，无分层、空鼓、脱层，切面平整无碎渣； 表面纹理均匀，无气泡、针孔、划痕、凹凸颗粒，裁切边缘整齐无毛边； 按压回弹迅速无永久凹陷，材质柔韧不发硬，弯折无发白、裂纹，表面擦拭不掉色。 计分扣分：四项全部满足得 1 分；存在任意一项不达标扣 0.5 分，两项及以上不达标本项不得分。 CMA检验报告评审（1分） 评审要求：提供有效的吸震垫CMA检验报告，资质有效、信息完整，厚度精度、减震性能、结构稳定性、耐候性、柔韧回弹等核心指标达标。 计分扣分规则：报告合规、指标全合格得1分；报告有效但单项指标不达标扣0.5分；报告无效、指标多项不合格本报告项0分；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（三）填充石英砂（2分） 评审标准： 颗粒为半透乳白色，圆润无尖锐棱角，无泥土、金属杂质、大量细粉结块；粒径 0.5~1mm，颗粒均匀； 手握抓握后松开完全松散，无潮湿抱团；清水摇晃静置后水体清澈，淤泥沉淀极少； 无粉尘飞扬、无刺激性异味，干燥状态下不易板结，不会堵塞场地排水。 计分扣分：三项全部满足得 1 分；出现 1 项瑕疵扣 0.5 分，两项及以上瑕疵本项不得分。 CMA检验报告评审（1分） 评审要求：提供有效的填充石英砂CMA检验报告，资质有效可查，粒径规格、杂质含量、含水率、干燥度、排水适配性等指标合规达标。 计分扣分规则：报告合规、指标全合格得1分；报告有效但单项指标不达标扣0.5分；报告无效、指标不合格本报告项0分；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（四）环保高聚物填充颗粒（2分） 评审标准： 通体绿色，色泽均匀无色差，无掉色、掉粉、结块；粒径 2~4mm，颗粒完整，碎渣占比低； 无刺鼻橡胶异味；清水浸泡后水体不浑浊、颗粒不脱色，短时间浸泡无开裂、发粘现象； 按压回弹性能良好，无软化、永久变形问题。 计分扣分：三项全部满足得 1 分；出现 1 项瑕疵扣 0.5 分，两项及以上瑕疵本项不得分。 CMA检验报告评审（1分） 评审要求：提供有效的环保高聚物填充颗粒CMA检验报告，资质有效可查，粒径规格、杂质含量、含水率、干燥度、排水适配性等指标合规达标。 计分扣分规则：报告合规、指标全合格得1分；报告有效但单项指标不达标扣0.5分；报告无效、指标不合格本报告项0分；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供应商2023年1月至今类似项目业绩；每提供1份得2分，最高得10分。 业绩证明（以合同或中标/成交通知书签订日期为准）。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价格分采用低价优先法计算，即满足磋商文件要求且最终报价最低的供应商的价格为磋商基准价，其价格分为满分。 其他供应商的价格分统一按照下列公式计算：磋商报价得分=30×（磋商基准价/最终磋商报价）。价格分计算：四舍五入，保留两位小数。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详见附件：响应函附录.docx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