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D1241">
      <w:pPr>
        <w:pStyle w:val="13"/>
        <w:keepNext w:val="0"/>
        <w:keepLines w:val="0"/>
        <w:pageBreakBefore w:val="0"/>
        <w:kinsoku/>
        <w:wordWrap/>
        <w:overflowPunct/>
        <w:topLinePunct w:val="0"/>
        <w:autoSpaceDE/>
        <w:autoSpaceDN/>
        <w:bidi w:val="0"/>
        <w:adjustRightInd/>
        <w:snapToGrid/>
        <w:spacing w:line="360" w:lineRule="auto"/>
        <w:ind w:firstLine="562" w:firstLineChars="200"/>
        <w:jc w:val="center"/>
        <w:textAlignment w:val="auto"/>
        <w:rPr>
          <w:rFonts w:hint="default" w:ascii="仿宋" w:hAnsi="仿宋" w:eastAsia="仿宋" w:cs="仿宋"/>
          <w:b/>
          <w:bCs/>
          <w:sz w:val="28"/>
          <w:szCs w:val="28"/>
          <w:highlight w:val="none"/>
          <w:lang w:val="en-US" w:eastAsia="zh-CN"/>
        </w:rPr>
      </w:pPr>
      <w:bookmarkStart w:id="0" w:name="_GoBack"/>
      <w:r>
        <w:rPr>
          <w:rFonts w:hint="eastAsia" w:ascii="仿宋" w:hAnsi="仿宋" w:eastAsia="仿宋" w:cs="仿宋"/>
          <w:b/>
          <w:bCs/>
          <w:sz w:val="28"/>
          <w:szCs w:val="28"/>
          <w:highlight w:val="none"/>
          <w:lang w:val="en-US" w:eastAsia="zh-CN"/>
        </w:rPr>
        <w:t>采购需求</w:t>
      </w:r>
    </w:p>
    <w:bookmarkEnd w:id="0"/>
    <w:p w14:paraId="5554C5F6">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一、网络安全咨询服务</w:t>
      </w:r>
    </w:p>
    <w:p w14:paraId="24DA3E22">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根据市交通运输局的实际情况，依据网络安全相关法律法规、条例、行业指导文件等要求，协助市交通运输局梳理相关信息资产、业务流程、人员协作等，帮助市交通运输局构建一个“技术+管理”的双轮驱动安全体系，实现技术与管理的无缝衔接，为市交通运输局提供量身定制的网络安全相关咨询方案，从而使市交通运输局能够在日常安全管理中降低网络安全风险隐患，提高整体安全防护水平，提升整体安全保障能力。全年服务工作量不少于10人天，并提供有效交付物。</w:t>
      </w:r>
    </w:p>
    <w:p w14:paraId="25D99B03">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二、网络安全管理规范建设服务</w:t>
      </w:r>
    </w:p>
    <w:p w14:paraId="7B4BAE88">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根据《中华人民共和国网络安全法》《中华人民共和国数据安全法》《党委（党组）网络安全工作责任制实施办法》等相关法律法规及政策的要求，协助市交通运输局建立、完善网络安全管理机构、具体工作职能部门和岗位；帮助市交通运输局制定各项管理政策、网络安全类相关制度、表单等，讨论解决安全管理中的重大问题；协助市交通运输局构建并完善网络安全管理体系。全年服务工作量不少于15人天，并提供有效交付物。</w:t>
      </w:r>
    </w:p>
    <w:p w14:paraId="49EB4F07">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三、网络安全宣教培服务</w:t>
      </w:r>
    </w:p>
    <w:p w14:paraId="6360C5F5">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按照网络安全相关的培训体系或定制的课程内容，向市交通运输局提供网络安全相关的宣传、教育、培训服务，帮助广大干部职工理解网络安全的重要性，使大家掌握各类网络安全技术与防范措施，以应对不断变化的网络安全挑战，从而增强大家的网络安全意识，提升网络安全防护技能。</w:t>
      </w:r>
    </w:p>
    <w:p w14:paraId="7A9CA975">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宣传要求：在网安周前期与市交通运输局沟通宣传的内容、形式、资料等，在网安周期间提供相关宣传彩页、展板等相关资料。其中展板不少于8套，彩页不少于2000份，宣传物品（网络安全提包、笔记本等）不少于130套。</w:t>
      </w:r>
    </w:p>
    <w:p w14:paraId="7ADEC50A">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培训要求：线上和线下集中培训。</w:t>
      </w:r>
    </w:p>
    <w:p w14:paraId="44DBA48C">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全年服务工作量不少于4人天，并提供有效交付物。</w:t>
      </w:r>
    </w:p>
    <w:p w14:paraId="1FF23FB5">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四、网络安全加固服务</w:t>
      </w:r>
    </w:p>
    <w:p w14:paraId="69687F44">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主要对主机系统的脆弱性及其面临的问题进行分析和修补，同时包括了对系统的身份鉴别与认证、访问控制和审计跟踪策略的增强，在尽量不影响加固对象原有功能和性能的基础上,解决在安全评估中发现的安全问题,修补其中存在的漏洞和问题。每半年一次，全年服务工作量不少于12人天，并提供有效交付物。</w:t>
      </w:r>
    </w:p>
    <w:p w14:paraId="4C06AB8F">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五、网络安全巡检服务</w:t>
      </w:r>
    </w:p>
    <w:p w14:paraId="24F2789A">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主要对主机系统进行定期巡检，通过定期检测及时发现系统存在的各种安全隐患，以及系统运行状态，同时对系统事件进行审计和日志分析，检查策略是否有效，配置是否安全，是否有可疑安全事件发生，必要时进行安全策略的调整和优化。每季度一次，全年服务工作量不少于48人天，并提供有效交付物。</w:t>
      </w:r>
    </w:p>
    <w:p w14:paraId="042314DC">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六、网络安全应急响应服务</w:t>
      </w:r>
    </w:p>
    <w:p w14:paraId="0ABEE4BF">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当发生各类网络安全事件时，第一时间提供应急响应和处置服务，及时采取有效的应对措施，控制安全事件造成的影响范围，缩小损失，排查问题来源，确保业务系统恢复正常，保障业务连续性。全年服务工作量不少于20人天，并提供有效交付物。</w:t>
      </w:r>
    </w:p>
    <w:p w14:paraId="3D90161A">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七、重保支撑服务</w:t>
      </w:r>
    </w:p>
    <w:p w14:paraId="64628F91">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根据现有的实际情况，在国家重大政治活动和节假日期间，针对可能发生的网络安全威胁，提供相应的技术防护服务，避免因网络安全事件导致系统瘫痪、服务中断等，从而确保业务系统安全可靠运行。全年服务工作量不少于24人天，并提供有效交付物。</w:t>
      </w:r>
    </w:p>
    <w:p w14:paraId="48E70F3B">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八、应急预案及演练服务</w:t>
      </w:r>
    </w:p>
    <w:p w14:paraId="181DF279">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协助市交通运输局编制网络安全应急预案，然后通过开展应急演练检验相关人员在应对网络安全突发事件的组织指挥和应急处理能力，分析演练中暴露的问题，不断修订完善应急预案，提升网络安全应急处置水平，确保在面对突发网络安全事件时能够迅速、有效地响应，将损失降到最低，保障业务的连续性和稳定性。修订有效的应急预案一次，根据应急预案开展应急演练工作两次，全年服务工作量不少于20人天，并提供有效交付物。</w:t>
      </w:r>
    </w:p>
    <w:p w14:paraId="7DC58CEE">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九、配合检查服务</w:t>
      </w:r>
    </w:p>
    <w:p w14:paraId="49C056F3">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配合市交通运输局做好网络安全的相关检查工作，如上级主管部门、监管部门的网络安全检查，然后针对检查中发现的问题配合市交通运输局进行整改和处置，提升网络安全合规水平。全年服务工作量不少于10人天，并提供有效交付物。</w:t>
      </w:r>
    </w:p>
    <w:p w14:paraId="7AB39C9C">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十、网络安全攻击监测分析服务</w:t>
      </w:r>
    </w:p>
    <w:p w14:paraId="3B7F1B62">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通过西咸华为云目前已有的安全监测预警平台对业务系统进行安全监测，协助市交通运输局对安全监测情况进行人工分析，及时发现和掌握业务系统的网络安全态势，一旦发现异常及时采取相关安全措施进行防御。每半年一次，全年服务工作量不少于30人天，并提供有效交付物。</w:t>
      </w:r>
    </w:p>
    <w:p w14:paraId="3E179DEE">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十一、网络安全风险评估服务</w:t>
      </w:r>
    </w:p>
    <w:p w14:paraId="0A069AE6">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全面了解西安市交通运输局的13个业务系统安全状况，及时发现潜在的安全隐患和漏洞，采取针对性的措施进行修复和加固，从而有效提升整体安全防护水平，降低安全事件发生的概率。清晰识别业务系统目前所面临的关键风险，能够根据风险的严重程度和影响范围，合理分配安全资源，避免不必要的安全投入，识别可能影响业务正常运行的安全风险，提前制定应对策略，降低安全事件对业务的影响，确保业务的连续性和稳定性。每系统每年一次，全年服务工作量不少于90人天，并提供有效交付物。</w:t>
      </w:r>
    </w:p>
    <w:p w14:paraId="781D21C8">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十二、网络安全日志分析服务</w:t>
      </w:r>
    </w:p>
    <w:p w14:paraId="17884B2A">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全面监控西安市交通运输局的13个业务系统的运行状态，通过深入分析业务系统的日志数据，发现潜在的安全风险、异常行为或违规操作，及时采取措施防范安全威胁，从而保障业务系统的安全性和合规性，保护业务数据资产，并满足相关法规和政策的要求。每系统每季度一次，全年服务工作量不少于48人天，并提供有效交付物。</w:t>
      </w:r>
    </w:p>
    <w:p w14:paraId="58F1E3C1">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十三、网络安全检查服务</w:t>
      </w:r>
    </w:p>
    <w:p w14:paraId="3178B260">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依据网络安全相关法律法规、国家标准等相关要求，协助市交通运输局对下属单位进行网络安全检查，针对检查后发现的问题提出相关的整改意见和建议，并协助各下属单位进行整改。每季度一次，全年服务工作量不少于72人天，并提供有效交付物。</w:t>
      </w:r>
    </w:p>
    <w:p w14:paraId="2BB55F08">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十四、网络安全风险通报服务</w:t>
      </w:r>
    </w:p>
    <w:p w14:paraId="463196D8">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通过整合国家预警中心风险通告、漏洞公告、恶意IP、钓鱼攻击等多源威胁情报，结合西安市交通运输局业务特征进行关联分析，解读高级威胁风险，生成定制化安全风向通报，有效降低业务中断风险，满足等保2.0、网络安全法等合规要求，为西安市交通运输局构建“监测-研判-处置-复盘”的闭环安全运营能力。全年服务工作量不少于10人天，并提供有效交付物。</w:t>
      </w:r>
    </w:p>
    <w:p w14:paraId="3A4D7B87">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十五、数据安全咨询服务</w:t>
      </w:r>
    </w:p>
    <w:p w14:paraId="70839A3B">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为西安市交通运输局提供系统性安全能力提升服务，通过系统化方法识别潜在威胁与合规差距，并依据《数据安全法》《个人信息保护法》等法规要求，提供针对性的数据安全专业建议与解决方案。同时针对国家新出台的法律法规、行业要求，及时解读并协助制定落地计划，帮助构建数据安全战略规划与长效治理体系，提升整体安全防护能力。全年服务工作量不少于30人天，并提供有效交付物。</w:t>
      </w:r>
    </w:p>
    <w:p w14:paraId="47CE46CF">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十六、数据安全管理规范建设服务</w:t>
      </w:r>
    </w:p>
    <w:p w14:paraId="2809F98C">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依据国家相关法律法规、行业标准针对西安市交通运输局数据安全进行管理制度和规范的设计，整体覆盖数据的全生命周期，从而建立单位内部制度规范去约束和规范相关人员开展日常工作，并赋予管理人员监督管理职责。制度流程需要从组织层面整体考虑和设计，并形成体系框架。制度体系需要分层，层与层之间，同一层不同模块之间需要有关联逻辑，在内容上不能重复或矛盾。所设计的制度体系结构分为四级：一级文件：包含方针、策略、基本原则和总的管理要求；二级文件：包含安全管理制度和办法；三级文件：包含操作流程、规范、作业指导书或指南及配套模板文件等；四级文件：包含表格、报告、各种运行/检查记录、日志文件等。规范建设完成后，应根据“计划-实施-检查-优化”工作方法，协助西安市交通运输局完成数据安全管理规范落实工作，从而在数据安全管理工作中形成闭环，有力提升西安市交通运输局数据安全管理水平。全年服务工作量不少于40人天，并提供有效交付物。</w:t>
      </w:r>
    </w:p>
    <w:p w14:paraId="059C7632">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十七、数据安全风险评估技术支持服务</w:t>
      </w:r>
    </w:p>
    <w:p w14:paraId="00211251">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主要围绕数据和数据处理活动,聚焦可能影响数据的保密性、完整性、可用性和数据处理活动合理性的安全风险,掌握数据安全总体状况,发现数据安全隐患,提出数据安全管理和技术防护措施建议,提升数据安全防攻击、防破坏、防窃取、防泄露、防滥用能力。通过信息调研识别数据处理者、业务和信息系统、数据、数据处理活动、安全措施等相关要素,然后从数据安全管理、数据处理活动、数据安全技术、个人信息保护等方面识别风险,最后梳理风险源清单,分析数据安全风险、视情评价数据安全风险,并给出整改建议。每系统每年一次，全年服务工作量不少于210人天，并提供有效交付物。</w:t>
      </w:r>
    </w:p>
    <w:p w14:paraId="1A26951D">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十八、数据安全支撑服务</w:t>
      </w:r>
    </w:p>
    <w:p w14:paraId="1EF5F342">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针对西安市交通运输局的13个业务系统，通过相关技术实现服务器或硬盘数据的即时镜像捕获，设置全量、增量、差异等多种备份模式，确保数据达到系统设计的RTO(恢复时间目标)和RPO(恢复点目标)。定期进行数据备份巡检工作，确保备份数据有效、完整。注：如无法满足西安市交通运输局实际需求，服务方应免费提供合法合规且适配的备份工具。每季度一次，全年服务工作量不少于84人天，并提供有效交付物。</w:t>
      </w:r>
    </w:p>
    <w:p w14:paraId="2AD5981C">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十九、数据恢复演练服务</w:t>
      </w:r>
    </w:p>
    <w:p w14:paraId="2EFCDC53">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为提升数据安全保障能力，有效应对可能出现的数据丢失、损坏等突发状况，确保重要业务系统的稳定运行与数据的完整性，组织开展数据恢复演练工作。通过模拟各类复杂的数据丢失场景，如系统故障、人为误操作以及网络攻击引发的数据丢失等，全面检验数据备份与恢复机制的有效性。注：如无法满足西安市交通运输局实际需求，服务方应免费提供合法合规且适配的备份工具。每季度一次，全年服务工作量不少于84人天，并提供有效交付物。</w:t>
      </w:r>
    </w:p>
    <w:p w14:paraId="77D5C29C">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二十、数据安全宣教培服务</w:t>
      </w:r>
    </w:p>
    <w:p w14:paraId="5560DC3E">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提供国家网络安全周数据安全宣传及支持服务，提供数据安全培训工作(安全意识和技能各1次)，全方位地帮助西安市交通运输局提高数据安全意识和技能，从而有效防范和应对各类错综复杂的数据安全威胁。全年服务工作量不少于5人天，并提供有效交付物。</w:t>
      </w:r>
    </w:p>
    <w:p w14:paraId="1C0687C1">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二十一、数据安全检查服务</w:t>
      </w:r>
    </w:p>
    <w:p w14:paraId="73848A72">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本服务则是协助西安市交通运输局开展数据安全检查工作，该服务将结合数据安全专业团队，运用检查工具和方法，对西安市交通运输局及直属机构的数据安全体系进行全面的检查。检查范围将包括其信息系统的安全性、数据存储设施的可靠性、数据传输通道的保密性，以及内部数据处理流程的规范性等多个方面。将依据行业最佳实践和相关法规要求，详细梳理西安市交通运输局在数据安全方面的现状，查找可能存在的薄弱环节和潜在风险点。同时应配合上级主管部门、监管部门的数据安全检查工作，提供全方位的支持服务，包括协助准备迎检资料，确保资料的完整性和准确性，使迎检资料能够清晰地展现西安市交通运输局在数据安全方面的工作成果、遵循的法律法规以及所采取的各项数据安全措施，并提供迎检培训，帮助相关人员熟悉检查流程和要求。检查服务每季度一次，全年服务工作量不少于80人天，并提供有效交付物。迎检服务全年服务工作量不少于4人天，并提供有效交付物。</w:t>
      </w:r>
    </w:p>
    <w:p w14:paraId="2C3212F7">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二十二、其他服务</w:t>
      </w:r>
    </w:p>
    <w:p w14:paraId="25C037A7">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1. 安全季报服务：每季度应提供安全季报一份。全年服务工作量不少于48人天，并提供有效交付物。</w:t>
      </w:r>
    </w:p>
    <w:p w14:paraId="5875EB94">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2. 办公环境安全服务：按照相关法律法规要求，提供市交通局局办公环境安全服务，落实相关合规性工作并提供有效交付物，要求技术工程师现场驻场1人天/周，全年不少于53人天，并提供有效交付物。</w:t>
      </w:r>
    </w:p>
    <w:p w14:paraId="716D0E21">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3.信息系统安全备案服务：根据相关法律法规要求，协助市交通局完成网络安全责任备案工作。</w:t>
      </w:r>
    </w:p>
    <w:p w14:paraId="766FAAC1">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4.提供采购人实际需求的网络安全迎检服务。</w:t>
      </w:r>
    </w:p>
    <w:p w14:paraId="4616F73B">
      <w:pPr>
        <w:pStyle w:val="13"/>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highlight w:val="none"/>
          <w:lang w:val="en-US" w:eastAsia="zh-Hans"/>
        </w:rPr>
      </w:pPr>
      <w:r>
        <w:rPr>
          <w:rFonts w:hint="eastAsia" w:ascii="仿宋" w:hAnsi="仿宋" w:eastAsia="仿宋" w:cs="仿宋"/>
          <w:sz w:val="28"/>
          <w:szCs w:val="28"/>
          <w:highlight w:val="none"/>
          <w:lang w:val="en-US" w:eastAsia="zh-Hans"/>
        </w:rPr>
        <w:t>二十三、资料输出服务</w:t>
      </w:r>
    </w:p>
    <w:p w14:paraId="602E5A8F">
      <w:pPr>
        <w:keepNext w:val="0"/>
        <w:keepLines w:val="0"/>
        <w:pageBreakBefore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highlight w:val="none"/>
          <w:lang w:val="en-US" w:eastAsia="zh-Hans"/>
        </w:rPr>
        <w:t>主要是根据所需服务项目建立初始化资料库，建立初始化资料库（胶装版与资料册）：包括但不限于：网络和数据安全指导类资料、网络和数据资产类资料、网络和数据安全规范类资料、网络和数据安全培训资料、网络和数据风险评估类资料。资料更新时，对资料册进行替换，服务期满时，更新替换胶装版资料。全年服务工作量不少于6人天，并提供有效交付物。</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34048"/>
    <w:rsid w:val="050471D5"/>
    <w:rsid w:val="053C7039"/>
    <w:rsid w:val="05711A44"/>
    <w:rsid w:val="07055153"/>
    <w:rsid w:val="07F933E3"/>
    <w:rsid w:val="09CF2980"/>
    <w:rsid w:val="09D0533B"/>
    <w:rsid w:val="0B6F77E5"/>
    <w:rsid w:val="0BE77DA2"/>
    <w:rsid w:val="117A2513"/>
    <w:rsid w:val="13FE0526"/>
    <w:rsid w:val="181C3FA3"/>
    <w:rsid w:val="18EF18DD"/>
    <w:rsid w:val="19235D7C"/>
    <w:rsid w:val="1F5A6197"/>
    <w:rsid w:val="23C949D6"/>
    <w:rsid w:val="26396924"/>
    <w:rsid w:val="26E13E53"/>
    <w:rsid w:val="27D868FE"/>
    <w:rsid w:val="283D6944"/>
    <w:rsid w:val="297558AC"/>
    <w:rsid w:val="2D901664"/>
    <w:rsid w:val="333A6108"/>
    <w:rsid w:val="34391CBC"/>
    <w:rsid w:val="34880D18"/>
    <w:rsid w:val="34E06B1D"/>
    <w:rsid w:val="34FD51B3"/>
    <w:rsid w:val="37B13F46"/>
    <w:rsid w:val="385935CD"/>
    <w:rsid w:val="3A6F7E2D"/>
    <w:rsid w:val="3ABB227F"/>
    <w:rsid w:val="3C31041F"/>
    <w:rsid w:val="3D1928D1"/>
    <w:rsid w:val="3F41226C"/>
    <w:rsid w:val="41271A71"/>
    <w:rsid w:val="427D3EB0"/>
    <w:rsid w:val="44C01FE2"/>
    <w:rsid w:val="485E59E4"/>
    <w:rsid w:val="4A3C512E"/>
    <w:rsid w:val="4BE156B5"/>
    <w:rsid w:val="4EE80B08"/>
    <w:rsid w:val="50742555"/>
    <w:rsid w:val="52876BC7"/>
    <w:rsid w:val="530774AF"/>
    <w:rsid w:val="55A52421"/>
    <w:rsid w:val="579A3366"/>
    <w:rsid w:val="59502521"/>
    <w:rsid w:val="5B0842C5"/>
    <w:rsid w:val="5C036210"/>
    <w:rsid w:val="5CD53D97"/>
    <w:rsid w:val="5EAE573F"/>
    <w:rsid w:val="5F171848"/>
    <w:rsid w:val="5FC531FF"/>
    <w:rsid w:val="615B30D9"/>
    <w:rsid w:val="615C33BC"/>
    <w:rsid w:val="636D3049"/>
    <w:rsid w:val="693A7F09"/>
    <w:rsid w:val="6A894E1B"/>
    <w:rsid w:val="6AF272E7"/>
    <w:rsid w:val="6B861DFC"/>
    <w:rsid w:val="6C136138"/>
    <w:rsid w:val="6C414997"/>
    <w:rsid w:val="6C5C1EDC"/>
    <w:rsid w:val="6E5824A9"/>
    <w:rsid w:val="70DA5D7D"/>
    <w:rsid w:val="72E3010A"/>
    <w:rsid w:val="738B22F5"/>
    <w:rsid w:val="75153B55"/>
    <w:rsid w:val="7540409A"/>
    <w:rsid w:val="75FC26D7"/>
    <w:rsid w:val="78A417BB"/>
    <w:rsid w:val="7B7D3A13"/>
    <w:rsid w:val="7CCE6984"/>
    <w:rsid w:val="7D393C95"/>
    <w:rsid w:val="7D6D78F8"/>
    <w:rsid w:val="7DF2584A"/>
    <w:rsid w:val="7E7D6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76" w:lineRule="exact"/>
      <w:jc w:val="both"/>
    </w:pPr>
    <w:rPr>
      <w:rFonts w:ascii="Times New Roman" w:hAnsi="Times New Roman" w:eastAsia="仿宋_GB2312" w:cstheme="minorBidi"/>
      <w:kern w:val="2"/>
      <w:sz w:val="32"/>
      <w:lang w:val="en-US" w:eastAsia="zh-CN" w:bidi="ar-SA"/>
    </w:rPr>
  </w:style>
  <w:style w:type="paragraph" w:styleId="3">
    <w:name w:val="heading 1"/>
    <w:basedOn w:val="1"/>
    <w:next w:val="1"/>
    <w:link w:val="11"/>
    <w:autoRedefine/>
    <w:qFormat/>
    <w:uiPriority w:val="0"/>
    <w:pPr>
      <w:spacing w:before="0" w:beforeAutospacing="1" w:after="0" w:afterAutospacing="1"/>
      <w:jc w:val="left"/>
      <w:outlineLvl w:val="0"/>
    </w:pPr>
    <w:rPr>
      <w:rFonts w:hint="eastAsia" w:ascii="宋体" w:hAnsi="宋体" w:eastAsia="仿宋_GB2312" w:cs="宋体"/>
      <w:b/>
      <w:bCs/>
      <w:sz w:val="32"/>
      <w:szCs w:val="48"/>
      <w:lang w:bidi="ar"/>
    </w:rPr>
  </w:style>
  <w:style w:type="paragraph" w:styleId="4">
    <w:name w:val="heading 2"/>
    <w:basedOn w:val="1"/>
    <w:next w:val="1"/>
    <w:link w:val="10"/>
    <w:semiHidden/>
    <w:unhideWhenUsed/>
    <w:qFormat/>
    <w:uiPriority w:val="0"/>
    <w:pPr>
      <w:keepNext/>
      <w:adjustRightInd w:val="0"/>
      <w:snapToGrid w:val="0"/>
      <w:spacing w:line="360" w:lineRule="auto"/>
      <w:outlineLvl w:val="1"/>
    </w:pPr>
    <w:rPr>
      <w:rFonts w:ascii="黑体" w:hAnsi="黑体" w:cs="Times New Roman"/>
      <w:b/>
      <w:sz w:val="30"/>
      <w:szCs w:val="24"/>
    </w:rPr>
  </w:style>
  <w:style w:type="paragraph" w:styleId="5">
    <w:name w:val="heading 3"/>
    <w:basedOn w:val="1"/>
    <w:next w:val="1"/>
    <w:link w:val="12"/>
    <w:semiHidden/>
    <w:unhideWhenUsed/>
    <w:qFormat/>
    <w:uiPriority w:val="0"/>
    <w:pPr>
      <w:keepNext/>
      <w:keepLines/>
      <w:adjustRightInd w:val="0"/>
      <w:snapToGrid w:val="0"/>
      <w:spacing w:beforeLines="0" w:beforeAutospacing="0" w:afterLines="0" w:afterAutospacing="0" w:line="360" w:lineRule="auto"/>
      <w:outlineLvl w:val="2"/>
    </w:pPr>
    <w:rPr>
      <w:rFonts w:ascii="Calibri" w:hAnsi="Calibri" w:cs="Times New Roman"/>
      <w:b/>
      <w:sz w:val="24"/>
      <w:szCs w:val="24"/>
    </w:rPr>
  </w:style>
  <w:style w:type="paragraph" w:styleId="6">
    <w:name w:val="heading 4"/>
    <w:basedOn w:val="1"/>
    <w:next w:val="1"/>
    <w:semiHidden/>
    <w:unhideWhenUsed/>
    <w:qFormat/>
    <w:uiPriority w:val="0"/>
    <w:pPr>
      <w:keepNext/>
      <w:keepLines/>
      <w:adjustRightInd w:val="0"/>
      <w:snapToGrid w:val="0"/>
      <w:spacing w:beforeLines="0" w:beforeAutospacing="0" w:afterLines="0" w:afterAutospacing="0" w:line="300" w:lineRule="auto"/>
      <w:outlineLvl w:val="3"/>
    </w:pPr>
    <w:rPr>
      <w:rFonts w:ascii="Arial" w:hAnsi="Arial" w:cs="Times New Roman"/>
      <w:b/>
      <w:sz w:val="30"/>
      <w:szCs w:val="24"/>
    </w:rPr>
  </w:style>
  <w:style w:type="character" w:default="1" w:styleId="9">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0"/>
    <w:pPr>
      <w:spacing w:after="120" w:afterLines="0" w:afterAutospacing="0"/>
    </w:pPr>
  </w:style>
  <w:style w:type="paragraph" w:styleId="7">
    <w:name w:val="Normal Indent"/>
    <w:basedOn w:val="1"/>
    <w:autoRedefine/>
    <w:qFormat/>
    <w:uiPriority w:val="0"/>
    <w:pPr>
      <w:ind w:firstLine="420" w:firstLineChars="200"/>
    </w:pPr>
  </w:style>
  <w:style w:type="character" w:customStyle="1" w:styleId="10">
    <w:name w:val="标题 2 Char"/>
    <w:link w:val="4"/>
    <w:autoRedefine/>
    <w:qFormat/>
    <w:uiPriority w:val="0"/>
    <w:rPr>
      <w:rFonts w:ascii="Arial" w:hAnsi="Arial" w:eastAsia="仿宋_GB2312" w:cs="Times New Roman"/>
      <w:b/>
      <w:snapToGrid w:val="0"/>
      <w:color w:val="000000"/>
      <w:kern w:val="0"/>
      <w:sz w:val="30"/>
      <w:szCs w:val="24"/>
      <w:lang w:eastAsia="en-US"/>
    </w:rPr>
  </w:style>
  <w:style w:type="character" w:customStyle="1" w:styleId="11">
    <w:name w:val="标题 1 Char"/>
    <w:link w:val="3"/>
    <w:autoRedefine/>
    <w:qFormat/>
    <w:uiPriority w:val="0"/>
    <w:rPr>
      <w:rFonts w:ascii="宋体" w:hAnsi="宋体" w:eastAsia="仿宋_GB2312" w:cs="宋体"/>
      <w:b/>
      <w:bCs/>
      <w:snapToGrid w:val="0"/>
      <w:color w:val="000000"/>
      <w:spacing w:val="-4"/>
      <w:kern w:val="44"/>
      <w:sz w:val="32"/>
      <w:szCs w:val="24"/>
      <w:lang w:val="en-US" w:eastAsia="en-US" w:bidi="ar-SA"/>
    </w:rPr>
  </w:style>
  <w:style w:type="character" w:customStyle="1" w:styleId="12">
    <w:name w:val="标题 3 Char"/>
    <w:link w:val="5"/>
    <w:qFormat/>
    <w:uiPriority w:val="0"/>
    <w:rPr>
      <w:rFonts w:ascii="Calibri" w:hAnsi="Calibri" w:eastAsia="仿宋_GB2312" w:cs="Times New Roman"/>
      <w:b/>
      <w:bCs/>
      <w:sz w:val="24"/>
      <w:szCs w:val="24"/>
    </w:rPr>
  </w:style>
  <w:style w:type="paragraph" w:customStyle="1" w:styleId="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2023-03-24T03:57:00Z</dcterms:created>
  <dc:creator>DELL</dc:creator>
  <cp:lastModifiedBy>陕西华采招标有限公司</cp:lastModifiedBy>
  <dcterms:modified xsi:type="dcterms:W3CDTF">2026-10-20T09:58:48Z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2565929D983A4C9D93BB486716BBE886_12</vt:lpwstr>
  </property>
  <property fmtid="{D5CDD505-2E9C-101B-9397-08002B2CF9AE}" pid="4" name="KSOTemplateDocerSaveRecord">
    <vt:lpwstr>eyJoZGlkIjoiZjJhNzdmOTM5YmVkNWYxMDI1ZDJkZDk5YzNhZTc2YzAiLCJ1c2VySWQiOiI5MzY1NjA0ODAifQ==</vt:lpwstr>
  </property>
</Properties>
</file>