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val="0"/>
        <w:overflowPunct/>
        <w:topLinePunct w:val="0"/>
        <w:autoSpaceDE/>
        <w:autoSpaceDN/>
        <w:bidi w:val="0"/>
        <w:adjustRightInd/>
        <w:snapToGrid/>
        <w:spacing w:line="360" w:lineRule="auto"/>
        <w:jc w:val="both"/>
        <w:textAlignment w:val="auto"/>
        <w:rPr>
          <w:rFonts w:hint="eastAsia" w:ascii="宋体" w:hAnsi="宋体" w:eastAsia="宋体" w:cs="宋体"/>
          <w:b/>
          <w:color w:val="000000" w:themeColor="text1"/>
          <w:sz w:val="15"/>
          <w:szCs w:val="15"/>
          <w:highlight w:val="none"/>
          <w:bdr w:val="single" w:color="auto" w:sz="4" w:space="0"/>
          <w:shd w:val="pct10" w:color="auto" w:fill="FFFFFF"/>
          <w:lang w:eastAsia="zh-CN"/>
          <w14:textFill>
            <w14:solidFill>
              <w14:schemeClr w14:val="tx1"/>
            </w14:solidFill>
          </w14:textFill>
        </w:rPr>
      </w:pPr>
    </w:p>
    <w:p>
      <w:pPr>
        <w:keepNext w:val="0"/>
        <w:keepLines w:val="0"/>
        <w:pageBreakBefore w:val="0"/>
        <w:widowControl w:val="0"/>
        <w:shd w:val="clear"/>
        <w:kinsoku/>
        <w:wordWrap w:val="0"/>
        <w:overflowPunct/>
        <w:topLinePunct w:val="0"/>
        <w:autoSpaceDE/>
        <w:autoSpaceDN/>
        <w:bidi w:val="0"/>
        <w:adjustRightInd/>
        <w:snapToGrid/>
        <w:spacing w:line="360" w:lineRule="auto"/>
        <w:ind w:firstLine="6927" w:firstLineChars="4600"/>
        <w:jc w:val="both"/>
        <w:textAlignment w:val="auto"/>
        <w:rPr>
          <w:rFonts w:hint="eastAsia" w:ascii="宋体" w:hAnsi="宋体" w:eastAsia="宋体" w:cs="宋体"/>
          <w:b/>
          <w:color w:val="000000" w:themeColor="text1"/>
          <w:sz w:val="36"/>
          <w:szCs w:val="36"/>
          <w:highlight w:val="none"/>
          <w:bdr w:val="single" w:color="auto" w:sz="4" w:space="0"/>
          <w:shd w:val="pct10" w:color="auto" w:fill="FFFFFF"/>
          <w14:textFill>
            <w14:solidFill>
              <w14:schemeClr w14:val="tx1"/>
            </w14:solidFill>
          </w14:textFill>
        </w:rPr>
      </w:pPr>
      <w:r>
        <w:rPr>
          <w:rFonts w:hint="eastAsia" w:ascii="宋体" w:hAnsi="宋体" w:eastAsia="宋体" w:cs="宋体"/>
          <w:b/>
          <w:color w:val="000000" w:themeColor="text1"/>
          <w:sz w:val="15"/>
          <w:szCs w:val="15"/>
          <w:highlight w:val="none"/>
          <w:bdr w:val="single" w:color="auto" w:sz="4" w:space="0"/>
          <w:shd w:val="pct10" w:color="auto" w:fill="FFFFFF"/>
          <w14:textFill>
            <w14:solidFill>
              <w14:schemeClr w14:val="tx1"/>
            </w14:solidFill>
          </w14:textFill>
        </w:rPr>
        <w:t xml:space="preserve"> </w:t>
      </w:r>
      <w:r>
        <w:rPr>
          <w:rFonts w:hint="eastAsia" w:ascii="宋体" w:hAnsi="宋体" w:eastAsia="宋体" w:cs="宋体"/>
          <w:b/>
          <w:color w:val="000000" w:themeColor="text1"/>
          <w:sz w:val="36"/>
          <w:szCs w:val="36"/>
          <w:highlight w:val="none"/>
          <w:bdr w:val="single" w:color="auto" w:sz="4" w:space="0"/>
          <w:shd w:val="pct10" w:color="auto" w:fill="FFFFFF"/>
          <w14:textFill>
            <w14:solidFill>
              <w14:schemeClr w14:val="tx1"/>
            </w14:solidFill>
          </w14:textFill>
        </w:rPr>
        <w:t>政府采购项目</w:t>
      </w:r>
    </w:p>
    <w:p>
      <w:pPr>
        <w:keepNext w:val="0"/>
        <w:keepLines w:val="0"/>
        <w:pageBreakBefore w:val="0"/>
        <w:widowControl w:val="0"/>
        <w:shd w:val="clear"/>
        <w:kinsoku/>
        <w:wordWrap w:val="0"/>
        <w:overflowPunct/>
        <w:topLinePunct w:val="0"/>
        <w:autoSpaceDE/>
        <w:autoSpaceDN/>
        <w:bidi w:val="0"/>
        <w:adjustRightInd/>
        <w:snapToGrid/>
        <w:spacing w:line="360" w:lineRule="auto"/>
        <w:jc w:val="both"/>
        <w:textAlignment w:val="auto"/>
        <w:rPr>
          <w:rFonts w:hint="eastAsia" w:ascii="宋体" w:hAnsi="宋体" w:eastAsia="宋体" w:cs="宋体"/>
          <w:b/>
          <w:color w:val="000000" w:themeColor="text1"/>
          <w:sz w:val="36"/>
          <w:szCs w:val="36"/>
          <w:shd w:val="clear" w:color="auto" w:fill="FFFFFF"/>
          <w:lang w:eastAsia="zh-CN"/>
          <w14:textFill>
            <w14:solidFill>
              <w14:schemeClr w14:val="tx1"/>
            </w14:solidFill>
          </w14:textFill>
        </w:rPr>
      </w:pPr>
    </w:p>
    <w:p>
      <w:pPr>
        <w:keepNext w:val="0"/>
        <w:keepLines w:val="0"/>
        <w:pageBreakBefore w:val="0"/>
        <w:widowControl w:val="0"/>
        <w:shd w:val="clear"/>
        <w:kinsoku/>
        <w:wordWrap w:val="0"/>
        <w:overflowPunct/>
        <w:topLinePunct w:val="0"/>
        <w:autoSpaceDE/>
        <w:autoSpaceDN/>
        <w:bidi w:val="0"/>
        <w:adjustRightInd/>
        <w:snapToGrid/>
        <w:spacing w:line="360" w:lineRule="auto"/>
        <w:jc w:val="both"/>
        <w:textAlignment w:val="auto"/>
        <w:rPr>
          <w:rFonts w:hint="eastAsia" w:ascii="宋体" w:hAnsi="宋体" w:eastAsia="宋体" w:cs="宋体"/>
          <w:b/>
          <w:color w:val="000000" w:themeColor="text1"/>
          <w:sz w:val="36"/>
          <w:szCs w:val="36"/>
          <w:highlight w:val="none"/>
          <w:shd w:val="clear" w:color="auto" w:fill="FFFFFF"/>
          <w:lang w:eastAsia="zh-CN"/>
          <w14:textFill>
            <w14:solidFill>
              <w14:schemeClr w14:val="tx1"/>
            </w14:solidFill>
          </w14:textFill>
        </w:rPr>
      </w:pPr>
      <w:r>
        <w:rPr>
          <w:rFonts w:hint="eastAsia" w:ascii="宋体" w:hAnsi="宋体" w:eastAsia="宋体" w:cs="宋体"/>
          <w:b/>
          <w:color w:val="000000" w:themeColor="text1"/>
          <w:sz w:val="36"/>
          <w:szCs w:val="36"/>
          <w:shd w:val="clear" w:color="auto" w:fill="FFFFFF"/>
          <w:lang w:eastAsia="zh-CN"/>
          <w14:textFill>
            <w14:solidFill>
              <w14:schemeClr w14:val="tx1"/>
            </w14:solidFill>
          </w14:textFill>
        </w:rPr>
        <w:t>项目编号：</w:t>
      </w:r>
      <w:r>
        <w:rPr>
          <w:rFonts w:hint="eastAsia" w:ascii="宋体" w:hAnsi="宋体" w:eastAsia="宋体" w:cs="宋体"/>
          <w:b/>
          <w:color w:val="000000" w:themeColor="text1"/>
          <w:sz w:val="36"/>
          <w:szCs w:val="36"/>
          <w:highlight w:val="none"/>
          <w:shd w:val="clear" w:color="auto" w:fill="FFFFFF"/>
          <w:lang w:eastAsia="zh-CN"/>
          <w14:textFill>
            <w14:solidFill>
              <w14:schemeClr w14:val="tx1"/>
            </w14:solidFill>
          </w14:textFill>
        </w:rPr>
        <w:t>SXZCZB2026-ZCCS-0728</w:t>
      </w:r>
    </w:p>
    <w:p>
      <w:pPr>
        <w:pStyle w:val="8"/>
        <w:spacing w:line="360" w:lineRule="auto"/>
        <w:ind w:left="0" w:leftChars="0" w:firstLine="0" w:firstLineChars="0"/>
        <w:rPr>
          <w:rFonts w:hint="eastAsia"/>
          <w:color w:val="000000" w:themeColor="text1"/>
          <w:lang w:eastAsia="zh-CN"/>
          <w14:textFill>
            <w14:solidFill>
              <w14:schemeClr w14:val="tx1"/>
            </w14:solidFill>
          </w14:textFill>
        </w:rPr>
      </w:pPr>
      <w:r>
        <w:rPr>
          <w:rFonts w:hint="eastAsia" w:ascii="宋体" w:hAnsi="宋体" w:eastAsia="宋体" w:cs="宋体"/>
          <w:b/>
          <w:color w:val="000000" w:themeColor="text1"/>
          <w:sz w:val="36"/>
          <w:szCs w:val="36"/>
          <w:shd w:val="clear" w:color="auto" w:fill="FFFFFF"/>
          <w:lang w:eastAsia="zh-CN"/>
          <w14:textFill>
            <w14:solidFill>
              <w14:schemeClr w14:val="tx1"/>
            </w14:solidFill>
          </w14:textFill>
        </w:rPr>
        <w:t>项目名称：</w:t>
      </w:r>
      <w:bookmarkStart w:id="0" w:name="OLE_LINK4"/>
      <w:r>
        <w:rPr>
          <w:rFonts w:hint="eastAsia" w:ascii="宋体" w:hAnsi="宋体" w:eastAsia="宋体" w:cs="宋体"/>
          <w:b/>
          <w:color w:val="000000" w:themeColor="text1"/>
          <w:sz w:val="36"/>
          <w:szCs w:val="36"/>
          <w:shd w:val="clear" w:color="auto" w:fill="FFFFFF"/>
          <w:lang w:eastAsia="zh-CN"/>
          <w14:textFill>
            <w14:solidFill>
              <w14:schemeClr w14:val="tx1"/>
            </w14:solidFill>
          </w14:textFill>
        </w:rPr>
        <w:t>安康职业技术学院6号7号8号学生公寓楼提升改造项目</w:t>
      </w:r>
      <w:bookmarkEnd w:id="0"/>
    </w:p>
    <w:p>
      <w:pPr>
        <w:keepNext w:val="0"/>
        <w:keepLines w:val="0"/>
        <w:pageBreakBefore w:val="0"/>
        <w:widowControl w:val="0"/>
        <w:tabs>
          <w:tab w:val="left" w:pos="5716"/>
        </w:tabs>
        <w:kinsoku/>
        <w:overflowPunct/>
        <w:topLinePunct w:val="0"/>
        <w:autoSpaceDE/>
        <w:autoSpaceDN/>
        <w:bidi w:val="0"/>
        <w:adjustRightInd/>
        <w:snapToGrid/>
        <w:spacing w:line="360" w:lineRule="auto"/>
        <w:textAlignment w:val="auto"/>
        <w:rPr>
          <w:rFonts w:hint="eastAsia" w:ascii="宋体" w:hAnsi="宋体" w:eastAsia="宋体" w:cs="宋体"/>
          <w:b/>
          <w:color w:val="000000" w:themeColor="text1"/>
          <w:kern w:val="2"/>
          <w:sz w:val="36"/>
          <w:szCs w:val="36"/>
          <w:highlight w:val="none"/>
          <w:lang w:eastAsia="zh-CN"/>
          <w14:textFill>
            <w14:solidFill>
              <w14:schemeClr w14:val="tx1"/>
            </w14:solidFill>
          </w14:textFill>
        </w:rPr>
      </w:pPr>
      <w:r>
        <w:rPr>
          <w:rFonts w:hint="eastAsia" w:ascii="宋体" w:hAnsi="宋体" w:eastAsia="宋体" w:cs="宋体"/>
          <w:b/>
          <w:color w:val="000000" w:themeColor="text1"/>
          <w:kern w:val="2"/>
          <w:sz w:val="36"/>
          <w:szCs w:val="36"/>
          <w:highlight w:val="none"/>
          <w:lang w:eastAsia="zh-CN"/>
          <w14:textFill>
            <w14:solidFill>
              <w14:schemeClr w14:val="tx1"/>
            </w14:solidFill>
          </w14:textFill>
        </w:rPr>
        <w:tab/>
      </w:r>
    </w:p>
    <w:p>
      <w:pPr>
        <w:pStyle w:val="38"/>
        <w:ind w:left="0" w:leftChars="0" w:firstLine="0" w:firstLineChars="0"/>
        <w:rPr>
          <w:rFonts w:hint="eastAsia" w:ascii="宋体" w:hAnsi="宋体" w:eastAsia="宋体" w:cs="宋体"/>
          <w:color w:val="000000" w:themeColor="text1"/>
          <w:sz w:val="32"/>
          <w14:textFill>
            <w14:solidFill>
              <w14:schemeClr w14:val="tx1"/>
            </w14:solidFill>
          </w14:textFill>
        </w:rPr>
      </w:pPr>
    </w:p>
    <w:p>
      <w:pPr>
        <w:pStyle w:val="38"/>
        <w:ind w:left="0" w:leftChars="0" w:firstLine="0" w:firstLineChars="0"/>
        <w:rPr>
          <w:rFonts w:hint="eastAsia" w:ascii="宋体" w:hAnsi="宋体" w:eastAsia="宋体" w:cs="宋体"/>
          <w:color w:val="000000" w:themeColor="text1"/>
          <w:sz w:val="32"/>
          <w14:textFill>
            <w14:solidFill>
              <w14:schemeClr w14:val="tx1"/>
            </w14:solidFill>
          </w14:textFill>
        </w:rPr>
      </w:pPr>
    </w:p>
    <w:p>
      <w:pPr>
        <w:pStyle w:val="38"/>
        <w:ind w:left="0" w:leftChars="0" w:firstLine="0" w:firstLineChars="0"/>
        <w:rPr>
          <w:rFonts w:hint="eastAsia" w:ascii="宋体" w:hAnsi="宋体" w:eastAsia="宋体" w:cs="宋体"/>
          <w:color w:val="000000" w:themeColor="text1"/>
          <w:sz w:val="32"/>
          <w14:textFill>
            <w14:solidFill>
              <w14:schemeClr w14:val="tx1"/>
            </w14:solidFill>
          </w14:textFill>
        </w:rPr>
      </w:pPr>
    </w:p>
    <w:p>
      <w:pPr>
        <w:pStyle w:val="38"/>
        <w:rPr>
          <w:rFonts w:hint="eastAsia" w:ascii="宋体" w:hAnsi="宋体" w:eastAsia="宋体" w:cs="宋体"/>
          <w:color w:val="000000" w:themeColor="text1"/>
          <w:sz w:val="32"/>
          <w14:textFill>
            <w14:solidFill>
              <w14:schemeClr w14:val="tx1"/>
            </w14:solidFill>
          </w14:textFill>
        </w:rPr>
      </w:pPr>
    </w:p>
    <w:p>
      <w:pPr>
        <w:pStyle w:val="38"/>
        <w:rPr>
          <w:rFonts w:hint="eastAsia" w:ascii="宋体" w:hAnsi="宋体" w:eastAsia="宋体" w:cs="宋体"/>
          <w:color w:val="000000" w:themeColor="text1"/>
          <w:sz w:val="32"/>
          <w14:textFill>
            <w14:solidFill>
              <w14:schemeClr w14:val="tx1"/>
            </w14:solidFill>
          </w14:textFill>
        </w:rPr>
      </w:pPr>
    </w:p>
    <w:p>
      <w:pPr>
        <w:pStyle w:val="38"/>
        <w:rPr>
          <w:rFonts w:hint="eastAsia"/>
          <w:color w:val="000000" w:themeColor="text1"/>
          <w14:textFill>
            <w14:solidFill>
              <w14:schemeClr w14:val="tx1"/>
            </w14:solidFill>
          </w14:textFill>
        </w:rPr>
      </w:pPr>
    </w:p>
    <w:p>
      <w:pPr>
        <w:pageBreakBefore w:val="0"/>
        <w:kinsoku/>
        <w:wordWrap/>
        <w:overflowPunct/>
        <w:topLinePunct w:val="0"/>
        <w:bidi w:val="0"/>
        <w:spacing w:line="360" w:lineRule="auto"/>
        <w:jc w:val="center"/>
        <w:textAlignment w:val="auto"/>
        <w:rPr>
          <w:rFonts w:hint="eastAsia" w:ascii="宋体" w:hAnsi="宋体" w:eastAsia="宋体" w:cs="宋体"/>
          <w:b/>
          <w:bCs w:val="0"/>
          <w:color w:val="000000" w:themeColor="text1"/>
          <w:spacing w:val="20"/>
          <w:kern w:val="0"/>
          <w:sz w:val="72"/>
          <w:szCs w:val="72"/>
          <w:highlight w:val="none"/>
          <w14:textFill>
            <w14:solidFill>
              <w14:schemeClr w14:val="tx1"/>
            </w14:solidFill>
          </w14:textFill>
        </w:rPr>
      </w:pPr>
      <w:r>
        <w:rPr>
          <w:rFonts w:hint="eastAsia" w:ascii="宋体" w:hAnsi="宋体" w:eastAsia="宋体" w:cs="宋体"/>
          <w:b/>
          <w:bCs w:val="0"/>
          <w:color w:val="000000" w:themeColor="text1"/>
          <w:spacing w:val="20"/>
          <w:kern w:val="0"/>
          <w:sz w:val="72"/>
          <w:szCs w:val="72"/>
          <w:highlight w:val="none"/>
          <w14:textFill>
            <w14:solidFill>
              <w14:schemeClr w14:val="tx1"/>
            </w14:solidFill>
          </w14:textFill>
        </w:rPr>
        <w:t>竞争性磋商文件</w:t>
      </w:r>
    </w:p>
    <w:p>
      <w:pPr>
        <w:keepNext w:val="0"/>
        <w:keepLines w:val="0"/>
        <w:pageBreakBefore w:val="0"/>
        <w:widowControl w:val="0"/>
        <w:kinsoku/>
        <w:overflowPunct/>
        <w:topLinePunct w:val="0"/>
        <w:autoSpaceDE/>
        <w:autoSpaceDN/>
        <w:bidi w:val="0"/>
        <w:adjustRightInd/>
        <w:snapToGrid/>
        <w:spacing w:line="360" w:lineRule="auto"/>
        <w:ind w:left="1807" w:hanging="2200" w:hangingChars="500"/>
        <w:jc w:val="center"/>
        <w:textAlignment w:val="auto"/>
        <w:rPr>
          <w:rFonts w:hint="eastAsia" w:eastAsia="宋体"/>
          <w:color w:val="000000" w:themeColor="text1"/>
          <w:sz w:val="44"/>
          <w:szCs w:val="44"/>
          <w:lang w:eastAsia="zh-CN"/>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Style w:val="8"/>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rPr>
          <w:rFonts w:hint="eastAsia" w:ascii="宋体" w:hAnsi="宋体" w:eastAsia="宋体" w:cs="宋体"/>
          <w:color w:val="000000" w:themeColor="text1"/>
          <w14:textFill>
            <w14:solidFill>
              <w14:schemeClr w14:val="tx1"/>
            </w14:solidFill>
          </w14:textFill>
        </w:rPr>
      </w:pPr>
    </w:p>
    <w:p>
      <w:pPr>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ind w:firstLine="640"/>
        <w:textAlignment w:val="auto"/>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color w:val="000000" w:themeColor="text1"/>
          <w:sz w:val="32"/>
          <w:lang w:val="en-US" w:eastAsia="zh-CN"/>
          <w14:textFill>
            <w14:solidFill>
              <w14:schemeClr w14:val="tx1"/>
            </w14:solidFill>
          </w14:textFill>
        </w:rPr>
        <w:t xml:space="preserve"> </w:t>
      </w:r>
    </w:p>
    <w:p>
      <w:pPr>
        <w:pageBreakBefore w:val="0"/>
        <w:kinsoku/>
        <w:wordWrap/>
        <w:overflowPunct/>
        <w:topLinePunct w:val="0"/>
        <w:bidi w:val="0"/>
        <w:spacing w:line="360" w:lineRule="auto"/>
        <w:ind w:firstLine="2530"/>
        <w:textAlignment w:val="auto"/>
        <w:rPr>
          <w:rFonts w:hint="eastAsia" w:ascii="宋体" w:hAnsi="宋体" w:eastAsia="宋体" w:cs="宋体"/>
          <w:b/>
          <w:color w:val="000000" w:themeColor="text1"/>
          <w:sz w:val="36"/>
          <w:szCs w:val="36"/>
          <w14:textFill>
            <w14:solidFill>
              <w14:schemeClr w14:val="tx1"/>
            </w14:solidFill>
          </w14:textFill>
        </w:rPr>
      </w:pPr>
    </w:p>
    <w:p>
      <w:pPr>
        <w:keepNext w:val="0"/>
        <w:keepLines w:val="0"/>
        <w:pageBreakBefore w:val="0"/>
        <w:widowControl w:val="0"/>
        <w:kinsoku/>
        <w:overflowPunct/>
        <w:topLinePunct w:val="0"/>
        <w:autoSpaceDE/>
        <w:autoSpaceDN/>
        <w:bidi w:val="0"/>
        <w:adjustRightInd/>
        <w:snapToGrid/>
        <w:spacing w:line="360" w:lineRule="auto"/>
        <w:ind w:left="718" w:leftChars="342" w:firstLine="723" w:firstLineChars="200"/>
        <w:jc w:val="both"/>
        <w:textAlignment w:val="auto"/>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采   购   人：安康职业技术学院 </w:t>
      </w:r>
    </w:p>
    <w:p>
      <w:pPr>
        <w:keepNext w:val="0"/>
        <w:keepLines w:val="0"/>
        <w:pageBreakBefore w:val="0"/>
        <w:widowControl w:val="0"/>
        <w:kinsoku/>
        <w:overflowPunct/>
        <w:topLinePunct w:val="0"/>
        <w:autoSpaceDE/>
        <w:autoSpaceDN/>
        <w:bidi w:val="0"/>
        <w:adjustRightInd/>
        <w:snapToGrid/>
        <w:spacing w:line="360" w:lineRule="auto"/>
        <w:ind w:left="718" w:leftChars="342" w:firstLine="723" w:firstLineChars="200"/>
        <w:jc w:val="both"/>
        <w:textAlignment w:val="auto"/>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采购代理机构：陕西至诚项目管理集团有限公司 </w:t>
      </w:r>
    </w:p>
    <w:p>
      <w:pPr>
        <w:keepNext w:val="0"/>
        <w:keepLines w:val="0"/>
        <w:pageBreakBefore w:val="0"/>
        <w:widowControl w:val="0"/>
        <w:kinsoku/>
        <w:overflowPunct/>
        <w:topLinePunct w:val="0"/>
        <w:autoSpaceDE/>
        <w:autoSpaceDN/>
        <w:bidi w:val="0"/>
        <w:adjustRightInd/>
        <w:snapToGrid/>
        <w:spacing w:line="360" w:lineRule="auto"/>
        <w:ind w:firstLine="1446" w:firstLineChars="400"/>
        <w:jc w:val="both"/>
        <w:textAlignment w:val="auto"/>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时        间：二零二六年七月</w:t>
      </w:r>
    </w:p>
    <w:p>
      <w:pPr>
        <w:pStyle w:val="38"/>
        <w:rPr>
          <w:rFonts w:hint="eastAsia"/>
          <w:color w:val="000000" w:themeColor="text1"/>
          <w14:textFill>
            <w14:solidFill>
              <w14:schemeClr w14:val="tx1"/>
            </w14:solidFill>
          </w14:textFill>
        </w:rPr>
      </w:pPr>
    </w:p>
    <w:p>
      <w:pPr>
        <w:pStyle w:val="38"/>
        <w:ind w:left="0" w:leftChars="0" w:firstLine="0" w:firstLineChars="0"/>
        <w:rPr>
          <w:rFonts w:hint="eastAsia"/>
          <w:color w:val="000000" w:themeColor="text1"/>
          <w14:textFill>
            <w14:solidFill>
              <w14:schemeClr w14:val="tx1"/>
            </w14:solidFill>
          </w14:textFill>
        </w:rPr>
      </w:pPr>
    </w:p>
    <w:sdt>
      <w:sdtPr>
        <w:rPr>
          <w:rFonts w:ascii="宋体" w:hAnsi="宋体" w:eastAsia="宋体" w:cs="Times New Roman"/>
          <w:color w:val="000000" w:themeColor="text1"/>
          <w:kern w:val="1"/>
          <w:sz w:val="21"/>
          <w:szCs w:val="22"/>
          <w:lang w:val="en-US" w:eastAsia="zh-CN" w:bidi="ar-SA"/>
          <w14:textFill>
            <w14:solidFill>
              <w14:schemeClr w14:val="tx1"/>
            </w14:solidFill>
          </w14:textFill>
        </w:rPr>
        <w:id w:val="147475229"/>
        <w15:color w:val="DBDBDB"/>
        <w:docPartObj>
          <w:docPartGallery w:val="Table of Contents"/>
          <w:docPartUnique/>
        </w:docPartObj>
      </w:sdtPr>
      <w:sdtEndPr>
        <w:rPr>
          <w:rFonts w:hint="eastAsia" w:ascii="宋体" w:hAnsi="宋体" w:eastAsia="宋体" w:cs="宋体"/>
          <w:b/>
          <w:color w:val="000000" w:themeColor="text1"/>
          <w:kern w:val="1"/>
          <w:sz w:val="21"/>
          <w:szCs w:val="22"/>
          <w:lang w:val="en-US" w:eastAsia="zh-CN" w:bidi="ar-SA"/>
          <w14:textFill>
            <w14:solidFill>
              <w14:schemeClr w14:val="tx1"/>
            </w14:solidFill>
          </w14:textFill>
        </w:rPr>
      </w:sdtEndPr>
      <w:sdtContent>
        <w:p>
          <w:pPr>
            <w:spacing w:before="0" w:beforeLines="0" w:after="0" w:afterLines="0" w:line="600" w:lineRule="auto"/>
            <w:ind w:left="0" w:leftChars="0" w:right="0" w:rightChars="0" w:firstLine="0" w:firstLineChars="0"/>
            <w:jc w:val="center"/>
            <w:rPr>
              <w:color w:val="000000" w:themeColor="text1"/>
              <w14:textFill>
                <w14:solidFill>
                  <w14:schemeClr w14:val="tx1"/>
                </w14:solidFill>
              </w14:textFill>
            </w:rPr>
          </w:pPr>
          <w:r>
            <w:rPr>
              <w:rFonts w:ascii="宋体" w:hAnsi="宋体" w:eastAsia="宋体"/>
              <w:b/>
              <w:bCs/>
              <w:color w:val="000000" w:themeColor="text1"/>
              <w:sz w:val="36"/>
              <w:szCs w:val="40"/>
              <w14:textFill>
                <w14:solidFill>
                  <w14:schemeClr w14:val="tx1"/>
                </w14:solidFill>
              </w14:textFill>
            </w:rPr>
            <w:t>目</w:t>
          </w:r>
          <w:r>
            <w:rPr>
              <w:rFonts w:hint="eastAsia" w:ascii="宋体" w:hAnsi="宋体" w:eastAsia="宋体"/>
              <w:b/>
              <w:bCs/>
              <w:color w:val="000000" w:themeColor="text1"/>
              <w:sz w:val="36"/>
              <w:szCs w:val="40"/>
              <w:lang w:val="en-US" w:eastAsia="zh-CN"/>
              <w14:textFill>
                <w14:solidFill>
                  <w14:schemeClr w14:val="tx1"/>
                </w14:solidFill>
              </w14:textFill>
            </w:rPr>
            <w:t xml:space="preserve">  </w:t>
          </w:r>
          <w:r>
            <w:rPr>
              <w:rFonts w:ascii="宋体" w:hAnsi="宋体" w:eastAsia="宋体"/>
              <w:b/>
              <w:bCs/>
              <w:color w:val="000000" w:themeColor="text1"/>
              <w:sz w:val="36"/>
              <w:szCs w:val="40"/>
              <w14:textFill>
                <w14:solidFill>
                  <w14:schemeClr w14:val="tx1"/>
                </w14:solidFill>
              </w14:textFill>
            </w:rPr>
            <w:t>录</w:t>
          </w:r>
        </w:p>
        <w:p>
          <w:pPr>
            <w:pStyle w:val="55"/>
            <w:keepNext w:val="0"/>
            <w:keepLines w:val="0"/>
            <w:pageBreakBefore w:val="0"/>
            <w:widowControl/>
            <w:tabs>
              <w:tab w:val="right" w:leader="dot" w:pos="9361"/>
            </w:tabs>
            <w:kinsoku/>
            <w:wordWrap/>
            <w:overflowPunct/>
            <w:topLinePunct w:val="0"/>
            <w:autoSpaceDE/>
            <w:autoSpaceDN/>
            <w:bidi w:val="0"/>
            <w:adjustRightInd/>
            <w:snapToGrid/>
            <w:spacing w:line="600" w:lineRule="auto"/>
            <w:textAlignment w:val="auto"/>
            <w:rPr>
              <w:b w:val="0"/>
              <w:bCs/>
              <w:color w:val="000000" w:themeColor="text1"/>
              <w:sz w:val="28"/>
              <w:szCs w:val="28"/>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fldChar w:fldCharType="begin"/>
          </w:r>
          <w:r>
            <w:rPr>
              <w:rFonts w:hint="eastAsia" w:ascii="宋体" w:hAnsi="宋体" w:eastAsia="宋体" w:cs="宋体"/>
              <w:color w:val="000000" w:themeColor="text1"/>
              <w:sz w:val="22"/>
              <w:szCs w:val="22"/>
              <w14:textFill>
                <w14:solidFill>
                  <w14:schemeClr w14:val="tx1"/>
                </w14:solidFill>
              </w14:textFill>
            </w:rPr>
            <w:instrText xml:space="preserve">TOC \o "1-2" \h \u </w:instrText>
          </w:r>
          <w:r>
            <w:rPr>
              <w:rFonts w:hint="eastAsia" w:ascii="宋体" w:hAnsi="宋体" w:eastAsia="宋体" w:cs="宋体"/>
              <w:color w:val="000000" w:themeColor="text1"/>
              <w:sz w:val="22"/>
              <w:szCs w:val="22"/>
              <w14:textFill>
                <w14:solidFill>
                  <w14:schemeClr w14:val="tx1"/>
                </w14:solidFill>
              </w14:textFill>
            </w:rPr>
            <w:fldChar w:fldCharType="separate"/>
          </w:r>
          <w:r>
            <w:rPr>
              <w:rFonts w:hint="eastAsia" w:ascii="宋体" w:hAnsi="宋体" w:eastAsia="宋体" w:cs="宋体"/>
              <w:b w:val="0"/>
              <w:bCs/>
              <w:color w:val="000000" w:themeColor="text1"/>
              <w:sz w:val="28"/>
              <w:szCs w:val="28"/>
              <w14:textFill>
                <w14:solidFill>
                  <w14:schemeClr w14:val="tx1"/>
                </w14:solidFill>
              </w14:textFill>
            </w:rPr>
            <w:fldChar w:fldCharType="begin"/>
          </w:r>
          <w:r>
            <w:rPr>
              <w:rFonts w:hint="eastAsia" w:ascii="宋体" w:hAnsi="宋体" w:eastAsia="宋体" w:cs="宋体"/>
              <w:b w:val="0"/>
              <w:bCs/>
              <w:color w:val="000000" w:themeColor="text1"/>
              <w:sz w:val="28"/>
              <w:szCs w:val="28"/>
              <w14:textFill>
                <w14:solidFill>
                  <w14:schemeClr w14:val="tx1"/>
                </w14:solidFill>
              </w14:textFill>
            </w:rPr>
            <w:instrText xml:space="preserve"> HYPERLINK \l _Toc20319 </w:instrText>
          </w:r>
          <w:r>
            <w:rPr>
              <w:rFonts w:hint="eastAsia" w:ascii="宋体" w:hAnsi="宋体" w:eastAsia="宋体" w:cs="宋体"/>
              <w:b w:val="0"/>
              <w:bCs/>
              <w:color w:val="000000" w:themeColor="text1"/>
              <w:sz w:val="28"/>
              <w:szCs w:val="28"/>
              <w14:textFill>
                <w14:solidFill>
                  <w14:schemeClr w14:val="tx1"/>
                </w14:solidFill>
              </w14:textFill>
            </w:rPr>
            <w:fldChar w:fldCharType="separate"/>
          </w:r>
          <w:r>
            <w:rPr>
              <w:rFonts w:hint="eastAsia" w:ascii="宋体" w:hAnsi="宋体" w:eastAsia="宋体" w:cs="宋体"/>
              <w:b w:val="0"/>
              <w:bCs/>
              <w:color w:val="000000" w:themeColor="text1"/>
              <w:sz w:val="28"/>
              <w:szCs w:val="28"/>
              <w14:textFill>
                <w14:solidFill>
                  <w14:schemeClr w14:val="tx1"/>
                </w14:solidFill>
              </w14:textFill>
            </w:rPr>
            <w:t>第一部分  竞争性磋商公告</w:t>
          </w:r>
          <w:r>
            <w:rPr>
              <w:b w:val="0"/>
              <w:bCs/>
              <w:color w:val="000000" w:themeColor="text1"/>
              <w:sz w:val="28"/>
              <w:szCs w:val="28"/>
              <w14:textFill>
                <w14:solidFill>
                  <w14:schemeClr w14:val="tx1"/>
                </w14:solidFill>
              </w14:textFill>
            </w:rPr>
            <w:tab/>
          </w:r>
          <w:r>
            <w:rPr>
              <w:b w:val="0"/>
              <w:bCs/>
              <w:color w:val="000000" w:themeColor="text1"/>
              <w:sz w:val="28"/>
              <w:szCs w:val="28"/>
              <w14:textFill>
                <w14:solidFill>
                  <w14:schemeClr w14:val="tx1"/>
                </w14:solidFill>
              </w14:textFill>
            </w:rPr>
            <w:fldChar w:fldCharType="begin"/>
          </w:r>
          <w:r>
            <w:rPr>
              <w:b w:val="0"/>
              <w:bCs/>
              <w:color w:val="000000" w:themeColor="text1"/>
              <w:sz w:val="28"/>
              <w:szCs w:val="28"/>
              <w14:textFill>
                <w14:solidFill>
                  <w14:schemeClr w14:val="tx1"/>
                </w14:solidFill>
              </w14:textFill>
            </w:rPr>
            <w:instrText xml:space="preserve"> PAGEREF _Toc20319 \h </w:instrText>
          </w:r>
          <w:r>
            <w:rPr>
              <w:b w:val="0"/>
              <w:bCs/>
              <w:color w:val="000000" w:themeColor="text1"/>
              <w:sz w:val="28"/>
              <w:szCs w:val="28"/>
              <w14:textFill>
                <w14:solidFill>
                  <w14:schemeClr w14:val="tx1"/>
                </w14:solidFill>
              </w14:textFill>
            </w:rPr>
            <w:fldChar w:fldCharType="separate"/>
          </w:r>
          <w:r>
            <w:rPr>
              <w:b w:val="0"/>
              <w:bCs/>
              <w:color w:val="000000" w:themeColor="text1"/>
              <w:sz w:val="28"/>
              <w:szCs w:val="28"/>
              <w14:textFill>
                <w14:solidFill>
                  <w14:schemeClr w14:val="tx1"/>
                </w14:solidFill>
              </w14:textFill>
            </w:rPr>
            <w:t>1</w:t>
          </w:r>
          <w:r>
            <w:rPr>
              <w:b w:val="0"/>
              <w:bCs/>
              <w:color w:val="000000" w:themeColor="text1"/>
              <w:sz w:val="28"/>
              <w:szCs w:val="28"/>
              <w14:textFill>
                <w14:solidFill>
                  <w14:schemeClr w14:val="tx1"/>
                </w14:solidFill>
              </w14:textFill>
            </w:rPr>
            <w:fldChar w:fldCharType="end"/>
          </w:r>
          <w:r>
            <w:rPr>
              <w:rFonts w:hint="eastAsia" w:ascii="宋体" w:hAnsi="宋体" w:eastAsia="宋体" w:cs="宋体"/>
              <w:b w:val="0"/>
              <w:bCs/>
              <w:color w:val="000000" w:themeColor="text1"/>
              <w:sz w:val="28"/>
              <w:szCs w:val="28"/>
              <w14:textFill>
                <w14:solidFill>
                  <w14:schemeClr w14:val="tx1"/>
                </w14:solidFill>
              </w14:textFill>
            </w:rPr>
            <w:fldChar w:fldCharType="end"/>
          </w:r>
        </w:p>
        <w:p>
          <w:pPr>
            <w:pStyle w:val="55"/>
            <w:keepNext w:val="0"/>
            <w:keepLines w:val="0"/>
            <w:pageBreakBefore w:val="0"/>
            <w:widowControl/>
            <w:tabs>
              <w:tab w:val="right" w:leader="dot" w:pos="9361"/>
            </w:tabs>
            <w:kinsoku/>
            <w:wordWrap/>
            <w:overflowPunct/>
            <w:topLinePunct w:val="0"/>
            <w:autoSpaceDE/>
            <w:autoSpaceDN/>
            <w:bidi w:val="0"/>
            <w:adjustRightInd/>
            <w:snapToGrid/>
            <w:spacing w:line="600" w:lineRule="auto"/>
            <w:textAlignment w:val="auto"/>
            <w:rPr>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fldChar w:fldCharType="begin"/>
          </w:r>
          <w:r>
            <w:rPr>
              <w:rFonts w:hint="eastAsia" w:ascii="宋体" w:hAnsi="宋体" w:eastAsia="宋体" w:cs="宋体"/>
              <w:b w:val="0"/>
              <w:bCs/>
              <w:color w:val="000000" w:themeColor="text1"/>
              <w:sz w:val="28"/>
              <w:szCs w:val="28"/>
              <w14:textFill>
                <w14:solidFill>
                  <w14:schemeClr w14:val="tx1"/>
                </w14:solidFill>
              </w14:textFill>
            </w:rPr>
            <w:instrText xml:space="preserve"> HYPERLINK \l _Toc15746 </w:instrText>
          </w:r>
          <w:r>
            <w:rPr>
              <w:rFonts w:hint="eastAsia" w:ascii="宋体" w:hAnsi="宋体" w:eastAsia="宋体" w:cs="宋体"/>
              <w:b w:val="0"/>
              <w:bCs/>
              <w:color w:val="000000" w:themeColor="text1"/>
              <w:sz w:val="28"/>
              <w:szCs w:val="28"/>
              <w14:textFill>
                <w14:solidFill>
                  <w14:schemeClr w14:val="tx1"/>
                </w14:solidFill>
              </w14:textFill>
            </w:rPr>
            <w:fldChar w:fldCharType="separate"/>
          </w:r>
          <w:r>
            <w:rPr>
              <w:rFonts w:hint="eastAsia" w:ascii="宋体" w:hAnsi="宋体" w:eastAsia="宋体" w:cs="宋体"/>
              <w:b w:val="0"/>
              <w:bCs/>
              <w:color w:val="000000" w:themeColor="text1"/>
              <w:sz w:val="28"/>
              <w:szCs w:val="28"/>
              <w14:textFill>
                <w14:solidFill>
                  <w14:schemeClr w14:val="tx1"/>
                </w14:solidFill>
              </w14:textFill>
            </w:rPr>
            <w:t>第二部分  供应商须知</w:t>
          </w:r>
          <w:r>
            <w:rPr>
              <w:b w:val="0"/>
              <w:bCs/>
              <w:color w:val="000000" w:themeColor="text1"/>
              <w:sz w:val="28"/>
              <w:szCs w:val="28"/>
              <w14:textFill>
                <w14:solidFill>
                  <w14:schemeClr w14:val="tx1"/>
                </w14:solidFill>
              </w14:textFill>
            </w:rPr>
            <w:tab/>
          </w:r>
          <w:r>
            <w:rPr>
              <w:b w:val="0"/>
              <w:bCs/>
              <w:color w:val="000000" w:themeColor="text1"/>
              <w:sz w:val="28"/>
              <w:szCs w:val="28"/>
              <w14:textFill>
                <w14:solidFill>
                  <w14:schemeClr w14:val="tx1"/>
                </w14:solidFill>
              </w14:textFill>
            </w:rPr>
            <w:fldChar w:fldCharType="begin"/>
          </w:r>
          <w:r>
            <w:rPr>
              <w:b w:val="0"/>
              <w:bCs/>
              <w:color w:val="000000" w:themeColor="text1"/>
              <w:sz w:val="28"/>
              <w:szCs w:val="28"/>
              <w14:textFill>
                <w14:solidFill>
                  <w14:schemeClr w14:val="tx1"/>
                </w14:solidFill>
              </w14:textFill>
            </w:rPr>
            <w:instrText xml:space="preserve"> PAGEREF _Toc15746 \h </w:instrText>
          </w:r>
          <w:r>
            <w:rPr>
              <w:b w:val="0"/>
              <w:bCs/>
              <w:color w:val="000000" w:themeColor="text1"/>
              <w:sz w:val="28"/>
              <w:szCs w:val="28"/>
              <w14:textFill>
                <w14:solidFill>
                  <w14:schemeClr w14:val="tx1"/>
                </w14:solidFill>
              </w14:textFill>
            </w:rPr>
            <w:fldChar w:fldCharType="separate"/>
          </w:r>
          <w:r>
            <w:rPr>
              <w:b w:val="0"/>
              <w:bCs/>
              <w:color w:val="000000" w:themeColor="text1"/>
              <w:sz w:val="28"/>
              <w:szCs w:val="28"/>
              <w14:textFill>
                <w14:solidFill>
                  <w14:schemeClr w14:val="tx1"/>
                </w14:solidFill>
              </w14:textFill>
            </w:rPr>
            <w:t>7</w:t>
          </w:r>
          <w:r>
            <w:rPr>
              <w:b w:val="0"/>
              <w:bCs/>
              <w:color w:val="000000" w:themeColor="text1"/>
              <w:sz w:val="28"/>
              <w:szCs w:val="28"/>
              <w14:textFill>
                <w14:solidFill>
                  <w14:schemeClr w14:val="tx1"/>
                </w14:solidFill>
              </w14:textFill>
            </w:rPr>
            <w:fldChar w:fldCharType="end"/>
          </w:r>
          <w:r>
            <w:rPr>
              <w:rFonts w:hint="eastAsia" w:ascii="宋体" w:hAnsi="宋体" w:eastAsia="宋体" w:cs="宋体"/>
              <w:b w:val="0"/>
              <w:bCs/>
              <w:color w:val="000000" w:themeColor="text1"/>
              <w:sz w:val="28"/>
              <w:szCs w:val="28"/>
              <w14:textFill>
                <w14:solidFill>
                  <w14:schemeClr w14:val="tx1"/>
                </w14:solidFill>
              </w14:textFill>
            </w:rPr>
            <w:fldChar w:fldCharType="end"/>
          </w:r>
        </w:p>
        <w:p>
          <w:pPr>
            <w:pStyle w:val="55"/>
            <w:keepNext w:val="0"/>
            <w:keepLines w:val="0"/>
            <w:pageBreakBefore w:val="0"/>
            <w:widowControl/>
            <w:tabs>
              <w:tab w:val="right" w:leader="dot" w:pos="9361"/>
            </w:tabs>
            <w:kinsoku/>
            <w:wordWrap/>
            <w:overflowPunct/>
            <w:topLinePunct w:val="0"/>
            <w:autoSpaceDE/>
            <w:autoSpaceDN/>
            <w:bidi w:val="0"/>
            <w:adjustRightInd/>
            <w:snapToGrid/>
            <w:spacing w:line="600" w:lineRule="auto"/>
            <w:textAlignment w:val="auto"/>
            <w:rPr>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fldChar w:fldCharType="begin"/>
          </w:r>
          <w:r>
            <w:rPr>
              <w:rFonts w:hint="eastAsia" w:ascii="宋体" w:hAnsi="宋体" w:eastAsia="宋体" w:cs="宋体"/>
              <w:b w:val="0"/>
              <w:bCs/>
              <w:color w:val="000000" w:themeColor="text1"/>
              <w:sz w:val="28"/>
              <w:szCs w:val="28"/>
              <w14:textFill>
                <w14:solidFill>
                  <w14:schemeClr w14:val="tx1"/>
                </w14:solidFill>
              </w14:textFill>
            </w:rPr>
            <w:instrText xml:space="preserve"> HYPERLINK \l _Toc30927 </w:instrText>
          </w:r>
          <w:r>
            <w:rPr>
              <w:rFonts w:hint="eastAsia" w:ascii="宋体" w:hAnsi="宋体" w:eastAsia="宋体" w:cs="宋体"/>
              <w:b w:val="0"/>
              <w:bCs/>
              <w:color w:val="000000" w:themeColor="text1"/>
              <w:sz w:val="28"/>
              <w:szCs w:val="28"/>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第三部分  </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工程量清单</w:t>
          </w:r>
          <w:r>
            <w:rPr>
              <w:b w:val="0"/>
              <w:bCs/>
              <w:color w:val="000000" w:themeColor="text1"/>
              <w:sz w:val="28"/>
              <w:szCs w:val="28"/>
              <w14:textFill>
                <w14:solidFill>
                  <w14:schemeClr w14:val="tx1"/>
                </w14:solidFill>
              </w14:textFill>
            </w:rPr>
            <w:tab/>
          </w:r>
          <w:r>
            <w:rPr>
              <w:b w:val="0"/>
              <w:bCs/>
              <w:color w:val="000000" w:themeColor="text1"/>
              <w:sz w:val="28"/>
              <w:szCs w:val="28"/>
              <w14:textFill>
                <w14:solidFill>
                  <w14:schemeClr w14:val="tx1"/>
                </w14:solidFill>
              </w14:textFill>
            </w:rPr>
            <w:fldChar w:fldCharType="begin"/>
          </w:r>
          <w:r>
            <w:rPr>
              <w:b w:val="0"/>
              <w:bCs/>
              <w:color w:val="000000" w:themeColor="text1"/>
              <w:sz w:val="28"/>
              <w:szCs w:val="28"/>
              <w14:textFill>
                <w14:solidFill>
                  <w14:schemeClr w14:val="tx1"/>
                </w14:solidFill>
              </w14:textFill>
            </w:rPr>
            <w:instrText xml:space="preserve"> PAGEREF _Toc30927 \h </w:instrText>
          </w:r>
          <w:r>
            <w:rPr>
              <w:b w:val="0"/>
              <w:bCs/>
              <w:color w:val="000000" w:themeColor="text1"/>
              <w:sz w:val="28"/>
              <w:szCs w:val="28"/>
              <w14:textFill>
                <w14:solidFill>
                  <w14:schemeClr w14:val="tx1"/>
                </w14:solidFill>
              </w14:textFill>
            </w:rPr>
            <w:fldChar w:fldCharType="separate"/>
          </w:r>
          <w:r>
            <w:rPr>
              <w:b w:val="0"/>
              <w:bCs/>
              <w:color w:val="000000" w:themeColor="text1"/>
              <w:sz w:val="28"/>
              <w:szCs w:val="28"/>
              <w14:textFill>
                <w14:solidFill>
                  <w14:schemeClr w14:val="tx1"/>
                </w14:solidFill>
              </w14:textFill>
            </w:rPr>
            <w:t>33</w:t>
          </w:r>
          <w:r>
            <w:rPr>
              <w:b w:val="0"/>
              <w:bCs/>
              <w:color w:val="000000" w:themeColor="text1"/>
              <w:sz w:val="28"/>
              <w:szCs w:val="28"/>
              <w14:textFill>
                <w14:solidFill>
                  <w14:schemeClr w14:val="tx1"/>
                </w14:solidFill>
              </w14:textFill>
            </w:rPr>
            <w:fldChar w:fldCharType="end"/>
          </w:r>
          <w:r>
            <w:rPr>
              <w:rFonts w:hint="eastAsia" w:ascii="宋体" w:hAnsi="宋体" w:eastAsia="宋体" w:cs="宋体"/>
              <w:b w:val="0"/>
              <w:bCs/>
              <w:color w:val="000000" w:themeColor="text1"/>
              <w:sz w:val="28"/>
              <w:szCs w:val="28"/>
              <w14:textFill>
                <w14:solidFill>
                  <w14:schemeClr w14:val="tx1"/>
                </w14:solidFill>
              </w14:textFill>
            </w:rPr>
            <w:fldChar w:fldCharType="end"/>
          </w:r>
        </w:p>
        <w:p>
          <w:pPr>
            <w:pStyle w:val="55"/>
            <w:keepNext w:val="0"/>
            <w:keepLines w:val="0"/>
            <w:pageBreakBefore w:val="0"/>
            <w:widowControl/>
            <w:tabs>
              <w:tab w:val="right" w:leader="dot" w:pos="9361"/>
            </w:tabs>
            <w:kinsoku/>
            <w:wordWrap/>
            <w:overflowPunct/>
            <w:topLinePunct w:val="0"/>
            <w:autoSpaceDE/>
            <w:autoSpaceDN/>
            <w:bidi w:val="0"/>
            <w:adjustRightInd/>
            <w:snapToGrid/>
            <w:spacing w:line="600" w:lineRule="auto"/>
            <w:textAlignment w:val="auto"/>
            <w:rPr>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fldChar w:fldCharType="begin"/>
          </w:r>
          <w:r>
            <w:rPr>
              <w:rFonts w:hint="eastAsia" w:ascii="宋体" w:hAnsi="宋体" w:eastAsia="宋体" w:cs="宋体"/>
              <w:b w:val="0"/>
              <w:bCs/>
              <w:color w:val="000000" w:themeColor="text1"/>
              <w:sz w:val="28"/>
              <w:szCs w:val="28"/>
              <w14:textFill>
                <w14:solidFill>
                  <w14:schemeClr w14:val="tx1"/>
                </w14:solidFill>
              </w14:textFill>
            </w:rPr>
            <w:instrText xml:space="preserve"> HYPERLINK \l _Toc12095 </w:instrText>
          </w:r>
          <w:r>
            <w:rPr>
              <w:rFonts w:hint="eastAsia" w:ascii="宋体" w:hAnsi="宋体" w:eastAsia="宋体" w:cs="宋体"/>
              <w:b w:val="0"/>
              <w:bCs/>
              <w:color w:val="000000" w:themeColor="text1"/>
              <w:sz w:val="28"/>
              <w:szCs w:val="28"/>
              <w14:textFill>
                <w14:solidFill>
                  <w14:schemeClr w14:val="tx1"/>
                </w14:solidFill>
              </w14:textFill>
            </w:rPr>
            <w:fldChar w:fldCharType="separate"/>
          </w:r>
          <w:r>
            <w:rPr>
              <w:rFonts w:hint="eastAsia" w:ascii="宋体" w:hAnsi="宋体" w:eastAsia="宋体" w:cs="宋体"/>
              <w:b w:val="0"/>
              <w:bCs/>
              <w:color w:val="000000" w:themeColor="text1"/>
              <w:sz w:val="28"/>
              <w:szCs w:val="28"/>
              <w14:textFill>
                <w14:solidFill>
                  <w14:schemeClr w14:val="tx1"/>
                </w14:solidFill>
              </w14:textFill>
            </w:rPr>
            <w:t>第四部分  商务要求</w:t>
          </w:r>
          <w:r>
            <w:rPr>
              <w:b w:val="0"/>
              <w:bCs/>
              <w:color w:val="000000" w:themeColor="text1"/>
              <w:sz w:val="28"/>
              <w:szCs w:val="28"/>
              <w14:textFill>
                <w14:solidFill>
                  <w14:schemeClr w14:val="tx1"/>
                </w14:solidFill>
              </w14:textFill>
            </w:rPr>
            <w:tab/>
          </w:r>
          <w:r>
            <w:rPr>
              <w:b w:val="0"/>
              <w:bCs/>
              <w:color w:val="000000" w:themeColor="text1"/>
              <w:sz w:val="28"/>
              <w:szCs w:val="28"/>
              <w14:textFill>
                <w14:solidFill>
                  <w14:schemeClr w14:val="tx1"/>
                </w14:solidFill>
              </w14:textFill>
            </w:rPr>
            <w:fldChar w:fldCharType="begin"/>
          </w:r>
          <w:r>
            <w:rPr>
              <w:b w:val="0"/>
              <w:bCs/>
              <w:color w:val="000000" w:themeColor="text1"/>
              <w:sz w:val="28"/>
              <w:szCs w:val="28"/>
              <w14:textFill>
                <w14:solidFill>
                  <w14:schemeClr w14:val="tx1"/>
                </w14:solidFill>
              </w14:textFill>
            </w:rPr>
            <w:instrText xml:space="preserve"> PAGEREF _Toc12095 \h </w:instrText>
          </w:r>
          <w:r>
            <w:rPr>
              <w:b w:val="0"/>
              <w:bCs/>
              <w:color w:val="000000" w:themeColor="text1"/>
              <w:sz w:val="28"/>
              <w:szCs w:val="28"/>
              <w14:textFill>
                <w14:solidFill>
                  <w14:schemeClr w14:val="tx1"/>
                </w14:solidFill>
              </w14:textFill>
            </w:rPr>
            <w:fldChar w:fldCharType="separate"/>
          </w:r>
          <w:r>
            <w:rPr>
              <w:b w:val="0"/>
              <w:bCs/>
              <w:color w:val="000000" w:themeColor="text1"/>
              <w:sz w:val="28"/>
              <w:szCs w:val="28"/>
              <w14:textFill>
                <w14:solidFill>
                  <w14:schemeClr w14:val="tx1"/>
                </w14:solidFill>
              </w14:textFill>
            </w:rPr>
            <w:t>34</w:t>
          </w:r>
          <w:r>
            <w:rPr>
              <w:b w:val="0"/>
              <w:bCs/>
              <w:color w:val="000000" w:themeColor="text1"/>
              <w:sz w:val="28"/>
              <w:szCs w:val="28"/>
              <w14:textFill>
                <w14:solidFill>
                  <w14:schemeClr w14:val="tx1"/>
                </w14:solidFill>
              </w14:textFill>
            </w:rPr>
            <w:fldChar w:fldCharType="end"/>
          </w:r>
          <w:r>
            <w:rPr>
              <w:rFonts w:hint="eastAsia" w:ascii="宋体" w:hAnsi="宋体" w:eastAsia="宋体" w:cs="宋体"/>
              <w:b w:val="0"/>
              <w:bCs/>
              <w:color w:val="000000" w:themeColor="text1"/>
              <w:sz w:val="28"/>
              <w:szCs w:val="28"/>
              <w14:textFill>
                <w14:solidFill>
                  <w14:schemeClr w14:val="tx1"/>
                </w14:solidFill>
              </w14:textFill>
            </w:rPr>
            <w:fldChar w:fldCharType="end"/>
          </w:r>
        </w:p>
        <w:p>
          <w:pPr>
            <w:pStyle w:val="55"/>
            <w:keepNext w:val="0"/>
            <w:keepLines w:val="0"/>
            <w:pageBreakBefore w:val="0"/>
            <w:widowControl/>
            <w:tabs>
              <w:tab w:val="right" w:leader="dot" w:pos="9361"/>
            </w:tabs>
            <w:kinsoku/>
            <w:wordWrap/>
            <w:overflowPunct/>
            <w:topLinePunct w:val="0"/>
            <w:autoSpaceDE/>
            <w:autoSpaceDN/>
            <w:bidi w:val="0"/>
            <w:adjustRightInd/>
            <w:snapToGrid/>
            <w:spacing w:line="600" w:lineRule="auto"/>
            <w:textAlignment w:val="auto"/>
            <w:rPr>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fldChar w:fldCharType="begin"/>
          </w:r>
          <w:r>
            <w:rPr>
              <w:rFonts w:hint="eastAsia" w:ascii="宋体" w:hAnsi="宋体" w:eastAsia="宋体" w:cs="宋体"/>
              <w:b w:val="0"/>
              <w:bCs/>
              <w:color w:val="000000" w:themeColor="text1"/>
              <w:sz w:val="28"/>
              <w:szCs w:val="28"/>
              <w14:textFill>
                <w14:solidFill>
                  <w14:schemeClr w14:val="tx1"/>
                </w14:solidFill>
              </w14:textFill>
            </w:rPr>
            <w:instrText xml:space="preserve"> HYPERLINK \l _Toc17650 </w:instrText>
          </w:r>
          <w:r>
            <w:rPr>
              <w:rFonts w:hint="eastAsia" w:ascii="宋体" w:hAnsi="宋体" w:eastAsia="宋体" w:cs="宋体"/>
              <w:b w:val="0"/>
              <w:bCs/>
              <w:color w:val="000000" w:themeColor="text1"/>
              <w:sz w:val="28"/>
              <w:szCs w:val="28"/>
              <w14:textFill>
                <w14:solidFill>
                  <w14:schemeClr w14:val="tx1"/>
                </w14:solidFill>
              </w14:textFill>
            </w:rPr>
            <w:fldChar w:fldCharType="separate"/>
          </w:r>
          <w:r>
            <w:rPr>
              <w:rFonts w:hint="eastAsia" w:ascii="宋体" w:hAnsi="宋体" w:eastAsia="宋体" w:cs="宋体"/>
              <w:b w:val="0"/>
              <w:bCs/>
              <w:color w:val="000000" w:themeColor="text1"/>
              <w:sz w:val="28"/>
              <w:szCs w:val="28"/>
              <w14:textFill>
                <w14:solidFill>
                  <w14:schemeClr w14:val="tx1"/>
                </w14:solidFill>
              </w14:textFill>
            </w:rPr>
            <w:t>第</w:t>
          </w:r>
          <w:r>
            <w:rPr>
              <w:rFonts w:hint="eastAsia" w:ascii="宋体" w:hAnsi="宋体" w:eastAsia="宋体" w:cs="宋体"/>
              <w:b w:val="0"/>
              <w:bCs/>
              <w:color w:val="000000" w:themeColor="text1"/>
              <w:sz w:val="28"/>
              <w:szCs w:val="28"/>
              <w:lang w:eastAsia="zh-CN"/>
              <w14:textFill>
                <w14:solidFill>
                  <w14:schemeClr w14:val="tx1"/>
                </w14:solidFill>
              </w14:textFill>
            </w:rPr>
            <w:t>五</w:t>
          </w:r>
          <w:r>
            <w:rPr>
              <w:rFonts w:hint="eastAsia" w:ascii="宋体" w:hAnsi="宋体" w:eastAsia="宋体" w:cs="宋体"/>
              <w:b w:val="0"/>
              <w:bCs/>
              <w:color w:val="000000" w:themeColor="text1"/>
              <w:sz w:val="28"/>
              <w:szCs w:val="28"/>
              <w14:textFill>
                <w14:solidFill>
                  <w14:schemeClr w14:val="tx1"/>
                </w14:solidFill>
              </w14:textFill>
            </w:rPr>
            <w:t>部分  合同条款</w:t>
          </w:r>
          <w:r>
            <w:rPr>
              <w:b w:val="0"/>
              <w:bCs/>
              <w:color w:val="000000" w:themeColor="text1"/>
              <w:sz w:val="28"/>
              <w:szCs w:val="28"/>
              <w14:textFill>
                <w14:solidFill>
                  <w14:schemeClr w14:val="tx1"/>
                </w14:solidFill>
              </w14:textFill>
            </w:rPr>
            <w:tab/>
          </w:r>
          <w:r>
            <w:rPr>
              <w:b w:val="0"/>
              <w:bCs/>
              <w:color w:val="000000" w:themeColor="text1"/>
              <w:sz w:val="28"/>
              <w:szCs w:val="28"/>
              <w14:textFill>
                <w14:solidFill>
                  <w14:schemeClr w14:val="tx1"/>
                </w14:solidFill>
              </w14:textFill>
            </w:rPr>
            <w:fldChar w:fldCharType="begin"/>
          </w:r>
          <w:r>
            <w:rPr>
              <w:b w:val="0"/>
              <w:bCs/>
              <w:color w:val="000000" w:themeColor="text1"/>
              <w:sz w:val="28"/>
              <w:szCs w:val="28"/>
              <w14:textFill>
                <w14:solidFill>
                  <w14:schemeClr w14:val="tx1"/>
                </w14:solidFill>
              </w14:textFill>
            </w:rPr>
            <w:instrText xml:space="preserve"> PAGEREF _Toc17650 \h </w:instrText>
          </w:r>
          <w:r>
            <w:rPr>
              <w:b w:val="0"/>
              <w:bCs/>
              <w:color w:val="000000" w:themeColor="text1"/>
              <w:sz w:val="28"/>
              <w:szCs w:val="28"/>
              <w14:textFill>
                <w14:solidFill>
                  <w14:schemeClr w14:val="tx1"/>
                </w14:solidFill>
              </w14:textFill>
            </w:rPr>
            <w:fldChar w:fldCharType="separate"/>
          </w:r>
          <w:r>
            <w:rPr>
              <w:b w:val="0"/>
              <w:bCs/>
              <w:color w:val="000000" w:themeColor="text1"/>
              <w:sz w:val="28"/>
              <w:szCs w:val="28"/>
              <w14:textFill>
                <w14:solidFill>
                  <w14:schemeClr w14:val="tx1"/>
                </w14:solidFill>
              </w14:textFill>
            </w:rPr>
            <w:t>36</w:t>
          </w:r>
          <w:r>
            <w:rPr>
              <w:b w:val="0"/>
              <w:bCs/>
              <w:color w:val="000000" w:themeColor="text1"/>
              <w:sz w:val="28"/>
              <w:szCs w:val="28"/>
              <w14:textFill>
                <w14:solidFill>
                  <w14:schemeClr w14:val="tx1"/>
                </w14:solidFill>
              </w14:textFill>
            </w:rPr>
            <w:fldChar w:fldCharType="end"/>
          </w:r>
          <w:r>
            <w:rPr>
              <w:rFonts w:hint="eastAsia" w:ascii="宋体" w:hAnsi="宋体" w:eastAsia="宋体" w:cs="宋体"/>
              <w:b w:val="0"/>
              <w:bCs/>
              <w:color w:val="000000" w:themeColor="text1"/>
              <w:sz w:val="28"/>
              <w:szCs w:val="28"/>
              <w14:textFill>
                <w14:solidFill>
                  <w14:schemeClr w14:val="tx1"/>
                </w14:solidFill>
              </w14:textFill>
            </w:rPr>
            <w:fldChar w:fldCharType="end"/>
          </w:r>
        </w:p>
        <w:p>
          <w:pPr>
            <w:pStyle w:val="55"/>
            <w:keepNext w:val="0"/>
            <w:keepLines w:val="0"/>
            <w:pageBreakBefore w:val="0"/>
            <w:widowControl/>
            <w:tabs>
              <w:tab w:val="right" w:leader="dot" w:pos="9361"/>
            </w:tabs>
            <w:kinsoku/>
            <w:wordWrap/>
            <w:overflowPunct/>
            <w:topLinePunct w:val="0"/>
            <w:autoSpaceDE/>
            <w:autoSpaceDN/>
            <w:bidi w:val="0"/>
            <w:adjustRightInd/>
            <w:snapToGrid/>
            <w:spacing w:line="600" w:lineRule="auto"/>
            <w:textAlignment w:val="auto"/>
            <w:rPr>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fldChar w:fldCharType="begin"/>
          </w:r>
          <w:r>
            <w:rPr>
              <w:rFonts w:hint="eastAsia" w:ascii="宋体" w:hAnsi="宋体" w:eastAsia="宋体" w:cs="宋体"/>
              <w:b w:val="0"/>
              <w:bCs/>
              <w:color w:val="000000" w:themeColor="text1"/>
              <w:sz w:val="28"/>
              <w:szCs w:val="28"/>
              <w14:textFill>
                <w14:solidFill>
                  <w14:schemeClr w14:val="tx1"/>
                </w14:solidFill>
              </w14:textFill>
            </w:rPr>
            <w:instrText xml:space="preserve"> HYPERLINK \l _Toc24211 </w:instrText>
          </w:r>
          <w:r>
            <w:rPr>
              <w:rFonts w:hint="eastAsia" w:ascii="宋体" w:hAnsi="宋体" w:eastAsia="宋体" w:cs="宋体"/>
              <w:b w:val="0"/>
              <w:bCs/>
              <w:color w:val="000000" w:themeColor="text1"/>
              <w:sz w:val="28"/>
              <w:szCs w:val="28"/>
              <w14:textFill>
                <w14:solidFill>
                  <w14:schemeClr w14:val="tx1"/>
                </w14:solidFill>
              </w14:textFill>
            </w:rPr>
            <w:fldChar w:fldCharType="separate"/>
          </w:r>
          <w:r>
            <w:rPr>
              <w:rFonts w:hint="eastAsia" w:ascii="宋体" w:hAnsi="宋体" w:eastAsia="宋体" w:cs="宋体"/>
              <w:b w:val="0"/>
              <w:bCs/>
              <w:color w:val="000000" w:themeColor="text1"/>
              <w:sz w:val="28"/>
              <w:szCs w:val="28"/>
              <w14:textFill>
                <w14:solidFill>
                  <w14:schemeClr w14:val="tx1"/>
                </w14:solidFill>
              </w14:textFill>
            </w:rPr>
            <w:t>第</w:t>
          </w:r>
          <w:r>
            <w:rPr>
              <w:rFonts w:hint="eastAsia" w:ascii="宋体" w:hAnsi="宋体" w:eastAsia="宋体" w:cs="宋体"/>
              <w:b w:val="0"/>
              <w:bCs/>
              <w:color w:val="000000" w:themeColor="text1"/>
              <w:sz w:val="28"/>
              <w:szCs w:val="28"/>
              <w:lang w:eastAsia="zh-CN"/>
              <w14:textFill>
                <w14:solidFill>
                  <w14:schemeClr w14:val="tx1"/>
                </w14:solidFill>
              </w14:textFill>
            </w:rPr>
            <w:t>六</w:t>
          </w:r>
          <w:r>
            <w:rPr>
              <w:rFonts w:hint="eastAsia" w:ascii="宋体" w:hAnsi="宋体" w:eastAsia="宋体" w:cs="宋体"/>
              <w:b w:val="0"/>
              <w:bCs/>
              <w:color w:val="000000" w:themeColor="text1"/>
              <w:sz w:val="28"/>
              <w:szCs w:val="28"/>
              <w14:textFill>
                <w14:solidFill>
                  <w14:schemeClr w14:val="tx1"/>
                </w14:solidFill>
              </w14:textFill>
            </w:rPr>
            <w:t>部分  竞争性磋商响应文件格式</w:t>
          </w:r>
          <w:r>
            <w:rPr>
              <w:b w:val="0"/>
              <w:bCs/>
              <w:color w:val="000000" w:themeColor="text1"/>
              <w:sz w:val="28"/>
              <w:szCs w:val="28"/>
              <w14:textFill>
                <w14:solidFill>
                  <w14:schemeClr w14:val="tx1"/>
                </w14:solidFill>
              </w14:textFill>
            </w:rPr>
            <w:tab/>
          </w:r>
          <w:r>
            <w:rPr>
              <w:b w:val="0"/>
              <w:bCs/>
              <w:color w:val="000000" w:themeColor="text1"/>
              <w:sz w:val="28"/>
              <w:szCs w:val="28"/>
              <w14:textFill>
                <w14:solidFill>
                  <w14:schemeClr w14:val="tx1"/>
                </w14:solidFill>
              </w14:textFill>
            </w:rPr>
            <w:fldChar w:fldCharType="begin"/>
          </w:r>
          <w:r>
            <w:rPr>
              <w:b w:val="0"/>
              <w:bCs/>
              <w:color w:val="000000" w:themeColor="text1"/>
              <w:sz w:val="28"/>
              <w:szCs w:val="28"/>
              <w14:textFill>
                <w14:solidFill>
                  <w14:schemeClr w14:val="tx1"/>
                </w14:solidFill>
              </w14:textFill>
            </w:rPr>
            <w:instrText xml:space="preserve"> PAGEREF _Toc24211 \h </w:instrText>
          </w:r>
          <w:r>
            <w:rPr>
              <w:b w:val="0"/>
              <w:bCs/>
              <w:color w:val="000000" w:themeColor="text1"/>
              <w:sz w:val="28"/>
              <w:szCs w:val="28"/>
              <w14:textFill>
                <w14:solidFill>
                  <w14:schemeClr w14:val="tx1"/>
                </w14:solidFill>
              </w14:textFill>
            </w:rPr>
            <w:fldChar w:fldCharType="separate"/>
          </w:r>
          <w:r>
            <w:rPr>
              <w:b w:val="0"/>
              <w:bCs/>
              <w:color w:val="000000" w:themeColor="text1"/>
              <w:sz w:val="28"/>
              <w:szCs w:val="28"/>
              <w14:textFill>
                <w14:solidFill>
                  <w14:schemeClr w14:val="tx1"/>
                </w14:solidFill>
              </w14:textFill>
            </w:rPr>
            <w:t>56</w:t>
          </w:r>
          <w:r>
            <w:rPr>
              <w:b w:val="0"/>
              <w:bCs/>
              <w:color w:val="000000" w:themeColor="text1"/>
              <w:sz w:val="28"/>
              <w:szCs w:val="28"/>
              <w14:textFill>
                <w14:solidFill>
                  <w14:schemeClr w14:val="tx1"/>
                </w14:solidFill>
              </w14:textFill>
            </w:rPr>
            <w:fldChar w:fldCharType="end"/>
          </w:r>
          <w:r>
            <w:rPr>
              <w:rFonts w:hint="eastAsia" w:ascii="宋体" w:hAnsi="宋体" w:eastAsia="宋体" w:cs="宋体"/>
              <w:b w:val="0"/>
              <w:bCs/>
              <w:color w:val="000000" w:themeColor="text1"/>
              <w:sz w:val="28"/>
              <w:szCs w:val="28"/>
              <w14:textFill>
                <w14:solidFill>
                  <w14:schemeClr w14:val="tx1"/>
                </w14:solidFill>
              </w14:textFill>
            </w:rPr>
            <w:fldChar w:fldCharType="end"/>
          </w:r>
        </w:p>
        <w:p>
          <w:pPr>
            <w:pStyle w:val="59"/>
            <w:tabs>
              <w:tab w:val="right" w:leader="dot" w:pos="9361"/>
            </w:tabs>
            <w:spacing w:line="600" w:lineRule="auto"/>
            <w:rPr>
              <w:color w:val="000000" w:themeColor="text1"/>
              <w:sz w:val="22"/>
              <w:szCs w:val="22"/>
              <w14:textFill>
                <w14:solidFill>
                  <w14:schemeClr w14:val="tx1"/>
                </w14:solidFill>
              </w14:textFill>
            </w:rPr>
          </w:pPr>
        </w:p>
        <w:p>
          <w:pPr>
            <w:pageBreakBefore w:val="0"/>
            <w:kinsoku/>
            <w:wordWrap/>
            <w:overflowPunct/>
            <w:topLinePunct w:val="0"/>
            <w:bidi w:val="0"/>
            <w:spacing w:line="600" w:lineRule="auto"/>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8"/>
              <w14:textFill>
                <w14:solidFill>
                  <w14:schemeClr w14:val="tx1"/>
                </w14:solidFill>
              </w14:textFill>
            </w:rPr>
            <w:fldChar w:fldCharType="end"/>
          </w:r>
        </w:p>
      </w:sdtContent>
    </w:sdt>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Style w:val="12"/>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ageBreakBefore w:val="0"/>
        <w:tabs>
          <w:tab w:val="left" w:pos="3492"/>
        </w:tabs>
        <w:kinsoku/>
        <w:wordWrap/>
        <w:overflowPunct/>
        <w:topLinePunct w:val="0"/>
        <w:bidi w:val="0"/>
        <w:spacing w:line="360" w:lineRule="auto"/>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ab/>
      </w: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Style w:val="3"/>
        <w:pageBreakBefore w:val="0"/>
        <w:kinsoku/>
        <w:wordWrap/>
        <w:overflowPunct/>
        <w:topLinePunct w:val="0"/>
        <w:bidi w:val="0"/>
        <w:spacing w:before="0" w:after="0" w:line="360" w:lineRule="auto"/>
        <w:jc w:val="both"/>
        <w:textAlignment w:val="auto"/>
        <w:rPr>
          <w:rFonts w:hint="eastAsia" w:ascii="宋体" w:hAnsi="宋体" w:eastAsia="宋体" w:cs="宋体"/>
          <w:color w:val="000000" w:themeColor="text1"/>
          <w:sz w:val="36"/>
          <w:szCs w:val="36"/>
          <w:lang w:eastAsia="zh-CN"/>
          <w14:textFill>
            <w14:solidFill>
              <w14:schemeClr w14:val="tx1"/>
            </w14:solidFill>
          </w14:textFill>
        </w:rPr>
        <w:sectPr>
          <w:headerReference r:id="rId4" w:type="first"/>
          <w:headerReference r:id="rId3" w:type="default"/>
          <w:endnotePr>
            <w:numFmt w:val="decimal"/>
          </w:endnotePr>
          <w:pgSz w:w="11907" w:h="16840"/>
          <w:pgMar w:top="1418" w:right="1287" w:bottom="1446" w:left="1259" w:header="907" w:footer="654" w:gutter="0"/>
          <w:pgNumType w:fmt="decimal" w:start="1"/>
          <w:cols w:space="720" w:num="1"/>
          <w:titlePg/>
        </w:sectPr>
      </w:pPr>
      <w:bookmarkStart w:id="1" w:name="_Toc26519374"/>
      <w:bookmarkStart w:id="2" w:name="_Toc19091850"/>
      <w:bookmarkStart w:id="3" w:name="_Toc20319"/>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lang w:eastAsia="zh-CN"/>
          <w14:textFill>
            <w14:solidFill>
              <w14:schemeClr w14:val="tx1"/>
            </w14:solidFill>
          </w14:textFill>
        </w:rPr>
        <w:t>第一部分</w:t>
      </w:r>
      <w:r>
        <w:rPr>
          <w:rFonts w:hint="eastAsia" w:ascii="宋体" w:hAnsi="宋体" w:eastAsia="宋体" w:cs="宋体"/>
          <w:color w:val="000000" w:themeColor="text1"/>
          <w:sz w:val="36"/>
          <w:szCs w:val="36"/>
          <w:lang w:val="en-US" w:eastAsia="zh-CN"/>
          <w14:textFill>
            <w14:solidFill>
              <w14:schemeClr w14:val="tx1"/>
            </w14:solidFill>
          </w14:textFill>
        </w:rPr>
        <w:t xml:space="preserve">  </w:t>
      </w:r>
      <w:r>
        <w:rPr>
          <w:rFonts w:hint="eastAsia" w:ascii="宋体" w:hAnsi="宋体" w:eastAsia="宋体" w:cs="宋体"/>
          <w:color w:val="000000" w:themeColor="text1"/>
          <w:sz w:val="36"/>
          <w:szCs w:val="36"/>
          <w14:textFill>
            <w14:solidFill>
              <w14:schemeClr w14:val="tx1"/>
            </w14:solidFill>
          </w14:textFill>
        </w:rPr>
        <w:t>竞争性磋商公告</w:t>
      </w:r>
      <w:bookmarkEnd w:id="1"/>
      <w:bookmarkEnd w:id="2"/>
      <w:bookmarkEnd w:id="3"/>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安康职业技术学院6号7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号8号学生公寓楼提升改造项目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的潜在供应商应在</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公共资源交易中心平台</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（陕西省</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获取采购文件，并于202</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08</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0分（北京时间）前提交响应文件。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一、项目基本情况</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SXZCZB2026-ZCCS-0728</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安康职业技术学院6号7号8号学生公寓楼提升改造项目</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采购方式：竞争性磋商</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479" w:leftChars="228" w:right="0" w:firstLine="0" w:firstLineChars="0"/>
        <w:jc w:val="both"/>
        <w:rPr>
          <w:rFonts w:hint="default" w:ascii="宋体" w:hAnsi="宋体" w:eastAsia="宋体" w:cs="宋体"/>
          <w:i w:val="0"/>
          <w:iCs w:val="0"/>
          <w:caps w:val="0"/>
          <w:color w:val="000000" w:themeColor="text1"/>
          <w:spacing w:val="0"/>
          <w:sz w:val="24"/>
          <w:szCs w:val="24"/>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采购需求：</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安康职业技术学院6号7号8号学生公寓楼提升改造项目</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安康职业技术学院6号7号8号学生公寓楼提升改造项目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11483500.00</w:t>
      </w:r>
      <w:r>
        <w:rPr>
          <w:rFonts w:hint="eastAsia"/>
          <w:color w:val="000000" w:themeColor="text1"/>
          <w:highlight w:val="none"/>
          <w:lang w:val="en-US" w:eastAsia="zh-CN"/>
          <w14:textFill>
            <w14:solidFill>
              <w14:schemeClr w14:val="tx1"/>
            </w14:solidFill>
          </w14:textFill>
        </w:rPr>
        <w:t>元</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479" w:leftChars="228" w:right="0" w:firstLine="0" w:firstLineChars="0"/>
        <w:jc w:val="both"/>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最高限价：</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11483434.59</w:t>
      </w:r>
      <w:r>
        <w:rPr>
          <w:rFonts w:hint="eastAsia"/>
          <w:color w:val="000000" w:themeColor="text1"/>
          <w:highlight w:val="none"/>
          <w:lang w:val="en-US" w:eastAsia="zh-CN"/>
          <w14:textFill>
            <w14:solidFill>
              <w14:schemeClr w14:val="tx1"/>
            </w14:solidFill>
          </w14:textFill>
        </w:rPr>
        <w:t>元</w:t>
      </w:r>
    </w:p>
    <w:tbl>
      <w:tblPr>
        <w:tblStyle w:val="22"/>
        <w:tblW w:w="91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9"/>
        <w:gridCol w:w="1352"/>
        <w:gridCol w:w="2429"/>
        <w:gridCol w:w="1290"/>
        <w:gridCol w:w="1674"/>
        <w:gridCol w:w="16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18" w:hRule="atLeast"/>
          <w:tblHeader/>
        </w:trPr>
        <w:tc>
          <w:tcPr>
            <w:tcW w:w="8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品目号</w:t>
            </w:r>
          </w:p>
        </w:tc>
        <w:tc>
          <w:tcPr>
            <w:tcW w:w="13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品目名称</w:t>
            </w:r>
          </w:p>
        </w:tc>
        <w:tc>
          <w:tcPr>
            <w:tcW w:w="24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采购标的</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数量</w:t>
            </w:r>
          </w:p>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（单位）</w:t>
            </w:r>
          </w:p>
        </w:tc>
        <w:tc>
          <w:tcPr>
            <w:tcW w:w="1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技术规格、参数及要求</w:t>
            </w:r>
          </w:p>
        </w:tc>
        <w:tc>
          <w:tcPr>
            <w:tcW w:w="16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805" w:hRule="atLeast"/>
        </w:trPr>
        <w:tc>
          <w:tcPr>
            <w:tcW w:w="8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1-1</w:t>
            </w:r>
          </w:p>
        </w:tc>
        <w:tc>
          <w:tcPr>
            <w:tcW w:w="13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教育用房施工</w:t>
            </w:r>
          </w:p>
        </w:tc>
        <w:tc>
          <w:tcPr>
            <w:tcW w:w="24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安康职业技术学院6号7号8号学生公寓楼提升改造项目</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1(项)</w:t>
            </w:r>
          </w:p>
        </w:tc>
        <w:tc>
          <w:tcPr>
            <w:tcW w:w="1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详见采购文件</w:t>
            </w:r>
          </w:p>
        </w:tc>
        <w:tc>
          <w:tcPr>
            <w:tcW w:w="16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11483500.00</w:t>
            </w:r>
          </w:p>
        </w:tc>
      </w:tr>
    </w:tbl>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合同履行期限：</w:t>
      </w:r>
      <w:bookmarkStart w:id="4" w:name="OLE_LINK5"/>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合同签订后120个日历日</w:t>
      </w:r>
      <w:r>
        <w:rPr>
          <w:rFonts w:hint="eastAsia"/>
          <w:highlight w:val="none"/>
          <w:lang w:eastAsia="zh-CN"/>
        </w:rPr>
        <w:t>内施工完毕交付验收</w:t>
      </w:r>
      <w:bookmarkEnd w:id="4"/>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二、申请人的资格要求：</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1.满足《中华人民共和国政府采购法》第二十二条规定;</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2.落实政府采购政策需满足的资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格要求：</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安康职业技术学院6号7号8号学生公寓楼提升改造项目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)落实政府采购政策需满足的资格要求如下:</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bookmarkStart w:id="5" w:name="OLE_LINK2"/>
      <w:bookmarkStart w:id="6" w:name="OLE_LINK1"/>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2-1《政府采购促进中小企业发展管理办法》的通知--财库〔2020〕46号</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财政部司法部关于政府采购支持监狱企业发展有关问题的通知--财库[2014]68号 </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2-3《财政部 发展改革委 生态环境部 市场监管总局关于调整优化节能产品 环境标志产品政府采购执行机制的通知》（财库〔2019〕9号）</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2-4《节能产品政府采购实施意见》--（财库[2004]185号） </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2-5《环境标志产品政府采购实施的意见》--财库[2006]90号</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2-6《关于促进残疾人就业政府采购政策的通知》（财库[2017]141号）</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2-7《陕西省财政厅关于加快推进我省中小企业政府采购信用融资工作的通知》（陕财办采〔2020〕15号）</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2-8《陕西省中小企业政府采购信用融资办法》陕财办采〔2018〕23号</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2-9《关于运用政府采购政策支持乡村产业振兴的通知》（财库〔2021〕19号）</w:t>
      </w:r>
      <w:bookmarkEnd w:id="5"/>
    </w:p>
    <w:bookmarkEnd w:id="6"/>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安康职业技术学院6号7号8号学生公寓楼提升改造项目</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))特定资格要求如下:</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3-1具有独立承担民事责任能力的法人、其他组织或自然人，并出具合法有效的统一社会信用代码的营业执照或事业单位法人证书等国家规定的相关证明，自然人参与的提供其身份证明。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3-2财务状况：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提供2024年度或2025年度的财务审计报告（成立时间至提交投标文件截止时间不足一年的可提供成立后任意时段的资产负债表），或开标前半年内其基本存款账户开户银行出具的资信证明。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3-3完税证明：</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月至今已缴纳的至少三个月的纳税证明或完税证明，依法免税的单位应提供相关证明材料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3-4社保缴纳情况：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3-5参加本次政府采购活动前三年内，在经营活动中没有重大违法记录声明。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3-6提供具有履行合同所必需的设备和专业技术能力的承诺函（格式自拟）。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3-7法定代表人授权书（附法定代表人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身份证复印件）及被授权人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（法定代表人直接参加磋商只需提供法定代表人身份证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复印件加盖公章</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3-8</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3-9</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供应商须具备建设行政主管部门颁发的建筑工程施工总承包三级及以上资质且具有有效的安全生产许可证</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3-10</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拟派项目经理须具备行政主管部门颁发建筑工程专业二级(含二级)以上注册建造师资格且具有有效的安全生产考核合格的B证书且无在建工程</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本项目为专门面向中小企业（提供声明）</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3-1</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本项目不接受联合体磋商（提供声明）</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三、获取采购文件</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时间：2026年07月22日至2026年07月29日，每天上午09:00:00至12:00:00，下午14:00至17:00:00（北京时间）</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途径：</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公共资源交易平台</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方式：在线获取</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售价：</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元</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四、响应文件提交</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截止时间：2026年08月11日14时00分00秒（北京时间）</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公共资源交易平台</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五、开启</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时间：2026年08月11日14时00分00秒（北京时间）</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1"/>
          <w:sz w:val="24"/>
          <w:szCs w:val="24"/>
          <w:highlight w:val="none"/>
          <w:shd w:val="clear" w:fill="FFFFFF"/>
          <w:lang w:val="en-US" w:eastAsia="zh-CN" w:bidi="ar-SA"/>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安康市</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公共资源交易平台</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六、公告期限</w:t>
      </w:r>
    </w:p>
    <w:p>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自本公告发布之日起3个工作日。</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文件获取方式及注意事项</w:t>
      </w:r>
      <w:r>
        <w:rPr>
          <w:rFonts w:hint="eastAsia" w:ascii="宋体" w:hAnsi="宋体" w:cs="宋体"/>
          <w:color w:val="000000" w:themeColor="text1"/>
          <w:sz w:val="24"/>
          <w:szCs w:val="24"/>
          <w:highlight w:val="none"/>
          <w:lang w:eastAsia="zh-CN"/>
          <w14:textFill>
            <w14:solidFill>
              <w14:schemeClr w14:val="tx1"/>
            </w14:solidFill>
          </w14:textFill>
        </w:rPr>
        <w:t>：</w:t>
      </w:r>
    </w:p>
    <w:p>
      <w:pPr>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报名登记：供应商使用捆绑CA证书登录全国公共资源交易平台（陕西省·</w:t>
      </w:r>
      <w:r>
        <w:rPr>
          <w:rFonts w:hint="eastAsia" w:ascii="宋体" w:hAnsi="宋体" w:eastAsia="宋体" w:cs="宋体"/>
          <w:color w:val="000000" w:themeColor="text1"/>
          <w:sz w:val="24"/>
          <w:szCs w:val="24"/>
          <w:highlight w:val="none"/>
          <w:lang w:eastAsia="zh-CN"/>
          <w14:textFill>
            <w14:solidFill>
              <w14:schemeClr w14:val="tx1"/>
            </w14:solidFill>
          </w14:textFill>
        </w:rPr>
        <w:t>安康市</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安康市</w:t>
      </w:r>
      <w:r>
        <w:rPr>
          <w:rFonts w:hint="eastAsia" w:ascii="宋体" w:hAnsi="宋体" w:eastAsia="宋体" w:cs="宋体"/>
          <w:color w:val="000000" w:themeColor="text1"/>
          <w:sz w:val="24"/>
          <w:szCs w:val="24"/>
          <w:highlight w:val="none"/>
          <w14:textFill>
            <w14:solidFill>
              <w14:schemeClr w14:val="tx1"/>
            </w14:solidFill>
          </w14:textFill>
        </w:rPr>
        <w:t>公共资源交易中心，选择电子交易平台中的陕西政府采购交易系统进行登录，登录后选择“交易乙方”身份进入供应商界面进行报名。</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未完成网上响应成功的或未在文件发售时间内从电子交易平台下载磋商文件的，无法完成后续流程。</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友情提示：</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（1）本项目为电子化政府采购项目，供应商初次登录安康市公共资源交易平台前应先完成诚信入库登记、CA认证和企业信息绑定。</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（2）制作电子投标文件（*.SXSTF）需要使用专用制作工具。软件下载及操作说明详见安康市公共资源交易平台〖首页·〉服务指南·〉下载专区〗中的《政府采购项目投标文件制作软件及操作手册》。</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响应文件的提交方式：从安康市公共资源交易平台〖首页·〉电子交易平台·〉陕西政府采购交易系统·〉企业端〗登录，登录后切换到〖我的项目〗模块，依次点选〖项目流程·〉项目管理·〉上传响应文件〗上传加密后的电子投标文件（*.SXSTF）。</w:t>
      </w:r>
    </w:p>
    <w:p>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5.请各供应商下载磋商文件后，按照陕西省财政厅《关于政府采供应商注册登记有关事项的通知》要求，通过陕西省政府采购网注册登记加入陕西省政府采购供应商库。</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bidi w:val="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1.采购人信息</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安康职业技术学院</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w:t>
      </w:r>
      <w:bookmarkStart w:id="7" w:name="OLE_LINK3"/>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陕西省安康市高新区安康大道2号</w:t>
      </w:r>
      <w:bookmarkEnd w:id="7"/>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联系方式：0915-8177650</w:t>
      </w:r>
    </w:p>
    <w:p>
      <w:pPr>
        <w:bidi w:val="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2.采购代理机构信息</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陕西至诚项目管理集团有限公司</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地址：陕西省西安市经济技术开发区未央路171-1号银池道拉斯财富中心21楼03号</w:t>
      </w:r>
    </w:p>
    <w:p>
      <w:pPr>
        <w:bidi w:val="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 w:name="_Toc176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3.项目联系方式</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彭</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工</w:t>
      </w:r>
    </w:p>
    <w:p>
      <w:pPr>
        <w:pageBreakBefore w:val="0"/>
        <w:kinsoku/>
        <w:wordWrap/>
        <w:overflowPunct/>
        <w:topLinePunct w:val="0"/>
        <w:bidi w:val="0"/>
        <w:spacing w:line="360" w:lineRule="auto"/>
        <w:ind w:firstLine="480" w:firstLineChars="200"/>
        <w:textAlignment w:val="auto"/>
        <w:rPr>
          <w:rFonts w:hint="default" w:ascii="宋体" w:hAnsi="宋体" w:eastAsia="宋体" w:cs="宋体"/>
          <w:color w:val="000000" w:themeColor="text1"/>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18092114697</w:t>
      </w: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ageBreakBefore w:val="0"/>
        <w:kinsoku/>
        <w:wordWrap/>
        <w:overflowPunct/>
        <w:topLinePunct w:val="0"/>
        <w:bidi w:val="0"/>
        <w:spacing w:line="360" w:lineRule="auto"/>
        <w:ind w:firstLine="643"/>
        <w:jc w:val="left"/>
        <w:textAlignment w:val="auto"/>
        <w:outlineLvl w:val="1"/>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附件1</w:t>
      </w:r>
    </w:p>
    <w:bookmarkEnd w:id="8"/>
    <w:p>
      <w:pPr>
        <w:bidi w:val="0"/>
        <w:rPr>
          <w:rFonts w:hint="eastAsia"/>
          <w:color w:val="000000" w:themeColor="text1"/>
          <w14:textFill>
            <w14:solidFill>
              <w14:schemeClr w14:val="tx1"/>
            </w14:solidFill>
          </w14:textFill>
        </w:rPr>
      </w:pPr>
      <w:bookmarkStart w:id="9" w:name="_Toc27107"/>
    </w:p>
    <w:p>
      <w:pPr>
        <w:bidi w:val="0"/>
        <w:rPr>
          <w:rFonts w:hint="eastAsia"/>
          <w:color w:val="000000" w:themeColor="text1"/>
          <w14:textFill>
            <w14:solidFill>
              <w14:schemeClr w14:val="tx1"/>
            </w14:solidFill>
          </w14:textFill>
        </w:rPr>
      </w:pPr>
    </w:p>
    <w:bookmarkEnd w:id="9"/>
    <w:p>
      <w:pPr>
        <w:pageBreakBefore w:val="0"/>
        <w:tabs>
          <w:tab w:val="left" w:pos="975"/>
        </w:tabs>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Style w:val="8"/>
        <w:rPr>
          <w:rFonts w:hint="eastAsia" w:ascii="宋体" w:hAnsi="宋体" w:eastAsia="宋体" w:cs="宋体"/>
          <w:color w:val="000000" w:themeColor="text1"/>
          <w14:textFill>
            <w14:solidFill>
              <w14:schemeClr w14:val="tx1"/>
            </w14:solidFill>
          </w14:textFill>
        </w:rPr>
      </w:pPr>
    </w:p>
    <w:p>
      <w:pPr>
        <w:bidi w:val="0"/>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磋商服务费收取说明</w:t>
      </w:r>
    </w:p>
    <w:p>
      <w:pPr>
        <w:pageBreakBefore w:val="0"/>
        <w:numPr>
          <w:ilvl w:val="0"/>
          <w:numId w:val="0"/>
        </w:numPr>
        <w:kinsoku/>
        <w:wordWrap/>
        <w:overflowPunct/>
        <w:topLinePunct w:val="0"/>
        <w:bidi w:val="0"/>
        <w:spacing w:line="360" w:lineRule="auto"/>
        <w:ind w:left="567" w:lef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一</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磋商服务费可采用现金、汇款或转账方式交纳。(必须从公司公户转出)</w:t>
      </w:r>
    </w:p>
    <w:p>
      <w:pPr>
        <w:pageBreakBefore w:val="0"/>
        <w:numPr>
          <w:ilvl w:val="0"/>
          <w:numId w:val="0"/>
        </w:numPr>
        <w:kinsoku/>
        <w:wordWrap/>
        <w:overflowPunct/>
        <w:topLinePunct w:val="0"/>
        <w:bidi w:val="0"/>
        <w:spacing w:line="360" w:lineRule="auto"/>
        <w:ind w:left="560" w:left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请将款项交纳至以下指定的银行账户内：</w:t>
      </w:r>
    </w:p>
    <w:tbl>
      <w:tblPr>
        <w:tblStyle w:val="22"/>
        <w:tblW w:w="8740" w:type="dxa"/>
        <w:jc w:val="center"/>
        <w:tblLayout w:type="fixed"/>
        <w:tblCellMar>
          <w:top w:w="0" w:type="dxa"/>
          <w:left w:w="10" w:type="dxa"/>
          <w:bottom w:w="0" w:type="dxa"/>
          <w:right w:w="10" w:type="dxa"/>
        </w:tblCellMar>
      </w:tblPr>
      <w:tblGrid>
        <w:gridCol w:w="8740"/>
      </w:tblGrid>
      <w:tr>
        <w:tblPrEx>
          <w:tblCellMar>
            <w:top w:w="0" w:type="dxa"/>
            <w:left w:w="10" w:type="dxa"/>
            <w:bottom w:w="0" w:type="dxa"/>
            <w:right w:w="10" w:type="dxa"/>
          </w:tblCellMar>
        </w:tblPrEx>
        <w:trPr>
          <w:trHeight w:val="2379" w:hRule="atLeast"/>
          <w:jc w:val="center"/>
        </w:trPr>
        <w:tc>
          <w:tcPr>
            <w:tcW w:w="8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名称：陕西至诚项目管理集团有限公司</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开户行名称：中国建设银行股份有限公司西安高新技术产业开发区支行</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账号：61050192090000002152</w:t>
            </w:r>
          </w:p>
          <w:p>
            <w:pPr>
              <w:pageBreakBefore w:val="0"/>
              <w:kinsoku/>
              <w:wordWrap/>
              <w:overflowPunct/>
              <w:topLinePunct w:val="0"/>
              <w:bidi w:val="0"/>
              <w:spacing w:line="360" w:lineRule="auto"/>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备注：请注明费用信息“</w:t>
            </w:r>
            <w:r>
              <w:rPr>
                <w:rFonts w:hint="eastAsia" w:ascii="宋体" w:hAnsi="宋体" w:eastAsia="宋体" w:cs="宋体"/>
                <w:color w:val="000000" w:themeColor="text1"/>
                <w:sz w:val="24"/>
                <w:szCs w:val="24"/>
                <w:highlight w:val="none"/>
                <w:lang w:val="en-US" w:eastAsia="zh-CN"/>
                <w14:textFill>
                  <w14:solidFill>
                    <w14:schemeClr w14:val="tx1"/>
                  </w14:solidFill>
                </w14:textFill>
              </w:rPr>
              <w:t>SXZCZB2026-ZCCS-0728</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服务费</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bl>
    <w:p>
      <w:pPr>
        <w:bidi w:val="0"/>
        <w:rPr>
          <w:rFonts w:hint="eastAsia"/>
          <w:color w:val="000000" w:themeColor="text1"/>
          <w:sz w:val="20"/>
          <w:szCs w:val="21"/>
          <w:highlight w:val="none"/>
          <w14:textFill>
            <w14:solidFill>
              <w14:schemeClr w14:val="tx1"/>
            </w14:solidFill>
          </w14:textFill>
        </w:rPr>
      </w:pPr>
    </w:p>
    <w:p>
      <w:pPr>
        <w:bidi w:val="0"/>
        <w:rPr>
          <w:rFonts w:hint="eastAsia"/>
          <w:color w:val="000000" w:themeColor="text1"/>
          <w:highlight w:val="none"/>
          <w14:textFill>
            <w14:solidFill>
              <w14:schemeClr w14:val="tx1"/>
            </w14:solidFill>
          </w14:textFill>
        </w:rPr>
      </w:pPr>
    </w:p>
    <w:p>
      <w:pPr>
        <w:rPr>
          <w:rFonts w:hint="eastAsia"/>
          <w:color w:val="000000" w:themeColor="text1"/>
          <w14:textFill>
            <w14:solidFill>
              <w14:schemeClr w14:val="tx1"/>
            </w14:solidFill>
          </w14:textFill>
        </w:rPr>
        <w:sectPr>
          <w:footerReference r:id="rId6" w:type="first"/>
          <w:footerReference r:id="rId5" w:type="default"/>
          <w:endnotePr>
            <w:numFmt w:val="decimal"/>
          </w:endnotePr>
          <w:pgSz w:w="11907" w:h="16840"/>
          <w:pgMar w:top="1440" w:right="1576" w:bottom="1440" w:left="1576" w:header="907" w:footer="654" w:gutter="0"/>
          <w:pgNumType w:fmt="decimal" w:start="1"/>
          <w:cols w:space="720" w:num="1"/>
          <w:titlePg/>
        </w:sect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inline distT="0" distB="0" distL="114300" distR="114300">
                <wp:extent cx="5610225" cy="906145"/>
                <wp:effectExtent l="6350" t="6350" r="22225" b="20955"/>
                <wp:docPr id="1" name="矩形 1"/>
                <wp:cNvGraphicFramePr/>
                <a:graphic xmlns:a="http://schemas.openxmlformats.org/drawingml/2006/main">
                  <a:graphicData uri="http://schemas.microsoft.com/office/word/2010/wordprocessingShape">
                    <wps:wsp>
                      <wps:cNvSpPr/>
                      <wps:spPr>
                        <a:xfrm>
                          <a:off x="0" y="0"/>
                          <a:ext cx="5610225" cy="906145"/>
                        </a:xfrm>
                        <a:prstGeom prst="rect">
                          <a:avLst/>
                        </a:prstGeom>
                        <a:noFill/>
                        <a:ln w="12700" cap="flat" cmpd="sng" algn="ctr">
                          <a:solidFill>
                            <a:srgbClr val="000000"/>
                          </a:solidFill>
                          <a:prstDash val="solid"/>
                          <a:miter lim="800000"/>
                        </a:ln>
                        <a:effectLst/>
                      </wps:spPr>
                      <wps:txbx>
                        <w:txbxContent>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温馨提示：</w:t>
                            </w:r>
                            <w:r>
                              <w:rPr>
                                <w:rFonts w:hint="eastAsia" w:ascii="宋体" w:hAnsi="宋体" w:eastAsia="宋体" w:cs="宋体"/>
                                <w:b/>
                                <w:color w:val="auto"/>
                                <w:sz w:val="28"/>
                                <w:szCs w:val="28"/>
                                <w:highlight w:val="none"/>
                                <w:lang w:eastAsia="zh-CN"/>
                              </w:rPr>
                              <w:t>下载磋商</w:t>
                            </w:r>
                            <w:r>
                              <w:rPr>
                                <w:rFonts w:hint="eastAsia" w:ascii="宋体" w:hAnsi="宋体" w:eastAsia="宋体" w:cs="宋体"/>
                                <w:b/>
                                <w:color w:val="auto"/>
                                <w:sz w:val="28"/>
                                <w:szCs w:val="28"/>
                                <w:highlight w:val="none"/>
                              </w:rPr>
                              <w:t>文件后，请仔细阅读，特别注意粗体及划线部分，如有疑问请来电咨询。</w:t>
                            </w:r>
                          </w:p>
                          <w:p>
                            <w:pPr>
                              <w:jc w:val="left"/>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71.35pt;width:441.75pt;v-text-anchor:middle;" filled="f" stroked="t" coordsize="21600,21600" o:gfxdata="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ILKb2fVAAAABQEAAA8AAAAAAAAAAQAgAAAAIgAAAGRycy9kb3du&#10;cmV2LnhtbFBLAQIUABQAAAAIAIdO4kC9SLrNdAIAAOQEAAAOAAAAAAAAAAEAIAAAACQBAABkcnMv&#10;ZTJvRG9jLnhtbFBLBQYAAAAABgAGAFkBAAAKBgAAAAA=&#10;">
                <v:fill on="f" focussize="0,0"/>
                <v:stroke weight="1pt" color="#000000" miterlimit="8"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温馨提示：</w:t>
                      </w:r>
                      <w:r>
                        <w:rPr>
                          <w:rFonts w:hint="eastAsia" w:ascii="宋体" w:hAnsi="宋体" w:eastAsia="宋体" w:cs="宋体"/>
                          <w:b/>
                          <w:color w:val="auto"/>
                          <w:sz w:val="28"/>
                          <w:szCs w:val="28"/>
                          <w:highlight w:val="none"/>
                          <w:lang w:eastAsia="zh-CN"/>
                        </w:rPr>
                        <w:t>下载磋商</w:t>
                      </w:r>
                      <w:r>
                        <w:rPr>
                          <w:rFonts w:hint="eastAsia" w:ascii="宋体" w:hAnsi="宋体" w:eastAsia="宋体" w:cs="宋体"/>
                          <w:b/>
                          <w:color w:val="auto"/>
                          <w:sz w:val="28"/>
                          <w:szCs w:val="28"/>
                          <w:highlight w:val="none"/>
                        </w:rPr>
                        <w:t>文件后，请仔细阅读，特别注意粗体及划线部分，如有疑问请来电咨询。</w:t>
                      </w:r>
                    </w:p>
                    <w:p>
                      <w:pPr>
                        <w:jc w:val="left"/>
                      </w:pPr>
                    </w:p>
                  </w:txbxContent>
                </v:textbox>
                <w10:wrap type="none"/>
                <w10:anchorlock/>
              </v:rect>
            </w:pict>
          </mc:Fallback>
        </mc:AlternateContent>
      </w:r>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color w:val="000000" w:themeColor="text1"/>
          <w14:textFill>
            <w14:solidFill>
              <w14:schemeClr w14:val="tx1"/>
            </w14:solidFill>
          </w14:textFill>
        </w:rPr>
      </w:pPr>
      <w:bookmarkStart w:id="10" w:name="_Toc19091851"/>
      <w:bookmarkStart w:id="11" w:name="_Toc26519375"/>
      <w:bookmarkStart w:id="12" w:name="_Toc15746"/>
      <w:r>
        <w:rPr>
          <w:rFonts w:hint="eastAsia" w:ascii="宋体" w:hAnsi="宋体" w:eastAsia="宋体" w:cs="宋体"/>
          <w:color w:val="000000" w:themeColor="text1"/>
          <w14:textFill>
            <w14:solidFill>
              <w14:schemeClr w14:val="tx1"/>
            </w14:solidFill>
          </w14:textFill>
        </w:rPr>
        <w:t>第二部分  供应商须知</w:t>
      </w:r>
      <w:bookmarkEnd w:id="10"/>
      <w:bookmarkEnd w:id="11"/>
      <w:bookmarkEnd w:id="12"/>
    </w:p>
    <w:p>
      <w:pPr>
        <w:pageBreakBefore w:val="0"/>
        <w:kinsoku/>
        <w:wordWrap/>
        <w:overflowPunct/>
        <w:topLinePunct w:val="0"/>
        <w:bidi w:val="0"/>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3" w:name="_Toc5988"/>
      <w:r>
        <w:rPr>
          <w:rFonts w:hint="eastAsia" w:ascii="宋体" w:hAnsi="宋体" w:eastAsia="宋体" w:cs="宋体"/>
          <w:b/>
          <w:color w:val="000000" w:themeColor="text1"/>
          <w:sz w:val="28"/>
          <w:szCs w:val="28"/>
          <w14:textFill>
            <w14:solidFill>
              <w14:schemeClr w14:val="tx1"/>
            </w14:solidFill>
          </w14:textFill>
        </w:rPr>
        <w:t>一、供应商须知前附表</w:t>
      </w:r>
      <w:bookmarkEnd w:id="13"/>
    </w:p>
    <w:tbl>
      <w:tblPr>
        <w:tblStyle w:val="22"/>
        <w:tblW w:w="9457"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194"/>
        <w:gridCol w:w="6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14" w:name="_Toc5430"/>
            <w:bookmarkEnd w:id="14"/>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采购人</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安康职业技术学院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陕西至诚项目管理集团有限公司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监督</w:t>
            </w:r>
            <w:r>
              <w:rPr>
                <w:rFonts w:hint="eastAsia" w:ascii="宋体" w:hAnsi="宋体" w:eastAsia="宋体" w:cs="宋体"/>
                <w:color w:val="000000" w:themeColor="text1"/>
                <w:sz w:val="24"/>
                <w:szCs w:val="24"/>
                <w:highlight w:val="none"/>
                <w:lang w:eastAsia="zh-CN"/>
                <w14:textFill>
                  <w14:solidFill>
                    <w14:schemeClr w14:val="tx1"/>
                  </w14:solidFill>
                </w14:textFill>
              </w:rPr>
              <w:t>部门</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安康市财政局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w:t>
            </w:r>
            <w:r>
              <w:rPr>
                <w:rFonts w:hint="eastAsia" w:ascii="宋体" w:hAnsi="宋体" w:eastAsia="宋体" w:cs="宋体"/>
                <w:color w:val="000000" w:themeColor="text1"/>
                <w:sz w:val="20"/>
                <w:szCs w:val="21"/>
                <w:highlight w:val="none"/>
                <w14:textFill>
                  <w14:solidFill>
                    <w14:schemeClr w14:val="tx1"/>
                  </w14:solidFill>
                </w14:textFill>
              </w:rPr>
              <w:fldChar w:fldCharType="begin"/>
            </w:r>
            <w:r>
              <w:rPr>
                <w:rFonts w:hint="eastAsia" w:ascii="宋体" w:hAnsi="宋体" w:eastAsia="宋体" w:cs="宋体"/>
                <w:color w:val="000000" w:themeColor="text1"/>
                <w:sz w:val="20"/>
                <w:szCs w:val="21"/>
                <w:highlight w:val="none"/>
                <w14:textFill>
                  <w14:solidFill>
                    <w14:schemeClr w14:val="tx1"/>
                  </w14:solidFill>
                </w14:textFill>
              </w:rPr>
              <w:instrText xml:space="preserve"> HYPERLINK "http://baike.baidu.com/view/8707.htm" \t "_blank" </w:instrText>
            </w:r>
            <w:r>
              <w:rPr>
                <w:rFonts w:hint="eastAsia" w:ascii="宋体" w:hAnsi="宋体" w:eastAsia="宋体" w:cs="宋体"/>
                <w:color w:val="000000" w:themeColor="text1"/>
                <w:sz w:val="20"/>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并且符合</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文件规定资格条件和参加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竞争的法人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6430" w:type="dxa"/>
            <w:vAlign w:val="center"/>
          </w:tcPr>
          <w:p>
            <w:pPr>
              <w:keepNext w:val="0"/>
              <w:keepLines w:val="0"/>
              <w:widowControl/>
              <w:suppressLineNumbers w:val="0"/>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安康职业技术学院6号7号8号学生公寓楼提升改造项目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SXZCZB2026-ZCCS-0728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7"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2194"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项目预算</w:t>
            </w:r>
          </w:p>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最高限价</w:t>
            </w:r>
          </w:p>
        </w:tc>
        <w:tc>
          <w:tcPr>
            <w:tcW w:w="6430" w:type="dxa"/>
            <w:shd w:val="clear" w:color="auto" w:fill="auto"/>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11483500</w:t>
            </w:r>
            <w:r>
              <w:rPr>
                <w:rFonts w:hint="eastAsia" w:ascii="宋体" w:hAnsi="宋体" w:eastAsia="宋体" w:cs="宋体"/>
                <w:color w:val="000000" w:themeColor="text1"/>
                <w:sz w:val="24"/>
                <w:szCs w:val="24"/>
                <w:highlight w:val="none"/>
                <w14:textFill>
                  <w14:solidFill>
                    <w14:schemeClr w14:val="tx1"/>
                  </w14:solidFill>
                </w14:textFill>
              </w:rPr>
              <w:t>.00元</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bookmarkStart w:id="15" w:name="OLE_LINK6"/>
            <w:r>
              <w:rPr>
                <w:rFonts w:hint="eastAsia" w:ascii="宋体" w:hAnsi="宋体" w:eastAsia="宋体" w:cs="宋体"/>
                <w:color w:val="000000" w:themeColor="text1"/>
                <w:sz w:val="24"/>
                <w:szCs w:val="24"/>
                <w:highlight w:val="none"/>
                <w:lang w:val="en-US" w:eastAsia="zh-CN"/>
                <w14:textFill>
                  <w14:solidFill>
                    <w14:schemeClr w14:val="tx1"/>
                  </w14:solidFill>
                </w14:textFill>
              </w:rPr>
              <w:t>11483434.59</w:t>
            </w:r>
            <w:bookmarkEnd w:id="15"/>
            <w:r>
              <w:rPr>
                <w:rFonts w:hint="eastAsia" w:ascii="宋体" w:hAnsi="宋体" w:eastAsia="宋体" w:cs="宋体"/>
                <w:color w:val="000000" w:themeColor="text1"/>
                <w:sz w:val="24"/>
                <w:szCs w:val="24"/>
                <w:highlight w:val="none"/>
                <w14:textFill>
                  <w14:solidFill>
                    <w14:schemeClr w14:val="tx1"/>
                  </w14:solidFill>
                </w14:textFill>
              </w:rPr>
              <w:t>元</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kern w:val="1"/>
                <w:sz w:val="24"/>
                <w:szCs w:val="24"/>
                <w:highlight w:val="none"/>
                <w:lang w:val="en-US" w:eastAsia="zh-CN" w:bidi="ar-SA"/>
                <w14:textFill>
                  <w14:solidFill>
                    <w14:schemeClr w14:val="tx1"/>
                  </w14:solidFill>
                </w14:textFill>
              </w:rPr>
              <w:t>供应商报价超出项目最高限价，视为不实质性响应磋商文件，按无效投标处理。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招标范围</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本次采购文件工程量清单等全部内容。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是否允许联合体磋商</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投标有效期</w:t>
            </w:r>
          </w:p>
        </w:tc>
        <w:tc>
          <w:tcPr>
            <w:tcW w:w="6430" w:type="dxa"/>
            <w:vAlign w:val="center"/>
          </w:tcPr>
          <w:p>
            <w:pPr>
              <w:pStyle w:val="42"/>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自磋商响应文件递交之日起不少于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90</w:t>
            </w:r>
            <w:r>
              <w:rPr>
                <w:rFonts w:hint="eastAsia" w:ascii="宋体" w:hAnsi="宋体" w:eastAsia="宋体" w:cs="宋体"/>
                <w:color w:val="000000" w:themeColor="text1"/>
                <w:sz w:val="24"/>
                <w:szCs w:val="24"/>
                <w:highlight w:val="none"/>
                <w:lang w:eastAsia="zh-CN"/>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p>
        </w:tc>
        <w:tc>
          <w:tcPr>
            <w:tcW w:w="2194" w:type="dxa"/>
            <w:vAlign w:val="center"/>
          </w:tcPr>
          <w:p>
            <w:pPr>
              <w:pageBreakBefore w:val="0"/>
              <w:kinsoku/>
              <w:overflowPunct/>
              <w:topLinePunct w:val="0"/>
              <w:bidi w:val="0"/>
              <w:spacing w:line="360" w:lineRule="auto"/>
              <w:jc w:val="both"/>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工期：合同签订后120个日历日内施工完毕交付验收</w:t>
            </w:r>
          </w:p>
          <w:p>
            <w:pPr>
              <w:pageBreakBefore w:val="0"/>
              <w:kinsoku/>
              <w:overflowPunct/>
              <w:topLinePunct w:val="0"/>
              <w:bidi w:val="0"/>
              <w:spacing w:line="360" w:lineRule="auto"/>
              <w:jc w:val="both"/>
              <w:textAlignment w:val="auto"/>
              <w:rPr>
                <w:rFonts w:hint="default"/>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质保期：防水工程质保期5年，其余工程2年，质保期自竣工终验合格之日起算。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现场勘查、标前答疑会</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不组织</w:t>
            </w:r>
            <w:r>
              <w:rPr>
                <w:rFonts w:hint="eastAsia" w:ascii="宋体" w:hAnsi="宋体" w:eastAsia="宋体" w:cs="宋体"/>
                <w:color w:val="000000" w:themeColor="text1"/>
                <w:sz w:val="24"/>
                <w:szCs w:val="24"/>
                <w:highlight w:val="none"/>
                <w:lang w:eastAsia="zh-CN"/>
                <w14:textFill>
                  <w14:solidFill>
                    <w14:schemeClr w14:val="tx1"/>
                  </w14:solidFill>
                </w14:textFill>
              </w:rPr>
              <w:t>，如有需要，可自行踏勘。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提出质疑的时间</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若对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有任何疑问要求澄清，或认为有必要与</w:t>
            </w:r>
            <w:r>
              <w:rPr>
                <w:rFonts w:hint="eastAsia" w:ascii="宋体" w:hAnsi="宋体" w:eastAsia="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进行交流的，在获取</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公告期限届满之日起7个工作日内提出。</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以书面形式予以答复，在此之后提出的无效，因此带来的一切不利后果由</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构成</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的其他文件</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的澄清、修改书及有关补充通知为</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的有效组成部分。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p>
        </w:tc>
        <w:tc>
          <w:tcPr>
            <w:tcW w:w="2194" w:type="dxa"/>
            <w:vAlign w:val="center"/>
          </w:tcPr>
          <w:p>
            <w:pPr>
              <w:pStyle w:val="42"/>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w:t>
            </w:r>
            <w:r>
              <w:rPr>
                <w:rFonts w:hint="eastAsia" w:ascii="宋体" w:hAnsi="宋体" w:eastAsia="宋体" w:cs="宋体"/>
                <w:color w:val="000000" w:themeColor="text1"/>
                <w:sz w:val="24"/>
                <w:szCs w:val="24"/>
                <w:highlight w:val="none"/>
                <w14:textFill>
                  <w14:solidFill>
                    <w14:schemeClr w14:val="tx1"/>
                  </w14:solidFill>
                </w14:textFill>
              </w:rPr>
              <w:t>截止时间及开标时间和地点</w:t>
            </w:r>
          </w:p>
        </w:tc>
        <w:tc>
          <w:tcPr>
            <w:tcW w:w="6430" w:type="dxa"/>
            <w:vAlign w:val="center"/>
          </w:tcPr>
          <w:p>
            <w:pPr>
              <w:pStyle w:val="42"/>
              <w:pageBreakBefore w:val="0"/>
              <w:numPr>
                <w:ilvl w:val="0"/>
                <w:numId w:val="0"/>
              </w:numPr>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磋商响应文件截止时间：202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lang w:eastAsia="zh-CN"/>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eastAsia="zh-CN"/>
                <w14:textFill>
                  <w14:solidFill>
                    <w14:schemeClr w14:val="tx1"/>
                  </w14:solidFill>
                </w14:textFill>
              </w:rPr>
              <w:t>0时</w:t>
            </w:r>
          </w:p>
          <w:p>
            <w:pPr>
              <w:pStyle w:val="42"/>
              <w:pageBreakBefore w:val="0"/>
              <w:numPr>
                <w:ilvl w:val="0"/>
                <w:numId w:val="0"/>
              </w:numPr>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开标时间：202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lang w:eastAsia="zh-CN"/>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eastAsia="zh-CN"/>
                <w14:textFill>
                  <w14:solidFill>
                    <w14:schemeClr w14:val="tx1"/>
                  </w14:solidFill>
                </w14:textFill>
              </w:rPr>
              <w:t>0时</w:t>
            </w:r>
          </w:p>
          <w:p>
            <w:pPr>
              <w:pStyle w:val="42"/>
              <w:pageBreakBefore w:val="0"/>
              <w:numPr>
                <w:ilvl w:val="0"/>
                <w:numId w:val="0"/>
              </w:numPr>
              <w:kinsoku/>
              <w:overflowPunct/>
              <w:topLinePunct w:val="0"/>
              <w:bidi w:val="0"/>
              <w:spacing w:line="360" w:lineRule="auto"/>
              <w:jc w:val="both"/>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磋商/开标地点：安康市公共资源交易平台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.不见面开标大厅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33"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p>
        </w:tc>
        <w:tc>
          <w:tcPr>
            <w:tcW w:w="2194"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评标办法</w:t>
            </w:r>
          </w:p>
        </w:tc>
        <w:tc>
          <w:tcPr>
            <w:tcW w:w="6430" w:type="dxa"/>
            <w:shd w:val="clear" w:color="auto" w:fill="auto"/>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w:t>
            </w:r>
            <w:r>
              <w:rPr>
                <w:rFonts w:hint="eastAsia" w:ascii="宋体" w:hAnsi="宋体" w:eastAsia="宋体" w:cs="宋体"/>
                <w:bCs/>
                <w:color w:val="000000" w:themeColor="text1"/>
                <w:sz w:val="24"/>
                <w:szCs w:val="24"/>
                <w:highlight w:val="none"/>
                <w:lang w:eastAsia="zh-CN"/>
                <w14:textFill>
                  <w14:solidFill>
                    <w14:schemeClr w14:val="tx1"/>
                  </w14:solidFill>
                </w14:textFill>
              </w:rPr>
              <w:t>项目</w:t>
            </w:r>
            <w:r>
              <w:rPr>
                <w:rFonts w:hint="eastAsia" w:ascii="宋体" w:hAnsi="宋体" w:eastAsia="宋体" w:cs="宋体"/>
                <w:bCs/>
                <w:color w:val="000000" w:themeColor="text1"/>
                <w:sz w:val="24"/>
                <w:szCs w:val="24"/>
                <w:highlight w:val="none"/>
                <w14:textFill>
                  <w14:solidFill>
                    <w14:schemeClr w14:val="tx1"/>
                  </w14:solidFill>
                </w14:textFill>
              </w:rPr>
              <w:t>采用综合评分法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投标担保</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备选投标方案</w:t>
            </w:r>
          </w:p>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和报价</w:t>
            </w:r>
          </w:p>
        </w:tc>
        <w:tc>
          <w:tcPr>
            <w:tcW w:w="6430" w:type="dxa"/>
            <w:vAlign w:val="center"/>
          </w:tcPr>
          <w:p>
            <w:pPr>
              <w:pageBreakBefore w:val="0"/>
              <w:tabs>
                <w:tab w:val="left" w:pos="7013"/>
              </w:tabs>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不接受备选投标方案和多个报价。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盖章签字</w:t>
            </w:r>
          </w:p>
        </w:tc>
        <w:tc>
          <w:tcPr>
            <w:tcW w:w="6430" w:type="dxa"/>
            <w:vAlign w:val="center"/>
          </w:tcPr>
          <w:p>
            <w:pPr>
              <w:pageBreakBefore w:val="0"/>
              <w:tabs>
                <w:tab w:val="left" w:pos="7013"/>
              </w:tabs>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必须按照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的规定和要求盖章、签字。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p>
        </w:tc>
        <w:tc>
          <w:tcPr>
            <w:tcW w:w="2194" w:type="dxa"/>
            <w:vAlign w:val="center"/>
          </w:tcPr>
          <w:p>
            <w:pPr>
              <w:pageBreakBefore w:val="0"/>
              <w:kinsoku/>
              <w:overflowPunct/>
              <w:topLinePunct w:val="0"/>
              <w:bidi w:val="0"/>
              <w:spacing w:line="360" w:lineRule="auto"/>
              <w:jc w:val="left"/>
              <w:textAlignment w:val="auto"/>
              <w:rPr>
                <w:rFonts w:hint="eastAsia" w:ascii="宋体" w:hAnsi="宋体" w:eastAsia="宋体" w:cs="宋体"/>
                <w:color w:val="000000" w:themeColor="text1"/>
                <w:spacing w:val="-3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因项目存档需要，投标文件须准备纸制版文件</w:t>
            </w:r>
          </w:p>
        </w:tc>
        <w:tc>
          <w:tcPr>
            <w:tcW w:w="6430" w:type="dxa"/>
            <w:vAlign w:val="center"/>
          </w:tcPr>
          <w:p>
            <w:pPr>
              <w:pageBreakBefore w:val="0"/>
              <w:kinsoku/>
              <w:overflowPunct/>
              <w:topLinePunct w:val="0"/>
              <w:bidi w:val="0"/>
              <w:spacing w:line="360" w:lineRule="auto"/>
              <w:jc w:val="both"/>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投标人在开标结束后应密封提交纸质投标文件至招标代理公司</w:t>
            </w:r>
          </w:p>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w:t>
            </w:r>
            <w:r>
              <w:rPr>
                <w:rFonts w:hint="eastAsia" w:ascii="宋体" w:hAnsi="宋体" w:eastAsia="宋体" w:cs="宋体"/>
                <w:color w:val="000000" w:themeColor="text1"/>
                <w:sz w:val="24"/>
                <w:szCs w:val="24"/>
                <w:highlight w:val="none"/>
                <w14:textFill>
                  <w14:solidFill>
                    <w14:schemeClr w14:val="tx1"/>
                  </w14:solidFill>
                </w14:textFill>
              </w:rPr>
              <w:t>一律采用书籍（胶装）方式装订。</w:t>
            </w:r>
          </w:p>
          <w:p>
            <w:pPr>
              <w:pageBreakBefore w:val="0"/>
              <w:kinsoku/>
              <w:overflowPunct/>
              <w:topLinePunct w:val="0"/>
              <w:bidi w:val="0"/>
              <w:spacing w:line="360" w:lineRule="auto"/>
              <w:jc w:val="both"/>
              <w:textAlignment w:val="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w:t>
            </w:r>
            <w:r>
              <w:rPr>
                <w:rFonts w:hint="eastAsia" w:ascii="宋体" w:hAnsi="宋体" w:eastAsia="宋体" w:cs="宋体"/>
                <w:color w:val="000000" w:themeColor="text1"/>
                <w:sz w:val="24"/>
                <w:szCs w:val="24"/>
                <w:highlight w:val="none"/>
                <w14:textFill>
                  <w14:solidFill>
                    <w14:schemeClr w14:val="tx1"/>
                  </w14:solidFill>
                </w14:textFill>
              </w:rPr>
              <w:t>共</w:t>
            </w:r>
            <w:r>
              <w:rPr>
                <w:rFonts w:hint="eastAsia" w:ascii="宋体" w:hAnsi="宋体" w:eastAsia="宋体" w:cs="宋体"/>
                <w:color w:val="000000" w:themeColor="text1"/>
                <w:sz w:val="24"/>
                <w:szCs w:val="24"/>
                <w:highlight w:val="none"/>
                <w:lang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份，其中正本一份，副本</w:t>
            </w:r>
            <w:r>
              <w:rPr>
                <w:rFonts w:hint="eastAsia" w:ascii="宋体" w:hAnsi="宋体" w:eastAsia="宋体" w:cs="宋体"/>
                <w:color w:val="000000" w:themeColor="text1"/>
                <w:sz w:val="24"/>
                <w:szCs w:val="24"/>
                <w:highlight w:val="none"/>
                <w:lang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份，电子文件（</w:t>
            </w:r>
            <w:r>
              <w:rPr>
                <w:rFonts w:hint="eastAsia" w:ascii="宋体" w:hAnsi="宋体" w:eastAsia="宋体" w:cs="宋体"/>
                <w:color w:val="000000" w:themeColor="text1"/>
                <w:sz w:val="24"/>
                <w:szCs w:val="21"/>
                <w:highlight w:val="none"/>
                <w14:textFill>
                  <w14:solidFill>
                    <w14:schemeClr w14:val="tx1"/>
                  </w14:solidFill>
                </w14:textFill>
              </w:rPr>
              <w:t>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U盘或移动硬盘，谢绝光盘）一份。正、副本分别各自装订成册</w:t>
            </w:r>
            <w:r>
              <w:rPr>
                <w:rFonts w:hint="eastAsia" w:ascii="宋体" w:hAnsi="宋体" w:eastAsia="宋体" w:cs="宋体"/>
                <w:color w:val="000000" w:themeColor="text1"/>
                <w:sz w:val="24"/>
                <w:szCs w:val="24"/>
                <w:highlight w:val="none"/>
                <w:lang w:eastAsia="zh-CN"/>
                <w14:textFill>
                  <w14:solidFill>
                    <w14:schemeClr w14:val="tx1"/>
                  </w14:solidFill>
                </w14:textFill>
              </w:rPr>
              <w:t>、单独</w:t>
            </w:r>
            <w:r>
              <w:rPr>
                <w:rFonts w:hint="eastAsia" w:ascii="宋体" w:hAnsi="宋体" w:eastAsia="宋体" w:cs="宋体"/>
                <w:color w:val="000000" w:themeColor="text1"/>
                <w:sz w:val="24"/>
                <w:szCs w:val="24"/>
                <w:highlight w:val="none"/>
                <w14:textFill>
                  <w14:solidFill>
                    <w14:schemeClr w14:val="tx1"/>
                  </w14:solidFill>
                </w14:textFill>
              </w:rPr>
              <w:t>密封。正本须按规定和要求进行签字(或盖章），并逐页加盖公章（鲜章），副本可以是正本的复印件，</w:t>
            </w:r>
            <w:r>
              <w:rPr>
                <w:rFonts w:hint="eastAsia" w:ascii="宋体" w:hAnsi="宋体" w:eastAsia="宋体" w:cs="宋体"/>
                <w:color w:val="000000" w:themeColor="text1"/>
                <w:sz w:val="24"/>
                <w:szCs w:val="21"/>
                <w:highlight w:val="none"/>
                <w14:textFill>
                  <w14:solidFill>
                    <w14:schemeClr w14:val="tx1"/>
                  </w14:solidFill>
                </w14:textFill>
              </w:rPr>
              <w:t>电子文件与正本保持一致（电子文件为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WORD版格式），具有同等法律效力。</w:t>
            </w:r>
            <w:r>
              <w:rPr>
                <w:rFonts w:hint="eastAsia" w:ascii="宋体" w:hAnsi="宋体" w:eastAsia="宋体" w:cs="宋体"/>
                <w:color w:val="000000" w:themeColor="text1"/>
                <w:sz w:val="24"/>
                <w:szCs w:val="24"/>
                <w:highlight w:val="none"/>
                <w14:textFill>
                  <w14:solidFill>
                    <w14:schemeClr w14:val="tx1"/>
                  </w14:solidFill>
                </w14:textFill>
              </w:rPr>
              <w:t>电子版放置“正本”密封袋内。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21</w:t>
            </w:r>
          </w:p>
        </w:tc>
        <w:tc>
          <w:tcPr>
            <w:tcW w:w="2194" w:type="dxa"/>
            <w:vAlign w:val="center"/>
          </w:tcPr>
          <w:p>
            <w:pPr>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评标办法及标准</w:t>
            </w:r>
          </w:p>
        </w:tc>
        <w:tc>
          <w:tcPr>
            <w:tcW w:w="6430" w:type="dxa"/>
            <w:vAlign w:val="center"/>
          </w:tcPr>
          <w:p>
            <w:pPr>
              <w:pStyle w:val="42"/>
              <w:pageBreakBefore w:val="0"/>
              <w:kinsoku/>
              <w:overflowPunct/>
              <w:topLinePunct w:val="0"/>
              <w:bidi w:val="0"/>
              <w:spacing w:line="360" w:lineRule="auto"/>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第二部分。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bookmarkStart w:id="16" w:name="_Toc27693"/>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p>
        </w:tc>
        <w:tc>
          <w:tcPr>
            <w:tcW w:w="2194"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是否为专门面向</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中小</w:t>
            </w:r>
            <w:r>
              <w:rPr>
                <w:rFonts w:hint="eastAsia" w:ascii="宋体" w:hAnsi="宋体" w:eastAsia="宋体" w:cs="宋体"/>
                <w:b/>
                <w:bCs/>
                <w:color w:val="000000" w:themeColor="text1"/>
                <w:sz w:val="21"/>
                <w:szCs w:val="21"/>
                <w:highlight w:val="none"/>
                <w:lang w:eastAsia="zh-CN"/>
                <w14:textFill>
                  <w14:solidFill>
                    <w14:schemeClr w14:val="tx1"/>
                  </w14:solidFill>
                </w14:textFill>
              </w:rPr>
              <w:t>企业采购</w:t>
            </w:r>
          </w:p>
        </w:tc>
        <w:tc>
          <w:tcPr>
            <w:tcW w:w="6430"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2194"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关于中小企业 </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划分标准</w:t>
            </w:r>
          </w:p>
        </w:tc>
        <w:tc>
          <w:tcPr>
            <w:tcW w:w="6430"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根据《工业和信息化部、国家统计局、国家发展和改革委员会、财政部关于印发中小企业划型标准规定的通知》（工信部联企业〔2011〕 300 号）对中小企业的划分标准的规定，本项目采购标的对应的所属行业划分为：</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建筑业</w:t>
            </w:r>
            <w:r>
              <w:rPr>
                <w:rFonts w:hint="default" w:ascii="宋体" w:hAnsi="宋体" w:eastAsia="宋体" w:cs="宋体"/>
                <w:color w:val="000000" w:themeColor="text1"/>
                <w:sz w:val="24"/>
                <w:szCs w:val="24"/>
                <w:highlight w:val="non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vAlign w:val="center"/>
          </w:tcPr>
          <w:p>
            <w:pPr>
              <w:pageBreakBefore w:val="0"/>
              <w:kinsoku/>
              <w:overflowPunct/>
              <w:topLinePunct w:val="0"/>
              <w:bidi w:val="0"/>
              <w:spacing w:line="360" w:lineRule="auto"/>
              <w:jc w:val="both"/>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24</w:t>
            </w:r>
          </w:p>
        </w:tc>
        <w:tc>
          <w:tcPr>
            <w:tcW w:w="2194"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特别提醒</w:t>
            </w:r>
          </w:p>
        </w:tc>
        <w:tc>
          <w:tcPr>
            <w:tcW w:w="6430" w:type="dxa"/>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各供应商须自行在网上下载磋商文件、缴纳磋商保证金、递交磋商文件、在线参与磋商过程，并登录全国公共资源交易平台（陕西省</w:t>
            </w:r>
            <w:r>
              <w:rPr>
                <w:rFonts w:hint="eastAsia" w:ascii="宋体" w:hAnsi="宋体" w:eastAsia="宋体" w:cs="宋体"/>
                <w:color w:val="000000" w:themeColor="text1"/>
                <w:sz w:val="24"/>
                <w:szCs w:val="24"/>
                <w:lang w:val="en-US" w:eastAsia="zh-CN"/>
                <w14:textFill>
                  <w14:solidFill>
                    <w14:schemeClr w14:val="tx1"/>
                  </w14:solidFill>
                </w14:textFill>
              </w:rPr>
              <w:t>安康市</w:t>
            </w:r>
            <w:r>
              <w:rPr>
                <w:rFonts w:hint="default"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安康市</w:t>
            </w:r>
            <w:r>
              <w:rPr>
                <w:rFonts w:hint="default" w:ascii="宋体" w:hAnsi="宋体" w:eastAsia="宋体" w:cs="宋体"/>
                <w:color w:val="000000" w:themeColor="text1"/>
                <w:sz w:val="24"/>
                <w:szCs w:val="24"/>
                <w:lang w:val="en-US" w:eastAsia="zh-CN"/>
                <w14:textFill>
                  <w14:solidFill>
                    <w14:schemeClr w14:val="tx1"/>
                  </w14:solidFill>
                </w14:textFill>
              </w:rPr>
              <w:t>公共资源交易中心-服务指南-下载专区-下载“政府采购电子交易-不见面系统操作手册-投标人”，并下载政府采购电子标书制作工具，按照流程制作电子标书并在规定的投标截止时前上传电子投标文件；建议使用IE11浏览器或360极速浏览器兼容模式，同时必须安装陕西省公共资源CA驱动，供应商须自备配音耳麦，确保磋商及报价环节能顺利进行；为了保证远程不见面开标顺利进行，投标人需使用配备相关设备的电脑提前一小时登录网络开标大厅签到。因投标人自身设施故障或自身原因导致无法完成投标的，由投标人自行承担后果。</w:t>
            </w:r>
          </w:p>
        </w:tc>
      </w:tr>
    </w:tbl>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二、项目说明</w:t>
      </w:r>
      <w:bookmarkEnd w:id="16"/>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本项目说明详见供应商须知前附表。</w:t>
      </w:r>
      <w:bookmarkStart w:id="17" w:name="_Toc458617732"/>
      <w:bookmarkEnd w:id="17"/>
      <w:bookmarkStart w:id="18" w:name="_Toc458617783"/>
      <w:bookmarkEnd w:id="18"/>
      <w:bookmarkStart w:id="19" w:name="_Toc458617455"/>
      <w:bookmarkEnd w:id="19"/>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本项目按照《</w:t>
      </w:r>
      <w:r>
        <w:rPr>
          <w:rFonts w:hint="eastAsia" w:ascii="宋体" w:hAnsi="宋体" w:eastAsia="宋体" w:cs="宋体"/>
          <w:color w:val="000000" w:themeColor="text1"/>
          <w:sz w:val="24"/>
          <w:szCs w:val="24"/>
          <w:lang w:eastAsia="zh-CN"/>
          <w14:textFill>
            <w14:solidFill>
              <w14:schemeClr w14:val="tx1"/>
            </w14:solidFill>
          </w14:textFill>
        </w:rPr>
        <w:t>中华人民共和国政府采购法</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《政府采购竞争性磋商采购方式管理暂行办法》（财库[2014]214号）等</w:t>
      </w:r>
      <w:r>
        <w:rPr>
          <w:rFonts w:hint="eastAsia" w:ascii="宋体" w:hAnsi="宋体" w:eastAsia="宋体" w:cs="宋体"/>
          <w:color w:val="000000" w:themeColor="text1"/>
          <w:sz w:val="24"/>
          <w:szCs w:val="24"/>
          <w14:textFill>
            <w14:solidFill>
              <w14:schemeClr w14:val="tx1"/>
            </w14:solidFill>
          </w14:textFill>
        </w:rPr>
        <w:t>有关法律、行政法规和部门规章，通过竞争性磋商方式择优选定成交供应商。</w:t>
      </w:r>
    </w:p>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20" w:name="_Toc458617733"/>
      <w:bookmarkEnd w:id="20"/>
      <w:bookmarkStart w:id="21" w:name="_Toc458617456"/>
      <w:bookmarkEnd w:id="21"/>
      <w:bookmarkStart w:id="22" w:name="_Toc21554"/>
      <w:bookmarkEnd w:id="22"/>
      <w:bookmarkStart w:id="23" w:name="_Toc458617784"/>
      <w:bookmarkEnd w:id="23"/>
      <w:bookmarkStart w:id="24" w:name="_Toc25718"/>
      <w:r>
        <w:rPr>
          <w:rFonts w:hint="eastAsia" w:ascii="宋体" w:hAnsi="宋体" w:eastAsia="宋体" w:cs="宋体"/>
          <w:b/>
          <w:bCs/>
          <w:color w:val="000000" w:themeColor="text1"/>
          <w:sz w:val="24"/>
          <w:szCs w:val="24"/>
          <w14:textFill>
            <w14:solidFill>
              <w14:schemeClr w14:val="tx1"/>
            </w14:solidFill>
          </w14:textFill>
        </w:rPr>
        <w:t>三、磋商文件</w:t>
      </w:r>
      <w:bookmarkEnd w:id="24"/>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磋商文件</w:t>
      </w:r>
      <w:r>
        <w:rPr>
          <w:rFonts w:hint="eastAsia" w:ascii="宋体" w:hAnsi="宋体" w:eastAsia="宋体" w:cs="宋体"/>
          <w:color w:val="000000" w:themeColor="text1"/>
          <w:sz w:val="24"/>
          <w:szCs w:val="24"/>
          <w:lang w:eastAsia="zh-CN"/>
          <w14:textFill>
            <w14:solidFill>
              <w14:schemeClr w14:val="tx1"/>
            </w14:solidFill>
          </w14:textFill>
        </w:rPr>
        <w:t>下载</w:t>
      </w:r>
      <w:r>
        <w:rPr>
          <w:rFonts w:hint="eastAsia" w:ascii="宋体" w:hAnsi="宋体" w:eastAsia="宋体" w:cs="宋体"/>
          <w:color w:val="000000" w:themeColor="text1"/>
          <w:sz w:val="24"/>
          <w:szCs w:val="24"/>
          <w14:textFill>
            <w14:solidFill>
              <w14:schemeClr w14:val="tx1"/>
            </w14:solidFill>
          </w14:textFill>
        </w:rPr>
        <w:t>：供应商须经过正常渠道</w:t>
      </w:r>
      <w:r>
        <w:rPr>
          <w:rFonts w:hint="eastAsia" w:ascii="宋体" w:hAnsi="宋体" w:eastAsia="宋体" w:cs="宋体"/>
          <w:color w:val="000000" w:themeColor="text1"/>
          <w:sz w:val="24"/>
          <w:szCs w:val="24"/>
          <w:lang w:eastAsia="zh-CN"/>
          <w14:textFill>
            <w14:solidFill>
              <w14:schemeClr w14:val="tx1"/>
            </w14:solidFill>
          </w14:textFill>
        </w:rPr>
        <w:t>下载</w:t>
      </w:r>
      <w:r>
        <w:rPr>
          <w:rFonts w:hint="eastAsia" w:ascii="宋体" w:hAnsi="宋体" w:eastAsia="宋体" w:cs="宋体"/>
          <w:color w:val="000000" w:themeColor="text1"/>
          <w:sz w:val="24"/>
          <w:szCs w:val="24"/>
          <w14:textFill>
            <w14:solidFill>
              <w14:schemeClr w14:val="tx1"/>
            </w14:solidFill>
          </w14:textFill>
        </w:rPr>
        <w:t>磋商文件，且供应商名称与登记领取磋商文件的单位名称一致，否则将作为无效响应处理。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磋商文件的组成：包括目录中所列的前五部分。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供应商应认真审阅和充分理解磋商文件所有的事项、格式、条款和规范要求等，在磋商响应文件中对磋商文件的各方面都做出实质性的响应，按照磋商文件的要求提交全部资料。</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竞争性磋商文件的澄清或修改：</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4-1提交磋商响应文件截止时间前，</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、代理机构可以以书面形式对竞争性磋商文件进行必要的澄清或修改，其内容均为竞争性磋商文件的组成部分，并对</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及供应商起约束作用。澄清或修改的内容可能影响响应文件编制的，都将于提交磋商响应文件截止时间5日前以书面形式发送给所有参加磋商的供应商；不足5日的，</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、代理机构顺延递交竞争性磋商响应文件的截止时间。</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4-2供应商对竞争性磋商文件如有疑问要求澄清，或认为有必要与</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进行技术交流，应于提交磋商响应文件截止时间2日前以书面形式通知代理机构，代理机构以书面形式予以答复。在此之后提出的无效,因此带来的一切不利后果由供应商自负。</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4-4在磋商截止时间前根据采购工作进展实际情况，</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可酌情延长递交竞争性磋商响应文件的截止时间，若延长将另行以书面形式通知各供应商或在原信息发布媒体上发布变更公告。代理机构和供应商的权利和义务将受到新的截止期的约束。</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供应商必须从代理机构</w:t>
      </w:r>
      <w:r>
        <w:rPr>
          <w:rFonts w:hint="eastAsia" w:ascii="宋体" w:hAnsi="宋体" w:eastAsia="宋体" w:cs="宋体"/>
          <w:color w:val="000000" w:themeColor="text1"/>
          <w:sz w:val="24"/>
          <w:szCs w:val="24"/>
          <w:lang w:eastAsia="zh-CN"/>
          <w14:textFill>
            <w14:solidFill>
              <w14:schemeClr w14:val="tx1"/>
            </w14:solidFill>
          </w14:textFill>
        </w:rPr>
        <w:t>下载</w:t>
      </w:r>
      <w:r>
        <w:rPr>
          <w:rFonts w:hint="eastAsia" w:ascii="宋体" w:hAnsi="宋体" w:eastAsia="宋体" w:cs="宋体"/>
          <w:color w:val="000000" w:themeColor="text1"/>
          <w:sz w:val="24"/>
          <w:szCs w:val="24"/>
          <w14:textFill>
            <w14:solidFill>
              <w14:schemeClr w14:val="tx1"/>
            </w14:solidFill>
          </w14:textFill>
        </w:rPr>
        <w:t>竞争性磋商文件，供应商自行转让或复制竞争性磋商文件视为无效。竞争性磋商文件售后不退，仅作为本次磋商使用。</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竞争性磋商文件的解释权归代理机构，如发现竞争性磋商文件内容与现行法律法规不相符的情况，以现行法律法规为准。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现场勘查、标前答疑会：见须知前附表。</w:t>
      </w:r>
    </w:p>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25" w:name="_Toc30706"/>
      <w:bookmarkEnd w:id="25"/>
      <w:bookmarkStart w:id="26" w:name="_Toc32223"/>
      <w:r>
        <w:rPr>
          <w:rFonts w:hint="eastAsia" w:ascii="宋体" w:hAnsi="宋体" w:eastAsia="宋体" w:cs="宋体"/>
          <w:b/>
          <w:bCs/>
          <w:color w:val="000000" w:themeColor="text1"/>
          <w:sz w:val="24"/>
          <w:szCs w:val="24"/>
          <w14:textFill>
            <w14:solidFill>
              <w14:schemeClr w14:val="tx1"/>
            </w14:solidFill>
          </w14:textFill>
        </w:rPr>
        <w:t>四、磋商响应文件</w:t>
      </w:r>
      <w:bookmarkEnd w:id="26"/>
    </w:p>
    <w:p>
      <w:pPr>
        <w:pageBreakBefore w:val="0"/>
        <w:kinsoku/>
        <w:wordWrap/>
        <w:overflowPunct/>
        <w:topLinePunct w:val="0"/>
        <w:bidi w:val="0"/>
        <w:spacing w:line="360" w:lineRule="auto"/>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供应商资格要求</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财务状况：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提供2024年度或2025年度的财务审计报告（成立时间至提交投标文件截止时间不足一年的可提供成立后任意时段的资产负债表），或开标前半年内其基本存款账户开户银行出具的资信证明。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完税证明：</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月至今已缴纳的至少三个月的纳税证明或完税证明，依法免税的单位应提供相关证明材料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社保缴纳情况：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法定代表人授权书（附法定代表人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身份证复印件）及被授权人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（法定代表人直接参加磋商只需提供法定代表人身份证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复印件加盖公章</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供应商须具备建设行政主管部门颁发的建筑工程施工总承包三级及以上资质且具有有效的安全生产许可证</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拟派项目经理须具备行政主管部门颁发建筑工程专业二级(含二级)以上注册建造师资格且具有有效的安全生产考核合格的B证书且无在建工程</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（11）本项目为专门面向中小企业（提供声明）。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（12）本项目不接受联合体磋商（提供声明）。</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合格供应商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依照《中华人民共和国公司法》合法注册的法</w:t>
      </w:r>
      <w:r>
        <w:rPr>
          <w:rFonts w:hint="eastAsia" w:ascii="宋体" w:hAnsi="宋体" w:eastAsia="宋体" w:cs="宋体"/>
          <w:color w:val="000000" w:themeColor="text1"/>
          <w:sz w:val="24"/>
          <w:szCs w:val="24"/>
          <w14:textFill>
            <w14:solidFill>
              <w14:schemeClr w14:val="tx1"/>
            </w14:solidFill>
          </w14:textFill>
        </w:rPr>
        <w:t>人或其他组织、符合《</w:t>
      </w:r>
      <w:r>
        <w:rPr>
          <w:rFonts w:hint="eastAsia" w:ascii="宋体" w:hAnsi="宋体" w:eastAsia="宋体" w:cs="宋体"/>
          <w:color w:val="000000" w:themeColor="text1"/>
          <w:sz w:val="24"/>
          <w:szCs w:val="24"/>
          <w:lang w:eastAsia="zh-CN"/>
          <w14:textFill>
            <w14:solidFill>
              <w14:schemeClr w14:val="tx1"/>
            </w14:solidFill>
          </w14:textFill>
        </w:rPr>
        <w:t>中华人民共和国政府采购法</w:t>
      </w:r>
      <w:r>
        <w:rPr>
          <w:rFonts w:hint="eastAsia" w:ascii="宋体" w:hAnsi="宋体" w:eastAsia="宋体" w:cs="宋体"/>
          <w:color w:val="000000" w:themeColor="text1"/>
          <w:sz w:val="24"/>
          <w:szCs w:val="24"/>
          <w14:textFill>
            <w14:solidFill>
              <w14:schemeClr w14:val="tx1"/>
            </w14:solidFill>
          </w14:textFill>
        </w:rPr>
        <w:t>》及其实施条例等有关法律法规的规定并满足本项目资格条件。不符合上述规定的供应商，磋商无效。</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w:t>
      </w:r>
      <w:r>
        <w:rPr>
          <w:rFonts w:hint="eastAsia" w:ascii="宋体" w:hAnsi="宋体" w:eastAsia="宋体" w:cs="宋体"/>
          <w:b/>
          <w:color w:val="000000" w:themeColor="text1"/>
          <w:sz w:val="24"/>
          <w:szCs w:val="24"/>
          <w:lang w:val="en-US"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供应商信用信息</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3-1供应商不得为“信用中国”网站（www.creditchina.gov.cn）中重大税收违法失信主体的供应商；不得为“中国执行信息公开网”网站（</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"http://zxgk.court.gov.cn/shixin/"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court.gov.cn</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）中失信被执行人；不得为中国政府采购网（www.ccgp.gov.cn）政府采购严重违法失信行为记录名单中被财政部门禁止参加政府采购活动的供应商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特别说明：</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（1）供应商如在成交通知书发出前出现违法失信行为，</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仍有权利提请评标委员会取消其成交资格；</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（2）供应商在磋商响应文件中已出具的信用查询结果并不能取代</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或代理机构在评审前进行复查。</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竞争性磋商响应文件的组成：</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4-1各供应商应根据竞争性磋商文件要求编制响应文件。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4-2竞争性磋商响应文件应由磋商函、磋商报价一览表、资格证明</w:t>
      </w:r>
      <w:r>
        <w:rPr>
          <w:rFonts w:hint="eastAsia" w:ascii="宋体" w:hAnsi="宋体" w:eastAsia="宋体" w:cs="宋体"/>
          <w:color w:val="000000" w:themeColor="text1"/>
          <w:sz w:val="24"/>
          <w:szCs w:val="24"/>
          <w:lang w:eastAsia="zh-CN"/>
          <w14:textFill>
            <w14:solidFill>
              <w14:schemeClr w14:val="tx1"/>
            </w14:solidFill>
          </w14:textFill>
        </w:rPr>
        <w:t>文件</w:t>
      </w:r>
      <w:r>
        <w:rPr>
          <w:rFonts w:hint="eastAsia" w:ascii="宋体" w:hAnsi="宋体" w:eastAsia="宋体" w:cs="宋体"/>
          <w:color w:val="000000" w:themeColor="text1"/>
          <w:sz w:val="24"/>
          <w:szCs w:val="24"/>
          <w14:textFill>
            <w14:solidFill>
              <w14:schemeClr w14:val="tx1"/>
            </w14:solidFill>
          </w14:textFill>
        </w:rPr>
        <w:t>、技术等部分组成。</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详见第六部分 竞争性磋商响应文件格式</w:t>
      </w:r>
      <w:r>
        <w:rPr>
          <w:rFonts w:hint="eastAsia" w:ascii="宋体" w:hAnsi="宋体" w:eastAsia="宋体" w:cs="宋体"/>
          <w:color w:val="000000" w:themeColor="text1"/>
          <w:sz w:val="24"/>
          <w:szCs w:val="24"/>
          <w:lang w:eastAsia="zh-CN"/>
          <w14:textFill>
            <w14:solidFill>
              <w14:schemeClr w14:val="tx1"/>
            </w14:solidFill>
          </w14:textFill>
        </w:rPr>
        <w:t>）</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磋商响应文件编写说明</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磋商响应文件格式：磋商响应文件应当使用磋商文件规定的全部格式（表格可以按同样格式扩展）编写，除明确允许供应商可以自行编写的外，供应商不得以“磋商响应文件格式”规定之外的方式填写相关内容。否则，将作为无效响应处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5-2供应商必须按照磋商文件的规定和要求由法定代表人或被授权人签字（或盖章），签字盖章的地方必须签字盖章，如有遗漏，将作为无效响应处理。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5-3除供应商对错误处需修改外，全套磋商响应文件应无涂改或行间插字或增删。如有修改，修改处应加盖供应商公章及法定代表人或被授权人签字（或盖章）确认。</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5-4磋商响应文件的正本和副本均需打印或用不褪色、不变质的墨水书写。因字迹潦草或表达不清所引起的后果由供应商自行负责。</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5-5磋商响应文件电子版内容须与磋商响应文件纸质版正本中的内容一致，电子版中包含资质证明文件等材料的扫描件。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5-6磋商报价一览表按格式要求填写。</w:t>
      </w:r>
    </w:p>
    <w:p>
      <w:pPr>
        <w:pageBreakBefore w:val="0"/>
        <w:numPr>
          <w:ilvl w:val="0"/>
          <w:numId w:val="1"/>
        </w:numPr>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w:t>
      </w:r>
      <w:r>
        <w:rPr>
          <w:rFonts w:hint="eastAsia" w:ascii="宋体" w:hAnsi="宋体" w:eastAsia="宋体" w:cs="宋体"/>
          <w:color w:val="000000" w:themeColor="text1"/>
          <w:sz w:val="24"/>
          <w:szCs w:val="24"/>
          <w:highlight w:val="none"/>
          <w14:textFill>
            <w14:solidFill>
              <w14:schemeClr w14:val="tx1"/>
            </w14:solidFill>
          </w14:textFill>
        </w:rPr>
        <w:t>数量、装订</w:t>
      </w:r>
      <w:r>
        <w:rPr>
          <w:rFonts w:hint="eastAsia" w:ascii="宋体" w:hAnsi="宋体" w:eastAsia="宋体" w:cs="宋体"/>
          <w:b/>
          <w:bCs/>
          <w:color w:val="000000" w:themeColor="text1"/>
          <w:sz w:val="24"/>
          <w:szCs w:val="24"/>
          <w:highlight w:val="none"/>
          <w:lang w:eastAsia="zh-CN"/>
          <w14:textFill>
            <w14:solidFill>
              <w14:schemeClr w14:val="tx1"/>
            </w14:solidFill>
          </w14:textFill>
        </w:rPr>
        <w:t>（纸质版）</w:t>
      </w:r>
    </w:p>
    <w:p>
      <w:pPr>
        <w:pageBreakBefore w:val="0"/>
        <w:kinsoku/>
        <w:overflowPunct/>
        <w:topLinePunct w:val="0"/>
        <w:bidi w:val="0"/>
        <w:spacing w:line="360" w:lineRule="auto"/>
        <w:ind w:firstLine="482" w:firstLineChars="200"/>
        <w:jc w:val="both"/>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6-1</w:t>
      </w:r>
      <w:r>
        <w:rPr>
          <w:rFonts w:hint="eastAsia" w:ascii="宋体" w:hAnsi="宋体" w:eastAsia="宋体" w:cs="宋体"/>
          <w:b/>
          <w:bCs/>
          <w:color w:val="000000" w:themeColor="text1"/>
          <w:sz w:val="24"/>
          <w:szCs w:val="24"/>
          <w:highlight w:val="none"/>
          <w:lang w:eastAsia="zh-CN"/>
          <w14:textFill>
            <w14:solidFill>
              <w14:schemeClr w14:val="tx1"/>
            </w14:solidFill>
          </w14:textFill>
        </w:rPr>
        <w:t>投标人在在开标结束后应密封提交纸质投标文件至招标代理公司</w:t>
      </w:r>
    </w:p>
    <w:p>
      <w:pPr>
        <w:pageBreakBefore w:val="0"/>
        <w:kinsoku/>
        <w:overflowPunct/>
        <w:topLinePunct w:val="0"/>
        <w:bidi w:val="0"/>
        <w:spacing w:line="360" w:lineRule="auto"/>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w:t>
      </w:r>
      <w:r>
        <w:rPr>
          <w:rFonts w:hint="eastAsia" w:ascii="宋体" w:hAnsi="宋体" w:eastAsia="宋体" w:cs="宋体"/>
          <w:color w:val="000000" w:themeColor="text1"/>
          <w:sz w:val="24"/>
          <w:szCs w:val="24"/>
          <w:highlight w:val="none"/>
          <w14:textFill>
            <w14:solidFill>
              <w14:schemeClr w14:val="tx1"/>
            </w14:solidFill>
          </w14:textFill>
        </w:rPr>
        <w:t>一律采用书籍（胶装）方式装订。</w:t>
      </w:r>
    </w:p>
    <w:p>
      <w:pPr>
        <w:pageBreakBefore w:val="0"/>
        <w:kinsoku/>
        <w:wordWrap/>
        <w:overflowPunct/>
        <w:topLinePunct w:val="0"/>
        <w:bidi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磋商响应文件</w:t>
      </w:r>
      <w:r>
        <w:rPr>
          <w:rFonts w:hint="eastAsia" w:ascii="宋体" w:hAnsi="宋体" w:eastAsia="宋体" w:cs="宋体"/>
          <w:color w:val="000000" w:themeColor="text1"/>
          <w:sz w:val="24"/>
          <w:szCs w:val="24"/>
          <w:highlight w:val="none"/>
          <w14:textFill>
            <w14:solidFill>
              <w14:schemeClr w14:val="tx1"/>
            </w14:solidFill>
          </w14:textFill>
        </w:rPr>
        <w:t>共</w:t>
      </w:r>
      <w:r>
        <w:rPr>
          <w:rFonts w:hint="eastAsia" w:ascii="宋体" w:hAnsi="宋体" w:eastAsia="宋体" w:cs="宋体"/>
          <w:color w:val="000000" w:themeColor="text1"/>
          <w:sz w:val="24"/>
          <w:szCs w:val="24"/>
          <w:highlight w:val="none"/>
          <w:lang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份，其中正本一份，副本</w:t>
      </w:r>
      <w:r>
        <w:rPr>
          <w:rFonts w:hint="eastAsia" w:ascii="宋体" w:hAnsi="宋体" w:eastAsia="宋体" w:cs="宋体"/>
          <w:color w:val="000000" w:themeColor="text1"/>
          <w:sz w:val="24"/>
          <w:szCs w:val="24"/>
          <w:highlight w:val="none"/>
          <w:lang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份，电子文件（</w:t>
      </w:r>
      <w:r>
        <w:rPr>
          <w:rFonts w:hint="eastAsia" w:ascii="宋体" w:hAnsi="宋体" w:eastAsia="宋体" w:cs="宋体"/>
          <w:color w:val="000000" w:themeColor="text1"/>
          <w:sz w:val="24"/>
          <w:szCs w:val="21"/>
          <w:highlight w:val="none"/>
          <w14:textFill>
            <w14:solidFill>
              <w14:schemeClr w14:val="tx1"/>
            </w14:solidFill>
          </w14:textFill>
        </w:rPr>
        <w:t>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U盘或移动硬盘，谢绝光盘）一份。正、副本分别各自装订成册</w:t>
      </w:r>
      <w:r>
        <w:rPr>
          <w:rFonts w:hint="eastAsia" w:ascii="宋体" w:hAnsi="宋体" w:eastAsia="宋体" w:cs="宋体"/>
          <w:color w:val="000000" w:themeColor="text1"/>
          <w:sz w:val="24"/>
          <w:szCs w:val="24"/>
          <w:highlight w:val="none"/>
          <w:lang w:eastAsia="zh-CN"/>
          <w14:textFill>
            <w14:solidFill>
              <w14:schemeClr w14:val="tx1"/>
            </w14:solidFill>
          </w14:textFill>
        </w:rPr>
        <w:t>、单独</w:t>
      </w:r>
      <w:r>
        <w:rPr>
          <w:rFonts w:hint="eastAsia" w:ascii="宋体" w:hAnsi="宋体" w:eastAsia="宋体" w:cs="宋体"/>
          <w:color w:val="000000" w:themeColor="text1"/>
          <w:sz w:val="24"/>
          <w:szCs w:val="24"/>
          <w:highlight w:val="none"/>
          <w14:textFill>
            <w14:solidFill>
              <w14:schemeClr w14:val="tx1"/>
            </w14:solidFill>
          </w14:textFill>
        </w:rPr>
        <w:t>密封。正本须按规定和要求进行签字(或盖章），并逐页加盖公章（鲜章），副本可以是正本的复印件，</w:t>
      </w:r>
      <w:r>
        <w:rPr>
          <w:rFonts w:hint="eastAsia" w:ascii="宋体" w:hAnsi="宋体" w:eastAsia="宋体" w:cs="宋体"/>
          <w:color w:val="000000" w:themeColor="text1"/>
          <w:sz w:val="24"/>
          <w:szCs w:val="21"/>
          <w:highlight w:val="none"/>
          <w14:textFill>
            <w14:solidFill>
              <w14:schemeClr w14:val="tx1"/>
            </w14:solidFill>
          </w14:textFill>
        </w:rPr>
        <w:t>电子文件与正本保持一致（电子文件为</w:t>
      </w:r>
      <w:r>
        <w:rPr>
          <w:rFonts w:hint="eastAsia" w:ascii="宋体" w:hAnsi="宋体" w:eastAsia="宋体" w:cs="宋体"/>
          <w:color w:val="000000" w:themeColor="text1"/>
          <w:sz w:val="24"/>
          <w:szCs w:val="21"/>
          <w:highlight w:val="none"/>
          <w:lang w:eastAsia="zh-CN"/>
          <w14:textFill>
            <w14:solidFill>
              <w14:schemeClr w14:val="tx1"/>
            </w14:solidFill>
          </w14:textFill>
        </w:rPr>
        <w:t>签字盖章的</w:t>
      </w:r>
      <w:r>
        <w:rPr>
          <w:rFonts w:hint="eastAsia" w:ascii="宋体" w:hAnsi="宋体" w:eastAsia="宋体" w:cs="宋体"/>
          <w:color w:val="000000" w:themeColor="text1"/>
          <w:sz w:val="24"/>
          <w:szCs w:val="21"/>
          <w:highlight w:val="none"/>
          <w14:textFill>
            <w14:solidFill>
              <w14:schemeClr w14:val="tx1"/>
            </w14:solidFill>
          </w14:textFill>
        </w:rPr>
        <w:t>PDF格式</w:t>
      </w:r>
      <w:r>
        <w:rPr>
          <w:rFonts w:hint="eastAsia" w:ascii="宋体" w:hAnsi="宋体" w:eastAsia="宋体" w:cs="宋体"/>
          <w:color w:val="000000" w:themeColor="text1"/>
          <w:sz w:val="24"/>
          <w:szCs w:val="21"/>
          <w:highlight w:val="none"/>
          <w:lang w:eastAsia="zh-CN"/>
          <w14:textFill>
            <w14:solidFill>
              <w14:schemeClr w14:val="tx1"/>
            </w14:solidFill>
          </w14:textFill>
        </w:rPr>
        <w:t>及</w:t>
      </w:r>
      <w:r>
        <w:rPr>
          <w:rFonts w:hint="eastAsia" w:ascii="宋体" w:hAnsi="宋体" w:eastAsia="宋体" w:cs="宋体"/>
          <w:color w:val="000000" w:themeColor="text1"/>
          <w:sz w:val="24"/>
          <w:szCs w:val="21"/>
          <w:highlight w:val="none"/>
          <w14:textFill>
            <w14:solidFill>
              <w14:schemeClr w14:val="tx1"/>
            </w14:solidFill>
          </w14:textFill>
        </w:rPr>
        <w:t>WORD版格式），具有同等法律效力。</w:t>
      </w:r>
      <w:r>
        <w:rPr>
          <w:rFonts w:hint="eastAsia" w:ascii="宋体" w:hAnsi="宋体" w:eastAsia="宋体" w:cs="宋体"/>
          <w:color w:val="000000" w:themeColor="text1"/>
          <w:sz w:val="24"/>
          <w:szCs w:val="24"/>
          <w:highlight w:val="none"/>
          <w14:textFill>
            <w14:solidFill>
              <w14:schemeClr w14:val="tx1"/>
            </w14:solidFill>
          </w14:textFill>
        </w:rPr>
        <w:t>电子版放置“正本”密封袋内。</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7</w:t>
      </w:r>
      <w:r>
        <w:rPr>
          <w:rFonts w:hint="eastAsia" w:ascii="宋体" w:hAnsi="宋体" w:eastAsia="宋体" w:cs="宋体"/>
          <w:b/>
          <w:color w:val="000000" w:themeColor="text1"/>
          <w:sz w:val="24"/>
          <w:szCs w:val="24"/>
          <w:lang w:val="en-US"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磋商响应文件的计量单位</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磋商响应文件中所使用的计量单位，除有特殊要求外，均采用国家法定计量单位。</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8</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磋商报价</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8-1磋商货币：人民币单位：元。</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8-2磋商报价是指报价包括</w:t>
      </w:r>
      <w:r>
        <w:rPr>
          <w:rFonts w:hint="eastAsia" w:ascii="宋体" w:hAnsi="宋体" w:eastAsia="宋体" w:cs="宋体"/>
          <w:color w:val="000000" w:themeColor="text1"/>
          <w:sz w:val="24"/>
          <w:szCs w:val="24"/>
          <w:lang w:eastAsia="zh-CN"/>
          <w14:textFill>
            <w14:solidFill>
              <w14:schemeClr w14:val="tx1"/>
            </w14:solidFill>
          </w14:textFill>
        </w:rPr>
        <w:t>实施</w:t>
      </w:r>
      <w:r>
        <w:rPr>
          <w:rFonts w:hint="eastAsia" w:ascii="宋体" w:hAnsi="宋体" w:eastAsia="宋体" w:cs="宋体"/>
          <w:color w:val="000000" w:themeColor="text1"/>
          <w:sz w:val="24"/>
          <w:szCs w:val="24"/>
          <w14:textFill>
            <w14:solidFill>
              <w14:schemeClr w14:val="tx1"/>
            </w14:solidFill>
          </w14:textFill>
        </w:rPr>
        <w:t>本项目所</w:t>
      </w:r>
      <w:r>
        <w:rPr>
          <w:rFonts w:hint="eastAsia" w:ascii="宋体" w:hAnsi="宋体" w:eastAsia="宋体" w:cs="宋体"/>
          <w:color w:val="000000" w:themeColor="text1"/>
          <w:sz w:val="24"/>
          <w:szCs w:val="24"/>
          <w:lang w:eastAsia="zh-CN"/>
          <w14:textFill>
            <w14:solidFill>
              <w14:schemeClr w14:val="tx1"/>
            </w14:solidFill>
          </w14:textFill>
        </w:rPr>
        <w:t>发生的</w:t>
      </w:r>
      <w:r>
        <w:rPr>
          <w:rFonts w:hint="eastAsia" w:ascii="宋体" w:hAnsi="宋体" w:eastAsia="宋体" w:cs="宋体"/>
          <w:color w:val="000000" w:themeColor="text1"/>
          <w:sz w:val="24"/>
          <w:szCs w:val="24"/>
          <w14:textFill>
            <w14:solidFill>
              <w14:schemeClr w14:val="tx1"/>
            </w14:solidFill>
          </w14:textFill>
        </w:rPr>
        <w:t>费用及各种应纳的税费。因供应商自身原因造成漏报、少报都由其自行承担责任，</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不再补偿。以磋商文件的内容和要求作为磋商依据。</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8-3磋商报价=本项目</w:t>
      </w:r>
      <w:r>
        <w:rPr>
          <w:rFonts w:hint="eastAsia" w:ascii="宋体" w:hAnsi="宋体" w:eastAsia="宋体" w:cs="宋体"/>
          <w:b/>
          <w:color w:val="000000" w:themeColor="text1"/>
          <w:sz w:val="24"/>
          <w:szCs w:val="24"/>
          <w:lang w:eastAsia="zh-CN"/>
          <w14:textFill>
            <w14:solidFill>
              <w14:schemeClr w14:val="tx1"/>
            </w14:solidFill>
          </w14:textFill>
        </w:rPr>
        <w:t>实施</w:t>
      </w:r>
      <w:r>
        <w:rPr>
          <w:rFonts w:hint="eastAsia" w:ascii="宋体" w:hAnsi="宋体" w:eastAsia="宋体" w:cs="宋体"/>
          <w:b/>
          <w:color w:val="000000" w:themeColor="text1"/>
          <w:sz w:val="24"/>
          <w:szCs w:val="24"/>
          <w14:textFill>
            <w14:solidFill>
              <w14:schemeClr w14:val="tx1"/>
            </w14:solidFill>
          </w14:textFill>
        </w:rPr>
        <w:t>过程中所产生的一切费用。</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kern w:val="1"/>
          <w:sz w:val="24"/>
          <w:szCs w:val="24"/>
          <w:lang w:val="en-US" w:eastAsia="zh-CN" w:bidi="ar-SA"/>
          <w14:textFill>
            <w14:solidFill>
              <w14:schemeClr w14:val="tx1"/>
            </w14:solidFill>
          </w14:textFill>
        </w:rPr>
      </w:pPr>
      <w:r>
        <w:rPr>
          <w:rFonts w:hint="eastAsia" w:ascii="宋体" w:hAnsi="宋体" w:eastAsia="宋体" w:cs="宋体"/>
          <w:b/>
          <w:color w:val="000000" w:themeColor="text1"/>
          <w:kern w:val="1"/>
          <w:sz w:val="24"/>
          <w:szCs w:val="24"/>
          <w:lang w:val="en-US" w:eastAsia="zh-CN" w:bidi="ar-SA"/>
          <w14:textFill>
            <w14:solidFill>
              <w14:schemeClr w14:val="tx1"/>
            </w14:solidFill>
          </w14:textFill>
        </w:rPr>
        <w:t>供应商报价超出项目</w:t>
      </w:r>
      <w:r>
        <w:rPr>
          <w:rFonts w:hint="eastAsia" w:ascii="宋体" w:hAnsi="宋体" w:eastAsia="宋体" w:cs="宋体"/>
          <w:b/>
          <w:color w:val="000000" w:themeColor="text1"/>
          <w:kern w:val="1"/>
          <w:sz w:val="24"/>
          <w:szCs w:val="24"/>
          <w:highlight w:val="none"/>
          <w:lang w:val="en-US" w:eastAsia="zh-CN" w:bidi="ar-SA"/>
          <w14:textFill>
            <w14:solidFill>
              <w14:schemeClr w14:val="tx1"/>
            </w14:solidFill>
          </w14:textFill>
        </w:rPr>
        <w:t>最高限价</w:t>
      </w:r>
      <w:r>
        <w:rPr>
          <w:rFonts w:hint="eastAsia" w:ascii="宋体" w:hAnsi="宋体" w:eastAsia="宋体" w:cs="宋体"/>
          <w:b/>
          <w:color w:val="000000" w:themeColor="text1"/>
          <w:kern w:val="1"/>
          <w:sz w:val="24"/>
          <w:szCs w:val="24"/>
          <w:lang w:val="en-US" w:eastAsia="zh-CN" w:bidi="ar-SA"/>
          <w14:textFill>
            <w14:solidFill>
              <w14:schemeClr w14:val="tx1"/>
            </w14:solidFill>
          </w14:textFill>
        </w:rPr>
        <w:t>，视为不实质性响应磋商文件，按无效投标处理。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8-4供应商须对《</w:t>
      </w:r>
      <w:r>
        <w:rPr>
          <w:rFonts w:hint="eastAsia" w:ascii="宋体" w:hAnsi="宋体" w:eastAsia="宋体" w:cs="宋体"/>
          <w:color w:val="000000" w:themeColor="text1"/>
          <w:sz w:val="24"/>
          <w:szCs w:val="24"/>
          <w:lang w:eastAsia="zh-CN"/>
          <w14:textFill>
            <w14:solidFill>
              <w14:schemeClr w14:val="tx1"/>
            </w14:solidFill>
          </w14:textFill>
        </w:rPr>
        <w:t>工程量清单</w:t>
      </w:r>
      <w:r>
        <w:rPr>
          <w:rFonts w:hint="eastAsia" w:ascii="宋体" w:hAnsi="宋体" w:eastAsia="宋体" w:cs="宋体"/>
          <w:color w:val="000000" w:themeColor="text1"/>
          <w:sz w:val="24"/>
          <w:szCs w:val="24"/>
          <w14:textFill>
            <w14:solidFill>
              <w14:schemeClr w14:val="tx1"/>
            </w14:solidFill>
          </w14:textFill>
        </w:rPr>
        <w:t>》要求进行完整报价，</w:t>
      </w:r>
      <w:r>
        <w:rPr>
          <w:rFonts w:hint="eastAsia" w:ascii="宋体" w:hAnsi="宋体" w:eastAsia="宋体" w:cs="宋体"/>
          <w:color w:val="000000" w:themeColor="text1"/>
          <w:sz w:val="24"/>
          <w:szCs w:val="24"/>
          <w:lang w:eastAsia="zh-CN"/>
          <w14:textFill>
            <w14:solidFill>
              <w14:schemeClr w14:val="tx1"/>
            </w14:solidFill>
          </w14:textFill>
        </w:rPr>
        <w:t>评审小组</w:t>
      </w:r>
      <w:r>
        <w:rPr>
          <w:rFonts w:hint="eastAsia" w:ascii="宋体" w:hAnsi="宋体" w:eastAsia="宋体" w:cs="宋体"/>
          <w:color w:val="000000" w:themeColor="text1"/>
          <w:sz w:val="24"/>
          <w:szCs w:val="24"/>
          <w14:textFill>
            <w14:solidFill>
              <w14:schemeClr w14:val="tx1"/>
            </w14:solidFill>
          </w14:textFill>
        </w:rPr>
        <w:t>拒绝只对部分</w:t>
      </w:r>
      <w:r>
        <w:rPr>
          <w:rFonts w:hint="eastAsia" w:ascii="宋体" w:hAnsi="宋体" w:eastAsia="宋体" w:cs="宋体"/>
          <w:color w:val="000000" w:themeColor="text1"/>
          <w:sz w:val="24"/>
          <w:szCs w:val="24"/>
          <w:lang w:eastAsia="zh-CN"/>
          <w14:textFill>
            <w14:solidFill>
              <w14:schemeClr w14:val="tx1"/>
            </w14:solidFill>
          </w14:textFill>
        </w:rPr>
        <w:t>内容</w:t>
      </w:r>
      <w:r>
        <w:rPr>
          <w:rFonts w:hint="eastAsia" w:ascii="宋体" w:hAnsi="宋体" w:eastAsia="宋体" w:cs="宋体"/>
          <w:color w:val="000000" w:themeColor="text1"/>
          <w:sz w:val="24"/>
          <w:szCs w:val="24"/>
          <w14:textFill>
            <w14:solidFill>
              <w14:schemeClr w14:val="tx1"/>
            </w14:solidFill>
          </w14:textFill>
        </w:rPr>
        <w:t>进行报价的磋商。任何有选择的报价将不予接受。</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9</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各供应商须对以下内容做出承诺</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9-1供应商不得以他人名义磋商和串通磋商。</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9-2必须根据磋商文件要求进行</w:t>
      </w:r>
      <w:r>
        <w:rPr>
          <w:rFonts w:hint="eastAsia" w:ascii="宋体" w:hAnsi="宋体" w:eastAsia="宋体" w:cs="宋体"/>
          <w:color w:val="000000" w:themeColor="text1"/>
          <w:sz w:val="24"/>
          <w:szCs w:val="24"/>
          <w:lang w:eastAsia="zh-CN"/>
          <w14:textFill>
            <w14:solidFill>
              <w14:schemeClr w14:val="tx1"/>
            </w14:solidFill>
          </w14:textFill>
        </w:rPr>
        <w:t>施工安排</w:t>
      </w:r>
      <w:r>
        <w:rPr>
          <w:rFonts w:hint="eastAsia" w:ascii="宋体" w:hAnsi="宋体" w:eastAsia="宋体" w:cs="宋体"/>
          <w:color w:val="000000" w:themeColor="text1"/>
          <w:sz w:val="24"/>
          <w:szCs w:val="24"/>
          <w14:textFill>
            <w14:solidFill>
              <w14:schemeClr w14:val="tx1"/>
            </w14:solidFill>
          </w14:textFill>
        </w:rPr>
        <w:t>等。</w:t>
      </w:r>
    </w:p>
    <w:p>
      <w:pPr>
        <w:pageBreakBefore w:val="0"/>
        <w:kinsoku/>
        <w:wordWrap/>
        <w:overflowPunct/>
        <w:topLinePunct w:val="0"/>
        <w:bidi w:val="0"/>
        <w:spacing w:line="360" w:lineRule="auto"/>
        <w:ind w:firstLine="56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9-3非经</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同意，不得将本项目内容进行分包实施，一经发现，立即取消其成交资格，并承担由此引起的一切经济损失；经</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同意，成交供应商可以依法采取分包方式履行合同。分包部分为成交项目的部分非主体、非关键性工作。</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9-4接受</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委托的相关单位对</w:t>
      </w:r>
      <w:r>
        <w:rPr>
          <w:rFonts w:hint="eastAsia" w:ascii="宋体" w:hAnsi="宋体" w:eastAsia="宋体" w:cs="宋体"/>
          <w:color w:val="000000" w:themeColor="text1"/>
          <w:sz w:val="24"/>
          <w:szCs w:val="24"/>
          <w:lang w:eastAsia="zh-CN"/>
          <w14:textFill>
            <w14:solidFill>
              <w14:schemeClr w14:val="tx1"/>
            </w14:solidFill>
          </w14:textFill>
        </w:rPr>
        <w:t>项目实施</w:t>
      </w:r>
      <w:r>
        <w:rPr>
          <w:rFonts w:hint="eastAsia" w:ascii="宋体" w:hAnsi="宋体" w:eastAsia="宋体" w:cs="宋体"/>
          <w:color w:val="000000" w:themeColor="text1"/>
          <w:sz w:val="24"/>
          <w:szCs w:val="24"/>
          <w14:textFill>
            <w14:solidFill>
              <w14:schemeClr w14:val="tx1"/>
            </w14:solidFill>
          </w14:textFill>
        </w:rPr>
        <w:t>内容、质量、进度、实施方案、价款支付与结算审核等的监督和管理。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供应商不能以“赠送”、“赠予”等任何名义提供</w:t>
      </w:r>
      <w:r>
        <w:rPr>
          <w:rFonts w:hint="eastAsia" w:ascii="宋体" w:hAnsi="宋体" w:eastAsia="宋体" w:cs="宋体"/>
          <w:color w:val="000000" w:themeColor="text1"/>
          <w:sz w:val="24"/>
          <w:szCs w:val="24"/>
          <w:lang w:eastAsia="zh-CN"/>
          <w14:textFill>
            <w14:solidFill>
              <w14:schemeClr w14:val="tx1"/>
            </w14:solidFill>
          </w14:textFill>
        </w:rPr>
        <w:t>工程</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货物</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服务以规避磋商文件的约束。否则，将作为无效响应处理。供应商的行为将作为以不正当手段排挤其他供应商认定。</w:t>
      </w:r>
      <w:bookmarkStart w:id="27" w:name="_Toc458617458"/>
      <w:bookmarkEnd w:id="27"/>
      <w:bookmarkStart w:id="28" w:name="_Toc458617786"/>
      <w:bookmarkEnd w:id="28"/>
      <w:bookmarkStart w:id="29" w:name="_Toc458617735"/>
      <w:bookmarkEnd w:id="29"/>
    </w:p>
    <w:p>
      <w:pPr>
        <w:pageBreakBefore w:val="0"/>
        <w:kinsoku/>
        <w:wordWrap/>
        <w:overflowPunct/>
        <w:topLinePunct w:val="0"/>
        <w:bidi w:val="0"/>
        <w:spacing w:line="360" w:lineRule="auto"/>
        <w:ind w:firstLine="551"/>
        <w:textAlignment w:val="auto"/>
        <w:outlineLvl w:val="1"/>
        <w:rPr>
          <w:rFonts w:hint="eastAsia" w:ascii="宋体" w:hAnsi="宋体" w:eastAsia="宋体" w:cs="宋体"/>
          <w:b/>
          <w:color w:val="000000" w:themeColor="text1"/>
          <w:sz w:val="24"/>
          <w:szCs w:val="24"/>
          <w14:textFill>
            <w14:solidFill>
              <w14:schemeClr w14:val="tx1"/>
            </w14:solidFill>
          </w14:textFill>
        </w:rPr>
      </w:pPr>
      <w:bookmarkStart w:id="30" w:name="_Toc4296"/>
      <w:bookmarkEnd w:id="30"/>
      <w:bookmarkStart w:id="31" w:name="_Toc3290"/>
      <w:r>
        <w:rPr>
          <w:rFonts w:hint="eastAsia" w:ascii="宋体" w:hAnsi="宋体" w:eastAsia="宋体" w:cs="宋体"/>
          <w:b/>
          <w:color w:val="000000" w:themeColor="text1"/>
          <w:sz w:val="24"/>
          <w:szCs w:val="24"/>
          <w:lang w:val="en-US" w:eastAsia="zh-CN"/>
          <w14:textFill>
            <w14:solidFill>
              <w14:schemeClr w14:val="tx1"/>
            </w14:solidFill>
          </w14:textFill>
        </w:rPr>
        <w:t>五</w:t>
      </w:r>
      <w:r>
        <w:rPr>
          <w:rFonts w:hint="eastAsia" w:ascii="宋体" w:hAnsi="宋体" w:eastAsia="宋体" w:cs="宋体"/>
          <w:b/>
          <w:color w:val="000000" w:themeColor="text1"/>
          <w:sz w:val="24"/>
          <w:szCs w:val="24"/>
          <w14:textFill>
            <w14:solidFill>
              <w14:schemeClr w14:val="tx1"/>
            </w14:solidFill>
          </w14:textFill>
        </w:rPr>
        <w:t>、磋商响应</w:t>
      </w:r>
      <w:bookmarkEnd w:id="31"/>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磋商响应文件、必备资质文件的递交：</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1-1供应商应在磋商截止时间前将磋商响应文件密封送达磋商地点</w:t>
      </w:r>
      <w:r>
        <w:rPr>
          <w:rFonts w:hint="eastAsia" w:ascii="宋体" w:hAnsi="宋体" w:eastAsia="宋体" w:cs="宋体"/>
          <w:color w:val="000000" w:themeColor="text1"/>
          <w:sz w:val="24"/>
          <w:szCs w:val="24"/>
          <w:lang w:eastAsia="zh-CN"/>
          <w14:textFill>
            <w14:solidFill>
              <w14:schemeClr w14:val="tx1"/>
            </w14:solidFill>
          </w14:textFill>
        </w:rPr>
        <w:t>并上传至平台</w:t>
      </w:r>
      <w:r>
        <w:rPr>
          <w:rFonts w:hint="eastAsia" w:ascii="宋体" w:hAnsi="宋体" w:eastAsia="宋体" w:cs="宋体"/>
          <w:color w:val="000000" w:themeColor="text1"/>
          <w:sz w:val="24"/>
          <w:szCs w:val="24"/>
          <w14:textFill>
            <w14:solidFill>
              <w14:schemeClr w14:val="tx1"/>
            </w14:solidFill>
          </w14:textFill>
        </w:rPr>
        <w:t>；</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本次磋商不接受邮寄的磋商响应文件。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竞争性磋商</w:t>
      </w:r>
      <w:r>
        <w:rPr>
          <w:rFonts w:hint="eastAsia" w:ascii="宋体" w:hAnsi="宋体" w:eastAsia="宋体" w:cs="宋体"/>
          <w:color w:val="000000" w:themeColor="text1"/>
          <w:sz w:val="24"/>
          <w:szCs w:val="24"/>
          <w14:textFill>
            <w14:solidFill>
              <w14:schemeClr w14:val="tx1"/>
            </w14:solidFill>
          </w14:textFill>
        </w:rPr>
        <w:t>响应文件的补充、修改与撤回：</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2-1供应商在递交</w:t>
      </w:r>
      <w:r>
        <w:rPr>
          <w:rFonts w:hint="eastAsia" w:ascii="宋体" w:hAnsi="宋体" w:eastAsia="宋体" w:cs="宋体"/>
          <w:bCs/>
          <w:color w:val="000000" w:themeColor="text1"/>
          <w:sz w:val="24"/>
          <w:szCs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响应文件以后，在规定的磋商截止时间之前,可以书面形式补充、修改或撤回已递交的</w:t>
      </w:r>
      <w:r>
        <w:rPr>
          <w:rFonts w:hint="eastAsia" w:ascii="宋体" w:hAnsi="宋体" w:eastAsia="宋体" w:cs="宋体"/>
          <w:bCs/>
          <w:color w:val="000000" w:themeColor="text1"/>
          <w:sz w:val="24"/>
          <w:szCs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响应文件，并以书面形式通知代理机构。补充、修改的内容应当按磋商文件要求密封、签署、盖章，并作为</w:t>
      </w:r>
      <w:r>
        <w:rPr>
          <w:rFonts w:hint="eastAsia" w:ascii="宋体" w:hAnsi="宋体" w:eastAsia="宋体" w:cs="宋体"/>
          <w:bCs/>
          <w:color w:val="000000" w:themeColor="text1"/>
          <w:sz w:val="24"/>
          <w:szCs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响应文件的组成部分；补充、修改的内容与相应文件不一致的，以补充、修改的内容为准。</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供应商提出修改和撤标要求的，须在磋商截止时间前密封送到代理机构，并在封面上加注“修改”字样。</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提出撤标要求的，须在磋商截止时间前以书面形式（经由法定代表人或被授权人签字）通知代理机构。如采取传真形式撤回磋商，随后必须补充有法定代表人或被授权人签署的要求撤回磋商的正式文件。代理机构摄像留存后，将要“撤回”的磋商响应文件（包含纸质及电子版）退还供应商，供应商签字确认领取。</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磋商截止时间之后，供应商不得补充、修改</w:t>
      </w:r>
      <w:r>
        <w:rPr>
          <w:rFonts w:hint="eastAsia" w:ascii="宋体" w:hAnsi="宋体" w:eastAsia="宋体" w:cs="宋体"/>
          <w:bCs/>
          <w:color w:val="000000" w:themeColor="text1"/>
          <w:sz w:val="24"/>
          <w:szCs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在磋商截止时间至磋商有效期满之前，供应商不得撤回其</w:t>
      </w:r>
      <w:r>
        <w:rPr>
          <w:rFonts w:hint="eastAsia" w:ascii="宋体" w:hAnsi="宋体" w:eastAsia="宋体" w:cs="宋体"/>
          <w:bCs/>
          <w:color w:val="000000" w:themeColor="text1"/>
          <w:sz w:val="24"/>
          <w:szCs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响应文件，否则其磋商保证金将不予退还，提供磋商担保的供应商将由专业担保机构先行偿付损失。</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磋商有效期：</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3-1自磋商之日起算90个日历日。</w:t>
      </w:r>
      <w:bookmarkStart w:id="32" w:name="OLE_LINK15"/>
      <w:bookmarkEnd w:id="32"/>
      <w:r>
        <w:rPr>
          <w:rFonts w:hint="eastAsia" w:ascii="宋体" w:hAnsi="宋体" w:eastAsia="宋体" w:cs="宋体"/>
          <w:color w:val="000000" w:themeColor="text1"/>
          <w:sz w:val="24"/>
          <w:szCs w:val="24"/>
          <w14:textFill>
            <w14:solidFill>
              <w14:schemeClr w14:val="tx1"/>
            </w14:solidFill>
          </w14:textFill>
        </w:rPr>
        <w:t>供应商磋商有效期短于磋商文件规定的磋商有效期，按无效响应处理。成交单位的磋商有效期延长至合同执行完毕。</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在原磋商有效期结束前，代理机构可要求供应商延长磋商有效期。拒绝延长磋商有效期的供应商有权收回磋商保证金，但不得参与该项目后续采购活动。同意延长磋商有效期的供应商应相应延长磋商担保的有效期，但不得修改</w:t>
      </w:r>
      <w:r>
        <w:rPr>
          <w:rFonts w:hint="eastAsia" w:ascii="宋体" w:hAnsi="宋体" w:eastAsia="宋体" w:cs="宋体"/>
          <w:bCs/>
          <w:color w:val="000000" w:themeColor="text1"/>
          <w:sz w:val="24"/>
          <w:szCs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响应文件的实质性内容。</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供应商有下列情形之一的，属于恶意串通，对其依照《</w:t>
      </w:r>
      <w:r>
        <w:rPr>
          <w:rFonts w:hint="eastAsia" w:ascii="宋体" w:hAnsi="宋体" w:eastAsia="宋体" w:cs="宋体"/>
          <w:color w:val="000000" w:themeColor="text1"/>
          <w:sz w:val="24"/>
          <w:szCs w:val="24"/>
          <w:lang w:eastAsia="zh-CN"/>
          <w14:textFill>
            <w14:solidFill>
              <w14:schemeClr w14:val="tx1"/>
            </w14:solidFill>
          </w14:textFill>
        </w:rPr>
        <w:t>中华人民共和国政府采购法</w:t>
      </w:r>
      <w:r>
        <w:rPr>
          <w:rFonts w:hint="eastAsia" w:ascii="宋体" w:hAnsi="宋体" w:eastAsia="宋体" w:cs="宋体"/>
          <w:color w:val="000000" w:themeColor="text1"/>
          <w:sz w:val="24"/>
          <w:szCs w:val="24"/>
          <w14:textFill>
            <w14:solidFill>
              <w14:schemeClr w14:val="tx1"/>
            </w14:solidFill>
          </w14:textFill>
        </w:rPr>
        <w:t>》第七十七条第一款的规定追究法律责任，磋商无效：</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4-1供应商直接或者间接从</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或代理机构处获得其他供应商的相关情况并修改其磋商响应文件；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4-2供应商按照</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或代理机构的授意撤换、修改磋商响应文件；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4-3供应商之间协商报价、技术方案等磋商响应文件的实质性内容；</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4-4属于同一集团、协会、商会等组织成员的供应商按照该组织要求协同参加政府采购活动；</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4-5供应商之间事先约定由某一特定供应商成交；</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4-6供应商之间商定部分供应商放弃参加政府采购活动或放弃成交；</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4-7供应商相互之间，为谋求特定供应商成交或排斥其他供应商的其他串通行为。</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5</w:t>
      </w:r>
      <w:r>
        <w:rPr>
          <w:rFonts w:hint="eastAsia" w:ascii="宋体" w:hAnsi="宋体" w:eastAsia="宋体" w:cs="宋体"/>
          <w:b/>
          <w:color w:val="000000" w:themeColor="text1"/>
          <w:sz w:val="24"/>
          <w:szCs w:val="24"/>
          <w:lang w:val="en-US"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有下列情形之一的，视为供应商串通磋商，其磋商无效：</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5-1不同供应商的磋商响应文件由同一单位或者个人编制；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5-2不同供应商委托同一单位或者个人办理磋商事宜；</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5-3不同供应商的磋商响应文件载明的项目管理成员或者联系人为同一人；</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5-4不同供应商的磋商响应文件异常一致或者磋商报价呈现规律性差异；</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5-5不同供应商的磋商响应文件相互混装；</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5-6不同供应商的磋商保证金从同一单位或者个人的账户转出。</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6</w:t>
      </w:r>
      <w:r>
        <w:rPr>
          <w:rFonts w:hint="eastAsia" w:ascii="宋体" w:hAnsi="宋体" w:eastAsia="宋体" w:cs="宋体"/>
          <w:b/>
          <w:color w:val="000000" w:themeColor="text1"/>
          <w:sz w:val="24"/>
          <w:szCs w:val="24"/>
          <w:lang w:val="en-US"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磋商无效的情形：</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6-1未按照磋商文件的规定提交磋商保证金的；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6-2磋商响应文件未按磋商文件要求签署、盖章的；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6-3不具备磋商文件中规定的资格要求的；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6-4报价超过磋商文件中规定的预算金额的；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6-5磋商响应文件含有</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不能接受的附加条件的；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6-6提供虚假材料谋取成交的；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6-7采取不正当手段诋毁、排挤其他供应商的；</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6-8法律、法规和磋商文件规定的其他无效情形。</w:t>
      </w:r>
    </w:p>
    <w:p>
      <w:pPr>
        <w:pageBreakBefore w:val="0"/>
        <w:kinsoku/>
        <w:wordWrap/>
        <w:overflowPunct/>
        <w:topLinePunct w:val="0"/>
        <w:bidi w:val="0"/>
        <w:spacing w:line="360" w:lineRule="auto"/>
        <w:ind w:firstLine="482" w:firstLineChars="200"/>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33" w:name="_Toc31921"/>
      <w:r>
        <w:rPr>
          <w:rFonts w:hint="eastAsia" w:ascii="宋体" w:hAnsi="宋体" w:eastAsia="宋体" w:cs="宋体"/>
          <w:b/>
          <w:color w:val="000000" w:themeColor="text1"/>
          <w:sz w:val="24"/>
          <w:szCs w:val="24"/>
          <w:lang w:val="en-US" w:eastAsia="zh-CN"/>
          <w14:textFill>
            <w14:solidFill>
              <w14:schemeClr w14:val="tx1"/>
            </w14:solidFill>
          </w14:textFill>
        </w:rPr>
        <w:t>六</w:t>
      </w:r>
      <w:r>
        <w:rPr>
          <w:rFonts w:hint="eastAsia" w:ascii="宋体" w:hAnsi="宋体" w:eastAsia="宋体" w:cs="宋体"/>
          <w:b/>
          <w:color w:val="000000" w:themeColor="text1"/>
          <w:sz w:val="24"/>
          <w:szCs w:val="24"/>
          <w14:textFill>
            <w14:solidFill>
              <w14:schemeClr w14:val="tx1"/>
            </w14:solidFill>
          </w14:textFill>
        </w:rPr>
        <w:t>、磋商会议、评审及定标</w:t>
      </w:r>
      <w:bookmarkEnd w:id="33"/>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磋商会议</w:t>
      </w:r>
    </w:p>
    <w:p>
      <w:pPr>
        <w:pageBreakBefore w:val="0"/>
        <w:kinsoku/>
        <w:wordWrap/>
        <w:overflowPunct/>
        <w:topLinePunct w:val="0"/>
        <w:bidi w:val="0"/>
        <w:spacing w:line="360" w:lineRule="auto"/>
        <w:ind w:firstLine="548"/>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1-1、采购代理机构按磋商文件规定的时间和地点组织磋商会议。</w:t>
      </w:r>
    </w:p>
    <w:p>
      <w:pPr>
        <w:pageBreakBefore w:val="0"/>
        <w:kinsoku/>
        <w:wordWrap/>
        <w:overflowPunct/>
        <w:topLinePunct w:val="0"/>
        <w:bidi w:val="0"/>
        <w:spacing w:line="360" w:lineRule="auto"/>
        <w:ind w:firstLine="548"/>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1-2、所有参会人员应签名报到，以证明其出席。供应商未参加磋商的，视同认可磋商结果。</w:t>
      </w:r>
    </w:p>
    <w:p>
      <w:pPr>
        <w:pageBreakBefore w:val="0"/>
        <w:kinsoku/>
        <w:wordWrap/>
        <w:overflowPunct/>
        <w:topLinePunct w:val="0"/>
        <w:bidi w:val="0"/>
        <w:spacing w:line="360" w:lineRule="auto"/>
        <w:ind w:firstLine="548"/>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1-3、磋商会议由采购代理机构主持。主持人宣读磋商会议开始，宣读会场纪律，宣布参加会议的供应商名单。</w:t>
      </w:r>
    </w:p>
    <w:p>
      <w:pPr>
        <w:pageBreakBefore w:val="0"/>
        <w:kinsoku/>
        <w:wordWrap/>
        <w:overflowPunct/>
        <w:topLinePunct w:val="0"/>
        <w:bidi w:val="0"/>
        <w:spacing w:line="360" w:lineRule="auto"/>
        <w:ind w:firstLine="54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、供应商代表对磋商过程和磋商记录有疑义的，以及认为采购人、采购代理机构相关工作人员有需要回避的情形的，应当场提出询问或回避申请。</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资格审查</w:t>
      </w:r>
    </w:p>
    <w:p>
      <w:pPr>
        <w:pageBreakBefore w:val="0"/>
        <w:kinsoku/>
        <w:wordWrap/>
        <w:overflowPunct/>
        <w:topLinePunct w:val="0"/>
        <w:bidi w:val="0"/>
        <w:spacing w:line="360" w:lineRule="auto"/>
        <w:ind w:firstLine="482" w:firstLineChars="200"/>
        <w:jc w:val="left"/>
        <w:textAlignment w:val="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磋商会议结束后，由</w:t>
      </w:r>
      <w:r>
        <w:rPr>
          <w:rFonts w:hint="eastAsia" w:ascii="宋体" w:hAnsi="宋体" w:eastAsia="宋体" w:cs="宋体"/>
          <w:b/>
          <w:bCs w:val="0"/>
          <w:color w:val="000000" w:themeColor="text1"/>
          <w:sz w:val="24"/>
          <w:szCs w:val="24"/>
          <w:lang w:eastAsia="zh-CN"/>
          <w14:textFill>
            <w14:solidFill>
              <w14:schemeClr w14:val="tx1"/>
            </w14:solidFill>
          </w14:textFill>
        </w:rPr>
        <w:t>采购方代表或磋商小组</w:t>
      </w:r>
      <w:r>
        <w:rPr>
          <w:rFonts w:hint="eastAsia" w:ascii="宋体" w:hAnsi="宋体" w:eastAsia="宋体" w:cs="宋体"/>
          <w:b/>
          <w:bCs w:val="0"/>
          <w:color w:val="000000" w:themeColor="text1"/>
          <w:sz w:val="24"/>
          <w:szCs w:val="24"/>
          <w14:textFill>
            <w14:solidFill>
              <w14:schemeClr w14:val="tx1"/>
            </w14:solidFill>
          </w14:textFill>
        </w:rPr>
        <w:t>对供应商的资格进行审查，审查合格的供应商方可进入评审阶段，不合格的供应商其磋商响应无效。</w:t>
      </w:r>
    </w:p>
    <w:tbl>
      <w:tblPr>
        <w:tblStyle w:val="22"/>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7588"/>
        <w:gridCol w:w="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 w:type="pct"/>
            <w:vAlign w:val="center"/>
          </w:tcPr>
          <w:p>
            <w:pPr>
              <w:pageBreakBefore w:val="0"/>
              <w:kinsoku/>
              <w:overflowPunct/>
              <w:topLinePunct w:val="0"/>
              <w:bidi w:val="0"/>
              <w:spacing w:line="360" w:lineRule="auto"/>
              <w:jc w:val="center"/>
              <w:textAlignment w:val="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lang w:eastAsia="zh-CN"/>
                <w14:textFill>
                  <w14:solidFill>
                    <w14:schemeClr w14:val="tx1"/>
                  </w14:solidFill>
                </w14:textFill>
              </w:rPr>
              <w:t>供应商资格要求</w:t>
            </w:r>
          </w:p>
        </w:tc>
        <w:tc>
          <w:tcPr>
            <w:tcW w:w="4284" w:type="pct"/>
            <w:vAlign w:val="center"/>
          </w:tcPr>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财务状况：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提供2024年度或2025年度的财务审计报告（成立时间至提交投标文件截止时间不足一年的可提供成立后任意时段的资产负债表），或开标前半年内其基本存款账户开户银行出具的资信证明。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完税证明：</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月至今已缴纳的至少三个月的纳税证明或完税证明，依法免税的单位应提供相关证明材料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社保缴纳情况：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法定代表人授权书（附法定代表人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身份证复印件）及被授权人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（法定代表人直接参加磋商只需提供法定代表人身份证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复印件加盖公章</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供应商须具备建设行政主管部门颁发的建筑工程施工总承包三级及以上资质且具有有效的安全生产许可证</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拟派项目经理须具备行政主管部门颁发建筑工程专业二级(含二级)以上注册建造师资格且具有有效的安全生产考核合格的B证书且无在建工程</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）本项目为专门面向中小企业（提供声明）。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）本项目不接受联合体磋商（提供声明）。</w:t>
            </w:r>
          </w:p>
        </w:tc>
        <w:tc>
          <w:tcPr>
            <w:tcW w:w="448" w:type="pct"/>
            <w:vAlign w:val="center"/>
          </w:tcPr>
          <w:p>
            <w:pPr>
              <w:pStyle w:val="42"/>
              <w:pageBreakBefore w:val="0"/>
              <w:kinsoku/>
              <w:overflowPunct/>
              <w:topLinePunct w:val="0"/>
              <w:bidi w:val="0"/>
              <w:spacing w:line="360" w:lineRule="auto"/>
              <w:textAlignment w:val="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合格</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r>
              <w:rPr>
                <w:rFonts w:hint="eastAsia" w:ascii="宋体" w:hAnsi="宋体" w:eastAsia="宋体" w:cs="宋体"/>
                <w:color w:val="000000" w:themeColor="text1"/>
                <w:sz w:val="22"/>
                <w:szCs w:val="22"/>
                <w:highlight w:val="none"/>
                <w:lang w:eastAsia="zh-CN"/>
                <w14:textFill>
                  <w14:solidFill>
                    <w14:schemeClr w14:val="tx1"/>
                  </w14:solidFill>
                </w14:textFill>
              </w:rPr>
              <w:t>不合格</w:t>
            </w:r>
          </w:p>
        </w:tc>
      </w:tr>
    </w:tbl>
    <w:p>
      <w:pPr>
        <w:pageBreakBefore w:val="0"/>
        <w:kinsoku/>
        <w:wordWrap/>
        <w:overflowPunct/>
        <w:topLinePunct w:val="0"/>
        <w:bidi w:val="0"/>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评审</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-1评审小组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（1）代理机构根据《</w:t>
      </w:r>
      <w:r>
        <w:rPr>
          <w:rFonts w:hint="eastAsia" w:ascii="宋体" w:hAnsi="宋体" w:eastAsia="宋体" w:cs="宋体"/>
          <w:color w:val="000000" w:themeColor="text1"/>
          <w:sz w:val="24"/>
          <w:szCs w:val="24"/>
          <w:highlight w:val="none"/>
          <w:lang w:eastAsia="zh-CN"/>
          <w14:textFill>
            <w14:solidFill>
              <w14:schemeClr w14:val="tx1"/>
            </w14:solidFill>
          </w14:textFill>
        </w:rPr>
        <w:t>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》及其实施条例、等规定，依法组建评审小组。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派代表进入评审小组时，须向代理机构出具授权函。</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（3）评审小组应推荐一名评审专家担任评审组长，并由评审组长牵头组织该项目评审工作，</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代表不得担任评审组长。</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（4）评审委员会成员应当遵守并履行下列职责义务：</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a、遵纪守法，客观、公正、认真负责地履行职责，根据磋商文件规定的评审程序、评审方法和评审标准审查磋商响应文件；</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b、符合性审查、评价磋商响应文件是否符合磋商文件的商务、技术等实质性要求；</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c、要求供应商对磋商响应文件有关事项作澄清或者说明；</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d、对磋商响应文件进行比较和评价；</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e、确定成交候选人名单，以及根据</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委托直接确定成交人；</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f、向</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、代理机构或者有关部门报告评审中发现的违法行为；</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g、对评审过程及各供应商的商业机密予以保密；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h、配合</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、代理机构答复各供应商提出的质疑；</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i、配合各部门的投诉处理和监督检查工作。</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-2在政府采购活动中，采购人员及相关人员（包括评审委员会）与供应商有下列利害关系之一的，应当回避：</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（1）参加采购活动前3年内与供应商存在劳动关系；</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（2）参加采购活动前3年内担任供应商的董事、监事；</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（3）参加采购活动前3年内是供应商的控股股东或者实际控制人；</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（4）与供应商的法定代表人或者负责人有夫妻、直系血亲、三代以内旁系血亲或者近姻亲关系；</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（5）与供应商有其他可能影响政府采购活动公平、公正进行的关系。</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3-3磋商原则：坚持公平、公正、科学、择优原则，禁止不正当竞争。</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3-4评审办法：本次竞争性磋商采用综合评分法（详见本节评分标准）。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w:t>
      </w:r>
      <w:r>
        <w:rPr>
          <w:rFonts w:hint="eastAsia" w:ascii="宋体" w:hAnsi="宋体" w:eastAsia="宋体" w:cs="宋体"/>
          <w:color w:val="000000" w:themeColor="text1"/>
          <w:sz w:val="24"/>
          <w:szCs w:val="24"/>
          <w:lang w:eastAsia="zh-CN"/>
          <w14:textFill>
            <w14:solidFill>
              <w14:schemeClr w14:val="tx1"/>
            </w14:solidFill>
          </w14:textFill>
        </w:rPr>
        <w:t>评审</w:t>
      </w:r>
      <w:r>
        <w:rPr>
          <w:rFonts w:hint="eastAsia" w:ascii="宋体" w:hAnsi="宋体" w:eastAsia="宋体" w:cs="宋体"/>
          <w:color w:val="000000" w:themeColor="text1"/>
          <w:sz w:val="24"/>
          <w:szCs w:val="24"/>
          <w14:textFill>
            <w14:solidFill>
              <w14:schemeClr w14:val="tx1"/>
            </w14:solidFill>
          </w14:textFill>
        </w:rPr>
        <w:t>工作程序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符合性审查、澄清、磋商、评价、推荐成交候选人的工作程序进行评审。</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3-5-1</w:t>
      </w:r>
      <w:r>
        <w:rPr>
          <w:rFonts w:hint="eastAsia" w:ascii="宋体" w:hAnsi="宋体" w:eastAsia="宋体" w:cs="宋体"/>
          <w:b/>
          <w:bCs/>
          <w:color w:val="000000" w:themeColor="text1"/>
          <w:sz w:val="24"/>
          <w:szCs w:val="24"/>
          <w14:textFill>
            <w14:solidFill>
              <w14:schemeClr w14:val="tx1"/>
            </w14:solidFill>
          </w14:textFill>
        </w:rPr>
        <w:t>符合性审查</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依据磋商文件的规定，对资格合格者磋商响应文件的完整性、有效性和对磋商文件的响应程度进行</w:t>
      </w:r>
      <w:r>
        <w:rPr>
          <w:rFonts w:hint="eastAsia" w:ascii="宋体" w:hAnsi="宋体" w:eastAsia="宋体" w:cs="宋体"/>
          <w:bCs/>
          <w:color w:val="000000" w:themeColor="text1"/>
          <w:sz w:val="24"/>
          <w:szCs w:val="24"/>
          <w:highlight w:val="none"/>
          <w14:textFill>
            <w14:solidFill>
              <w14:schemeClr w14:val="tx1"/>
            </w14:solidFill>
          </w14:textFill>
        </w:rPr>
        <w:t>审查，以确定是否对磋商文件的实质性内容做出响应，包含但不限于以下内容：</w:t>
      </w:r>
    </w:p>
    <w:tbl>
      <w:tblPr>
        <w:tblStyle w:val="22"/>
        <w:tblW w:w="4919" w:type="pct"/>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
        <w:gridCol w:w="7622"/>
        <w:gridCol w:w="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 w:type="pct"/>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lang w:eastAsia="zh-CN"/>
                <w14:textFill>
                  <w14:solidFill>
                    <w14:schemeClr w14:val="tx1"/>
                  </w14:solidFill>
                </w14:textFill>
              </w:rPr>
              <w:t>符合性审查</w:t>
            </w:r>
          </w:p>
        </w:tc>
        <w:tc>
          <w:tcPr>
            <w:tcW w:w="4318" w:type="pct"/>
            <w:vAlign w:val="center"/>
          </w:tcPr>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名称是否与</w:t>
            </w:r>
            <w:r>
              <w:rPr>
                <w:rFonts w:hint="eastAsia" w:ascii="宋体" w:hAnsi="宋体" w:eastAsia="宋体" w:cs="宋体"/>
                <w:color w:val="000000" w:themeColor="text1"/>
                <w:sz w:val="24"/>
                <w:szCs w:val="24"/>
                <w:highlight w:val="none"/>
                <w:lang w:eastAsia="zh-CN"/>
                <w14:textFill>
                  <w14:solidFill>
                    <w14:schemeClr w14:val="tx1"/>
                  </w14:solidFill>
                </w14:textFill>
              </w:rPr>
              <w:t>下载磋商</w:t>
            </w:r>
            <w:r>
              <w:rPr>
                <w:rFonts w:hint="eastAsia" w:ascii="宋体" w:hAnsi="宋体" w:eastAsia="宋体" w:cs="宋体"/>
                <w:color w:val="000000" w:themeColor="text1"/>
                <w:sz w:val="24"/>
                <w:szCs w:val="24"/>
                <w:highlight w:val="none"/>
                <w14:textFill>
                  <w14:solidFill>
                    <w14:schemeClr w14:val="tx1"/>
                  </w14:solidFill>
                </w14:textFill>
              </w:rPr>
              <w:t>文件的单位名称一致</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（2）电子响应文件的“文件制作机器码”和“文件创建标识码”通过评标系统的雷同性分析</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是否按照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的要求盖章签字</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（4）投标内容是否有重大缺漏项</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）投标报价是否</w:t>
            </w:r>
            <w:r>
              <w:rPr>
                <w:rFonts w:hint="eastAsia" w:ascii="宋体" w:hAnsi="宋体" w:eastAsia="宋体" w:cs="宋体"/>
                <w:color w:val="000000" w:themeColor="text1"/>
                <w:sz w:val="24"/>
                <w:szCs w:val="24"/>
                <w:highlight w:val="none"/>
                <w:lang w:eastAsia="zh-CN"/>
                <w14:textFill>
                  <w14:solidFill>
                    <w14:schemeClr w14:val="tx1"/>
                  </w14:solidFill>
                </w14:textFill>
              </w:rPr>
              <w:t>符合磋商文件要求的。</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）投标有效期是否符合</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的要求</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商务要求是否作了明确且实质性响应</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是否含有</w:t>
            </w:r>
            <w:r>
              <w:rPr>
                <w:rFonts w:hint="eastAsia" w:ascii="宋体" w:hAnsi="宋体" w:eastAsia="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不能接受的附件条件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）是否符合法律、法规和</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规定的其他无效投标情形。</w:t>
            </w:r>
          </w:p>
        </w:tc>
        <w:tc>
          <w:tcPr>
            <w:tcW w:w="468" w:type="pct"/>
            <w:vAlign w:val="center"/>
          </w:tcPr>
          <w:p>
            <w:pPr>
              <w:pStyle w:val="4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合格</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r>
              <w:rPr>
                <w:rFonts w:hint="eastAsia" w:ascii="宋体" w:hAnsi="宋体" w:eastAsia="宋体" w:cs="宋体"/>
                <w:color w:val="000000" w:themeColor="text1"/>
                <w:sz w:val="22"/>
                <w:szCs w:val="22"/>
                <w:highlight w:val="none"/>
                <w:lang w:eastAsia="zh-CN"/>
                <w14:textFill>
                  <w14:solidFill>
                    <w14:schemeClr w14:val="tx1"/>
                  </w14:solidFill>
                </w14:textFill>
              </w:rPr>
              <w:t>不合格</w:t>
            </w:r>
          </w:p>
        </w:tc>
      </w:tr>
    </w:tbl>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3-5-2磋商采购形式：采取背对背的磋商采购方式。即磋商小组所有成员集中与各供应商分别进行一对一磋商。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3-5-3通过资质审查、磋商、澄清及承诺等程序且实质性响应磋商文件（资质、商务、技术）的各供应商，才有再次报价的机会。磋商小组按其最终承诺和报价内容，进行综合评比并排序。</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3-5-4评审采取逐项分步评审方式，每一步评审不符合者，不进入下一步评审，全部评审合格的供应商进行最后的综合评审和打分，按最后得分由高向低排序，推荐成交候选人。</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w:t>
      </w:r>
      <w:r>
        <w:rPr>
          <w:rFonts w:hint="eastAsia" w:ascii="宋体" w:hAnsi="宋体" w:eastAsia="宋体" w:cs="宋体"/>
          <w:b/>
          <w:bCs/>
          <w:color w:val="000000" w:themeColor="text1"/>
          <w:sz w:val="24"/>
          <w:szCs w:val="24"/>
          <w14:textFill>
            <w14:solidFill>
              <w14:schemeClr w14:val="tx1"/>
            </w14:solidFill>
          </w14:textFill>
        </w:rPr>
        <w:t>5</w:t>
      </w: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14:textFill>
            <w14:solidFill>
              <w14:schemeClr w14:val="tx1"/>
            </w14:solidFill>
          </w14:textFill>
        </w:rPr>
        <w:t>磋商响应文件的澄清</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（1）在评审期间,对于竞争性磋商响应文件中含义不明确、</w:t>
      </w:r>
      <w:r>
        <w:rPr>
          <w:rFonts w:hint="eastAsia" w:ascii="宋体" w:hAnsi="宋体" w:eastAsia="宋体" w:cs="宋体"/>
          <w:bCs/>
          <w:color w:val="000000" w:themeColor="text1"/>
          <w:sz w:val="24"/>
          <w:szCs w:val="24"/>
          <w:lang w:eastAsia="zh-CN"/>
          <w14:textFill>
            <w14:solidFill>
              <w14:schemeClr w14:val="tx1"/>
            </w14:solidFill>
          </w14:textFill>
        </w:rPr>
        <w:t>类似</w:t>
      </w:r>
      <w:r>
        <w:rPr>
          <w:rFonts w:hint="eastAsia" w:ascii="宋体" w:hAnsi="宋体" w:eastAsia="宋体" w:cs="宋体"/>
          <w:bCs/>
          <w:color w:val="000000" w:themeColor="text1"/>
          <w:sz w:val="24"/>
          <w:szCs w:val="24"/>
          <w14:textFill>
            <w14:solidFill>
              <w14:schemeClr w14:val="tx1"/>
            </w14:solidFill>
          </w14:textFill>
        </w:rPr>
        <w:t>问题表述不一致或者有明显文字和计算错误的内容，评审委员会应当以书面形式要求供应商作出必要的澄清、说明或者补正。供应商的澄清、说明或者补正应当采用书面形式，并加盖公章，或者由法定代表人或被授权人签字。供应商的澄清、说明或者补正不得超出竞争性磋商响应文件的范围或者改变竞争性磋商响应文件的实质性内容。</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（2）书写错误的评审标准：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评审委员会在评审过程中，发现磋商响应文件出现下列情况之一者，按以下原则修正：</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a、磋商响应文件有关内容与“一览表”不一致的，以“一览表”为准；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b、磋商响应文件大写与小写不一致时，以大写为准；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c、单价乘以数量不等于总价时，以单价乘以数量为准修改总价；单价有明显小数点错误的，以总价为准，并修改单价；</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d、总价金额与按单价汇总金额不一致的，以单价乘以数量的计算结果为准；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e、磋商响应文件图表与文字不符时，以文字为准；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f、磋商响应文件正本与副本不符时，以正本为准；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g、对不同文字文本磋商响应文件的解释发生异议的，以中文文本为准；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h、多处内容交叉不符时，以评审委员会评审结果为准。</w:t>
      </w:r>
    </w:p>
    <w:p>
      <w:pPr>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注：按上述方法修正的内容（其中，同时出现上述a至d两种以上不一致的，按上述规定的顺序修正），经供应商确认后产生约束力，供应商不确认的，其磋商响应无效。</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磋商响应处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3-5-6其他需说明的情况：</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a、对于磋商响应文件中不构成实质性偏差的小的不正规、不一致或不规则，可以接受，但这种接受不能损害或影响任何供应商的相对排序；</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b、最低报价不是成交的唯一条件；</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c、如果磋商实质上没有响应磋商文件的要求，其磋商将被拒绝，供应商不得通过修正或撤消不合要求</w:t>
      </w:r>
      <w:r>
        <w:rPr>
          <w:rFonts w:hint="eastAsia" w:ascii="宋体" w:hAnsi="宋体" w:eastAsia="宋体" w:cs="宋体"/>
          <w:bCs/>
          <w:color w:val="000000" w:themeColor="text1"/>
          <w:sz w:val="24"/>
          <w:szCs w:val="24"/>
          <w:highlight w:val="none"/>
          <w14:textFill>
            <w14:solidFill>
              <w14:schemeClr w14:val="tx1"/>
            </w14:solidFill>
          </w14:textFill>
        </w:rPr>
        <w:t>的偏离或保留从而使其磋商成为实质上响应的磋商响应；</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d、无论磋商的结果如何，磋商期间一切费用自理。</w:t>
      </w:r>
    </w:p>
    <w:p>
      <w:pPr>
        <w:pageBreakBefore w:val="0"/>
        <w:kinsoku/>
        <w:wordWrap/>
        <w:overflowPunct/>
        <w:topLinePunct w:val="0"/>
        <w:bidi w:val="0"/>
        <w:spacing w:line="360" w:lineRule="auto"/>
        <w:ind w:firstLine="562"/>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color w:val="000000" w:themeColor="text1"/>
          <w:sz w:val="24"/>
          <w:szCs w:val="24"/>
          <w:highlight w:val="none"/>
          <w14:textFill>
            <w14:solidFill>
              <w14:schemeClr w14:val="tx1"/>
            </w14:solidFill>
          </w14:textFill>
        </w:rPr>
        <w:t>评分标准</w:t>
      </w:r>
    </w:p>
    <w:tbl>
      <w:tblPr>
        <w:tblStyle w:val="22"/>
        <w:tblW w:w="9038" w:type="dxa"/>
        <w:jc w:val="center"/>
        <w:tblLayout w:type="fixed"/>
        <w:tblCellMar>
          <w:top w:w="0" w:type="dxa"/>
          <w:left w:w="10" w:type="dxa"/>
          <w:bottom w:w="0" w:type="dxa"/>
          <w:right w:w="10" w:type="dxa"/>
        </w:tblCellMar>
      </w:tblPr>
      <w:tblGrid>
        <w:gridCol w:w="722"/>
        <w:gridCol w:w="764"/>
        <w:gridCol w:w="7552"/>
      </w:tblGrid>
      <w:tr>
        <w:tblPrEx>
          <w:tblCellMar>
            <w:top w:w="0" w:type="dxa"/>
            <w:left w:w="10" w:type="dxa"/>
            <w:bottom w:w="0" w:type="dxa"/>
            <w:right w:w="10" w:type="dxa"/>
          </w:tblCellMar>
        </w:tblPrEx>
        <w:trPr>
          <w:trHeight w:val="90" w:hRule="atLeast"/>
          <w:jc w:val="center"/>
        </w:trPr>
        <w:tc>
          <w:tcPr>
            <w:tcW w:w="7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报价</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7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45"/>
              <w:pageBreakBefore w:val="0"/>
              <w:wordWrap/>
              <w:overflowPunct/>
              <w:topLinePunct w:val="0"/>
              <w:bidi w:val="0"/>
              <w:spacing w:line="360" w:lineRule="auto"/>
              <w:textAlignment w:val="auto"/>
              <w:rPr>
                <w:rFonts w:hint="eastAsia" w:ascii="宋体" w:hAnsi="宋体" w:eastAsia="宋体" w:cs="宋体"/>
                <w:color w:val="000000" w:themeColor="text1"/>
                <w:sz w:val="24"/>
                <w:szCs w:val="18"/>
                <w:highlight w:val="none"/>
                <w14:textFill>
                  <w14:solidFill>
                    <w14:schemeClr w14:val="tx1"/>
                  </w14:solidFill>
                </w14:textFill>
              </w:rPr>
            </w:pPr>
            <w:r>
              <w:rPr>
                <w:rFonts w:hint="eastAsia" w:ascii="宋体" w:hAnsi="宋体" w:eastAsia="宋体" w:cs="宋体"/>
                <w:color w:val="000000" w:themeColor="text1"/>
                <w:sz w:val="24"/>
                <w:szCs w:val="18"/>
                <w:highlight w:val="none"/>
                <w14:textFill>
                  <w14:solidFill>
                    <w14:schemeClr w14:val="tx1"/>
                  </w14:solidFill>
                </w14:textFill>
              </w:rPr>
              <w:t>按照财政部《政府采购竞争性磋商采购方式管理暂行办法》（财库[2014]214号）的有关规定：价格分采用低价优先法计算，价格即满足磋商文件要求且磋商价格最低的磋商报价为评标基准价，其价格分为满分。其他供应商的价格分统一按照下列公式计算：</w:t>
            </w:r>
          </w:p>
          <w:p>
            <w:pPr>
              <w:pStyle w:val="45"/>
              <w:pageBreakBefore w:val="0"/>
              <w:wordWrap/>
              <w:overflowPunct/>
              <w:topLinePunct w:val="0"/>
              <w:bidi w:val="0"/>
              <w:spacing w:line="360" w:lineRule="auto"/>
              <w:textAlignment w:val="auto"/>
              <w:rPr>
                <w:rFonts w:hint="eastAsia" w:ascii="宋体" w:hAnsi="宋体" w:eastAsia="宋体" w:cs="宋体"/>
                <w:color w:val="000000" w:themeColor="text1"/>
                <w:sz w:val="24"/>
                <w:szCs w:val="18"/>
                <w:highlight w:val="none"/>
                <w:lang w:val="en-US" w:eastAsia="zh-CN"/>
                <w14:textFill>
                  <w14:solidFill>
                    <w14:schemeClr w14:val="tx1"/>
                  </w14:solidFill>
                </w14:textFill>
              </w:rPr>
            </w:pPr>
            <w:r>
              <w:rPr>
                <w:rFonts w:hint="eastAsia" w:ascii="宋体" w:hAnsi="宋体" w:eastAsia="宋体" w:cs="宋体"/>
                <w:color w:val="000000" w:themeColor="text1"/>
                <w:sz w:val="24"/>
                <w:szCs w:val="18"/>
                <w:highlight w:val="none"/>
                <w14:textFill>
                  <w14:solidFill>
                    <w14:schemeClr w14:val="tx1"/>
                  </w14:solidFill>
                </w14:textFill>
              </w:rPr>
              <w:t>磋商报价得分=（评审基准价/磋商报价）×价格权值</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（因落实政府采购政策进行价格调整的，以调整后的价格计算评标基准价和磋商报价）</w:t>
            </w:r>
          </w:p>
        </w:tc>
      </w:tr>
      <w:tr>
        <w:tblPrEx>
          <w:tblCellMar>
            <w:top w:w="0" w:type="dxa"/>
            <w:left w:w="10" w:type="dxa"/>
            <w:bottom w:w="0" w:type="dxa"/>
            <w:right w:w="10" w:type="dxa"/>
          </w:tblCellMar>
        </w:tblPrEx>
        <w:trPr>
          <w:trHeight w:val="90" w:hRule="atLeast"/>
          <w:jc w:val="center"/>
        </w:trPr>
        <w:tc>
          <w:tcPr>
            <w:tcW w:w="722"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施工组织设计</w:t>
            </w:r>
          </w:p>
        </w:tc>
        <w:tc>
          <w:tcPr>
            <w:tcW w:w="764"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施工方案（1</w:t>
            </w:r>
            <w:r>
              <w:rPr>
                <w:rFonts w:hint="eastAsia" w:ascii="宋体" w:hAnsi="宋体" w:eastAsia="宋体" w:cs="宋体"/>
                <w:color w:val="000000" w:themeColor="text1"/>
                <w:sz w:val="24"/>
                <w:szCs w:val="21"/>
                <w:highlight w:val="none"/>
                <w:lang w:val="en-US" w:eastAsia="zh-CN"/>
                <w14:textFill>
                  <w14:solidFill>
                    <w14:schemeClr w14:val="tx1"/>
                  </w14:solidFill>
                </w14:textFill>
              </w:rPr>
              <w:t>0</w:t>
            </w:r>
            <w:r>
              <w:rPr>
                <w:rFonts w:hint="eastAsia" w:ascii="宋体" w:hAnsi="宋体" w:eastAsia="宋体" w:cs="宋体"/>
                <w:color w:val="000000" w:themeColor="text1"/>
                <w:sz w:val="24"/>
                <w:szCs w:val="21"/>
                <w:highlight w:val="none"/>
                <w14:textFill>
                  <w14:solidFill>
                    <w14:schemeClr w14:val="tx1"/>
                  </w14:solidFill>
                </w14:textFill>
              </w:rPr>
              <w:t xml:space="preserve">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针对本项目提供完善的施工方案，内容包括施工准备与资源配</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置计划、工程重难点及解决措施、分部分项工程施工方案、施</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工质量通病防治措施等。</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方案科学合理、条理清晰、内容详实、切合项目实际情况、具</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有很强操作性得 </w:t>
            </w:r>
            <w:r>
              <w:rPr>
                <w:rFonts w:hint="eastAsia" w:ascii="宋体" w:hAnsi="宋体" w:eastAsia="宋体" w:cs="宋体"/>
                <w:color w:val="000000" w:themeColor="text1"/>
                <w:sz w:val="24"/>
                <w:szCs w:val="21"/>
                <w:highlight w:val="none"/>
                <w:lang w:val="en-US" w:eastAsia="zh-CN"/>
                <w14:textFill>
                  <w14:solidFill>
                    <w14:schemeClr w14:val="tx1"/>
                  </w14:solidFill>
                </w14:textFill>
              </w:rPr>
              <w:t>10</w:t>
            </w:r>
            <w:r>
              <w:rPr>
                <w:rFonts w:hint="eastAsia" w:ascii="宋体" w:hAnsi="宋体" w:eastAsia="宋体" w:cs="宋体"/>
                <w:color w:val="000000" w:themeColor="text1"/>
                <w:sz w:val="24"/>
                <w:szCs w:val="21"/>
                <w:highlight w:val="none"/>
                <w14:textFill>
                  <w14:solidFill>
                    <w14:schemeClr w14:val="tx1"/>
                  </w14:solidFill>
                </w14:textFill>
              </w:rPr>
              <w:t xml:space="preserve">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方案合理、条理清楚、内容全面、符合项目实际情况、具有较</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强操作性得 </w:t>
            </w:r>
            <w:r>
              <w:rPr>
                <w:rFonts w:hint="eastAsia" w:ascii="宋体" w:hAnsi="宋体" w:eastAsia="宋体" w:cs="宋体"/>
                <w:color w:val="000000" w:themeColor="text1"/>
                <w:sz w:val="24"/>
                <w:szCs w:val="21"/>
                <w:highlight w:val="none"/>
                <w:lang w:val="en-US" w:eastAsia="zh-CN"/>
                <w14:textFill>
                  <w14:solidFill>
                    <w14:schemeClr w14:val="tx1"/>
                  </w14:solidFill>
                </w14:textFill>
              </w:rPr>
              <w:t>8</w:t>
            </w:r>
            <w:r>
              <w:rPr>
                <w:rFonts w:hint="eastAsia" w:ascii="宋体" w:hAnsi="宋体" w:eastAsia="宋体" w:cs="宋体"/>
                <w:color w:val="000000" w:themeColor="text1"/>
                <w:sz w:val="24"/>
                <w:szCs w:val="21"/>
                <w:highlight w:val="none"/>
                <w14:textFill>
                  <w14:solidFill>
                    <w14:schemeClr w14:val="tx1"/>
                  </w14:solidFill>
                </w14:textFill>
              </w:rPr>
              <w:t xml:space="preserve">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方案较合理、具有条理、内容较全面、基本符合项目实际情况、</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具有一定操作性得 6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内容基本完整、基本符合项目实际情况得 4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内容不完整、有明显缺陷得 2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内容粗略、不符合项目实际情况得 1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未提供本项内容得 0 分。</w:t>
            </w:r>
          </w:p>
        </w:tc>
      </w:tr>
      <w:tr>
        <w:tblPrEx>
          <w:tblCellMar>
            <w:top w:w="0" w:type="dxa"/>
            <w:left w:w="10" w:type="dxa"/>
            <w:bottom w:w="0" w:type="dxa"/>
            <w:right w:w="10" w:type="dxa"/>
          </w:tblCellMar>
        </w:tblPrEx>
        <w:trPr>
          <w:trHeight w:val="90" w:hRule="atLeast"/>
          <w:jc w:val="center"/>
        </w:trPr>
        <w:tc>
          <w:tcPr>
            <w:tcW w:w="722" w:type="dxa"/>
            <w:vMerge w:val="continue"/>
            <w:tcBorders>
              <w:left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64" w:type="dxa"/>
            <w:vMerge w:val="continue"/>
            <w:tcBorders>
              <w:left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7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确保工程质量的技术组织措施（6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提供确保工程质量的技术组织措施，内容包括质量目标、质量</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管理体系、质量保证措施等。</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体系完善、内容详实、措施有力、科学合理、切合项目实际情</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况、具有很强操作性得 6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体系健全、内容全面、措施有效、合理可行、符合项目实际情</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况、具有较强操作性得 4.5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内容完整、基本符合项目实际情况、具有一定操作性得 3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内容不完整、有明显缺陷得 1.5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内容粗略、不符合项目实际情况得 1 分；</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vMerge w:val="continue"/>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vMerge w:val="continue"/>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确保安全生产的技术组织措施（6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提供确保安全生产的技术组织措施，内容包括安全生产目标、</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安全生产管理体系、安全生产保证措施等。</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体系完善、内容详实、措施有力、科学合理、切合项目实际情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况、具有很强操作性得 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体系健全、内容全面、措施有效、合理可行、符合项目实际情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况、具有较强操作性得 4.5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内容完整、基本符合项目实际情况、具有一定操作性得 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内容不完整、有明显缺陷得 1.5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内容粗略、不符合项目实际情况得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确保文明施工的技术措施及环境保护措施（6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提供确保文明施工的技术措施及环境保护措施，内容包括文明</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施工及环境保护目标、管理体系、保证措施等。</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体系完善、内容详实、措施有力、科学合理、切合项目实际情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况、具有很强操作性得 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体系健全、内容全面、措施有效、合理可行、符合项目实际情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况、具有较强操作性得 4.5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内容完整、基本符合项目实际情况、具有一定操作性得 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内容不完整、有明显缺陷得 1.5 分； </w:t>
            </w:r>
          </w:p>
          <w:p>
            <w:pPr>
              <w:pageBreakBefore w:val="0"/>
              <w:overflowPunct/>
              <w:topLinePunct w:val="0"/>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内容粗略、不符合项目实际情况得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确保工期的技术组织措施（6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提供确保工期的技术组织措施，内容包括工期目标、施工进度</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计划、工期保证措施等。</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体系完善、内容详实、措施有力、科学合理、切合项目实际情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况、具有很强操作性得 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体系健全、内容全面、措施有效、合理可行、符合项目实际情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况、具有较强操作性得 4.5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内容完整、基本符合项目实际情况、具有一定操作性得 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内容不完整、有明显缺陷得 1.5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内容粗略、不符合项目实际情况得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项目组织管理人员构成(8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①项目经理具有相关专业中级及以上职称得 1.5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②技术负责人具有相关专业中级及以上职称得 1.5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③施工员、质量员、专职安全生产管理人员、材料员、资料员</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等关键岗位人员配备齐全、责任具体、证照齐全得 5 分，每有任意岗位人员不满足要求扣 1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施工机械设备配备计划和劳动力安排计划（6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提供施工机械设备配备计划和劳动力安排计划。</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计划完善、内容详实、科学合理、切合项目实际情况、能确保</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项目顺利实施得 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计划合理、内容全面、符合项目实际情况、能保证项目顺利实</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施得 4.5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内容完整、基本符合项目实际情况、基本保证项目实施得 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内容不完整、有明显缺陷得 1.5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内容粗略、不符合项目实际情况得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施工进度表或施工网络图（3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提供施工进度表或施工网络图。</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内容完善、科学合理、能确保项目顺利实施得 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内容完整、合理可行、能保证项目顺利实施得 2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内容不完整、有明显缺陷得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施工部署及现场总平面布置图（3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提供施工部署及现场总平面布置图。</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内容完善、科学合理、满足项目施工要求得 3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内容完整、合理可行、基本满足项目施工要求得 2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内容不完整、有明显缺陷得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新技术、新产品、新工艺、新材料应用（1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本项目实施过程中，使用符合国家相关标准的新技术、新产品、</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新工艺、新材料，能加快项目建设进程、提高工程质量得 1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未使用新技术、新产品、新工艺、新材料得 0 分。</w:t>
            </w:r>
          </w:p>
        </w:tc>
      </w:tr>
      <w:tr>
        <w:tblPrEx>
          <w:tblCellMar>
            <w:top w:w="0" w:type="dxa"/>
            <w:left w:w="10" w:type="dxa"/>
            <w:bottom w:w="0" w:type="dxa"/>
            <w:right w:w="10" w:type="dxa"/>
          </w:tblCellMar>
        </w:tblPrEx>
        <w:trPr>
          <w:trHeight w:val="1449" w:hRule="atLeast"/>
          <w:jc w:val="center"/>
        </w:trPr>
        <w:tc>
          <w:tcPr>
            <w:tcW w:w="722"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764" w:type="dxa"/>
            <w:tcBorders>
              <w:left w:val="single" w:color="000000" w:sz="4" w:space="0"/>
              <w:bottom w:val="single" w:color="auto"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7552"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工程保修承诺及措施（10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针对本项目提供工程保修承诺及工程保修措施。</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内容详实、清晰明确、措施有力、科学合理、切合项目实际情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况、具有很强操作性得 10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内容全面、清晰具体、措施有效、合理可行、符合项目实际情</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况、具有较强操作性得 8分；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内容完整、基本符合项目实际情况、具有一定操作性得 6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内容不完整、有明显缺陷得 4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内容粗略、不符合项目实际情况得 2 分；</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未提供本项内容得 0 分。</w:t>
            </w:r>
          </w:p>
        </w:tc>
      </w:tr>
      <w:tr>
        <w:tblPrEx>
          <w:tblCellMar>
            <w:top w:w="0" w:type="dxa"/>
            <w:left w:w="10" w:type="dxa"/>
            <w:bottom w:w="0" w:type="dxa"/>
            <w:right w:w="10" w:type="dxa"/>
          </w:tblCellMar>
        </w:tblPrEx>
        <w:trPr>
          <w:trHeight w:val="1173" w:hRule="atLeast"/>
          <w:jc w:val="center"/>
        </w:trPr>
        <w:tc>
          <w:tcPr>
            <w:tcW w:w="722"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w:t>
            </w:r>
          </w:p>
        </w:tc>
        <w:tc>
          <w:tcPr>
            <w:tcW w:w="764"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552"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提供202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eastAsia="宋体" w:cs="宋体"/>
                <w:color w:val="000000" w:themeColor="text1"/>
                <w:sz w:val="24"/>
                <w:szCs w:val="24"/>
                <w:highlight w:val="none"/>
                <w14:textFill>
                  <w14:solidFill>
                    <w14:schemeClr w14:val="tx1"/>
                  </w14:solidFill>
                </w14:textFill>
              </w:rPr>
              <w:t>至今</w:t>
            </w:r>
            <w:r>
              <w:rPr>
                <w:rFonts w:hint="eastAsia" w:ascii="宋体" w:hAnsi="宋体" w:eastAsia="宋体" w:cs="宋体"/>
                <w:color w:val="000000" w:themeColor="text1"/>
                <w:sz w:val="24"/>
                <w:szCs w:val="24"/>
                <w:highlight w:val="none"/>
                <w:lang w:eastAsia="zh-CN"/>
                <w14:textFill>
                  <w14:solidFill>
                    <w14:schemeClr w14:val="tx1"/>
                  </w14:solidFill>
                </w14:textFill>
              </w:rPr>
              <w:t>类似</w:t>
            </w:r>
            <w:r>
              <w:rPr>
                <w:rFonts w:hint="eastAsia" w:ascii="宋体" w:hAnsi="宋体" w:eastAsia="宋体" w:cs="宋体"/>
                <w:color w:val="000000" w:themeColor="text1"/>
                <w:sz w:val="24"/>
                <w:szCs w:val="24"/>
                <w:highlight w:val="none"/>
                <w14:textFill>
                  <w14:solidFill>
                    <w14:schemeClr w14:val="tx1"/>
                  </w14:solidFill>
                </w14:textFill>
              </w:rPr>
              <w:t>项目业绩（</w:t>
            </w:r>
            <w:r>
              <w:rPr>
                <w:rFonts w:hint="eastAsia" w:ascii="宋体" w:hAnsi="宋体" w:eastAsia="宋体" w:cs="宋体"/>
                <w:color w:val="000000" w:themeColor="text1"/>
                <w:sz w:val="24"/>
                <w:szCs w:val="24"/>
                <w:highlight w:val="none"/>
                <w:lang w:eastAsia="zh-CN"/>
                <w14:textFill>
                  <w14:solidFill>
                    <w14:schemeClr w14:val="tx1"/>
                  </w14:solidFill>
                </w14:textFill>
              </w:rPr>
              <w:t>提供合同</w:t>
            </w:r>
            <w:r>
              <w:rPr>
                <w:rFonts w:hint="eastAsia" w:ascii="宋体" w:hAnsi="宋体" w:eastAsia="宋体" w:cs="宋体"/>
                <w:color w:val="000000" w:themeColor="text1"/>
                <w:sz w:val="24"/>
                <w:szCs w:val="24"/>
                <w:highlight w:val="none"/>
                <w14:textFill>
                  <w14:solidFill>
                    <w14:schemeClr w14:val="tx1"/>
                  </w14:solidFill>
                </w14:textFill>
              </w:rPr>
              <w:t>复印件加盖公章），每份计</w:t>
            </w: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分，计满</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分为止。</w:t>
            </w:r>
          </w:p>
        </w:tc>
      </w:tr>
    </w:tbl>
    <w:p>
      <w:pPr>
        <w:pageBreakBefore w:val="0"/>
        <w:widowControl/>
        <w:kinsoku/>
        <w:wordWrap/>
        <w:overflowPunct/>
        <w:topLinePunct w:val="0"/>
        <w:bidi w:val="0"/>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1）评委打分超过得分界限或未按本方法赋分时，该评委的打分按废票处理。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2）各种计算数字均保留两位小数，第三位“四舍五入”。</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3）特殊情况处理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a、当投标人某评分项出现未报、漏报或零报价时，该分项得零分，并不参与投标报价分的计算。</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b、相同品牌产品</w:t>
      </w:r>
      <w:r>
        <w:rPr>
          <w:rFonts w:hint="eastAsia" w:ascii="宋体" w:hAnsi="宋体" w:eastAsia="宋体" w:cs="宋体"/>
          <w:color w:val="000000" w:themeColor="text1"/>
          <w:sz w:val="24"/>
          <w:szCs w:val="24"/>
          <w:highlight w:val="none"/>
          <w:lang w:eastAsia="zh-CN"/>
          <w14:textFill>
            <w14:solidFill>
              <w14:schemeClr w14:val="tx1"/>
            </w14:solidFill>
          </w14:textFill>
        </w:rPr>
        <w:t>（本项目不适用）</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投标报价得分高者获得中标人推荐资格，若投标报价得分相同，技术得分高者获得中标人推荐资格，若上述两项得分相同，则由全体评标委员会成员无记名投票，得票高者获得中标人推荐资格，其他同品牌投标人不作为中标候选人。</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非单一产品采购项目，多家投标人提供的核心产品品牌相同的，按照前款规定处理。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若出现综合得分相同时，投标报价得分高者为第一中标候选人，若投标报价得分相同，技术得分高者为第一中标候选人，若上述两项得分相同，则由全体评标委员会成员无记名投票，得票高者为第一中标候选人。</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d、评标过程中，若出现本评标方法以外的特殊情况时，将暂停评标，待评委商榷后再进行复会。</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3-7政府采购政策评分标准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3-7-1小微企业的价格评分标准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（1）对小型、微型企业产品的价格给予</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%的扣除，用扣除后的价格参与评审，其评标价=投标报价*（</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（3）中小企业参加政府采购活动，应当出具本办法规定的《中小企业声明函》，否则不得享受相关中小企业扶持政策。任何单位和个人不得要求供应商提供《中小企业声明函》之外的中小企业身份证明文件。</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（4）供应商按照本办法规定提供声明函内容不实的，属于提供虚假材料谋取中标、成交，依照《中华人民共和国政府采购法》等国家有关规定追究相应责任。</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（5）小微企业按《政府采购促进中小企业发展</w:t>
      </w:r>
      <w:r>
        <w:rPr>
          <w:rFonts w:hint="eastAsia" w:ascii="宋体" w:hAnsi="宋体" w:eastAsia="宋体" w:cs="宋体"/>
          <w:color w:val="000000" w:themeColor="text1"/>
          <w:sz w:val="24"/>
          <w:szCs w:val="24"/>
          <w:lang w:eastAsia="zh-CN"/>
          <w14:textFill>
            <w14:solidFill>
              <w14:schemeClr w14:val="tx1"/>
            </w14:solidFill>
          </w14:textFill>
        </w:rPr>
        <w:t>管理</w:t>
      </w:r>
      <w:r>
        <w:rPr>
          <w:rFonts w:hint="eastAsia" w:ascii="宋体" w:hAnsi="宋体" w:eastAsia="宋体" w:cs="宋体"/>
          <w:color w:val="000000" w:themeColor="text1"/>
          <w:sz w:val="24"/>
          <w:szCs w:val="24"/>
          <w14:textFill>
            <w14:solidFill>
              <w14:schemeClr w14:val="tx1"/>
            </w14:solidFill>
          </w14:textFill>
        </w:rPr>
        <w:t>办法》（财库【2020】46号）和《工业和信息化部、国家统计局、国家发展和改革委员会、财政部关于印发&lt;中小企业划型标准规定&gt;的通知》（工信部联企业【2011】300号）文件规定标准确认。</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各行业划型标准为：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（一）农、林、牧、渔业。营业收入20000万元以下的为中小微型企业。其中，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营业收入500万元及以上的为中型企业，营业收入50万元及以上的为小型企业，营业收入50万元以下的为微型企业。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3-7-2监狱企业的价格评分标准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（1）在政府采购活动中，监狱企业视同小型、微型企业，享受预留份额、评审中价格扣除等政府采购促进中小企业发展的政府采购政策。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（2）监狱企业属于小型、微型企业的，不重复享受政策。 </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（3）监狱企业参加政府采购活动时，应当提供由省级以上监狱管理局、戒毒管理局（含新疆生产建设兵团）出具的属于监狱企业的证明文件。</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（4）监狱企业按《财政部、司法部关于政府采购支持监狱企业发展有关问题的通知》（财库〔2014〕68号）文件规定标准执行。</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3-7-3残疾人福利性单位的价格评分标准</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（1）在政府采购活动中，残疾人福利性单位视同小型、微型企业，享受预留份额、评审中价格扣除等政府采购促进中小企业发展的政府采购政策。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（2）残疾人福利性单位属于小型、微型企业的，不重复享受政策。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（3）符合条件的残疾人福利性单位在参加政府采购活动时，应当提供本通知规定的《残疾人福利性单位声明函》（见附件），并对声明的真实性负责，未提供的不视为残疾人福利性单位。</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3-7-4节能产品、环境标志产品政策</w:t>
      </w:r>
    </w:p>
    <w:p>
      <w:pPr>
        <w:pageBreakBefore w:val="0"/>
        <w:widowControl/>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节能产品根据《财政部、国家发展和改革委员会关于印发&lt;节能产品政府采购实施意见&gt;的通知》（财库【2004】185号）、《国务院办公厅关于建立政府强制采购节能产品制度的通知》（国办发〔2007〕51号）的有关规定，以中国政府采购网（http://www.ccgp.gov.cn/）公布的最新一期节能产品政府采购清单为准。节能清单所列产品包括政府强制采购和优先采购的节能产品，标注“★”的品目为政府强制采购的节能产品，其他品目为政府优先采购的节能产品。</w:t>
      </w:r>
    </w:p>
    <w:p>
      <w:pPr>
        <w:pageBreakBefore w:val="0"/>
        <w:widowControl/>
        <w:kinsoku/>
        <w:wordWrap/>
        <w:overflowPunct/>
        <w:topLinePunct w:val="0"/>
        <w:bidi w:val="0"/>
        <w:spacing w:line="360" w:lineRule="auto"/>
        <w:ind w:firstLine="560"/>
        <w:textAlignment w:val="auto"/>
        <w:rPr>
          <w:rFonts w:hint="eastAsia"/>
          <w:color w:val="000000" w:themeColor="text1"/>
          <w:sz w:val="20"/>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环境标志产品根据《财政部、国家环保总局联合印发&lt;关于环境标志产品政府采购实施的意见&gt;》（财库【2006】90号）的规定，以中国政府采购网（http://www.ccgp.gov.cn/）公布的最新一期环境标志产品政府采购清单为准。环保清单所列产品为政府优先采购产品。</w:t>
      </w:r>
    </w:p>
    <w:p>
      <w:pPr>
        <w:pageBreakBefore w:val="0"/>
        <w:kinsoku/>
        <w:wordWrap/>
        <w:overflowPunct/>
        <w:topLinePunct w:val="0"/>
        <w:bidi w:val="0"/>
        <w:spacing w:line="360" w:lineRule="auto"/>
        <w:ind w:firstLine="562"/>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4.</w:t>
      </w:r>
      <w:r>
        <w:rPr>
          <w:rFonts w:hint="eastAsia" w:ascii="宋体" w:hAnsi="宋体" w:eastAsia="宋体" w:cs="宋体"/>
          <w:b/>
          <w:color w:val="000000" w:themeColor="text1"/>
          <w:sz w:val="24"/>
          <w:szCs w:val="24"/>
          <w14:textFill>
            <w14:solidFill>
              <w14:schemeClr w14:val="tx1"/>
            </w14:solidFill>
          </w14:textFill>
        </w:rPr>
        <w:t>定标</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3-1定标程序</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评审委员会依据评审办法，经过评审、澄清、磋商报价、评价等程序后，在最大限度满足磋商文件实质性要求前提下进行综合评审，以评标总得分由高到低的顺序推荐3名以上成交候选供应商，并编写评审报告。</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bookmarkStart w:id="34" w:name="OLE_LINK12"/>
      <w:bookmarkEnd w:id="34"/>
      <w:r>
        <w:rPr>
          <w:rFonts w:hint="eastAsia" w:ascii="宋体" w:hAnsi="宋体" w:eastAsia="宋体" w:cs="宋体"/>
          <w:color w:val="000000" w:themeColor="text1"/>
          <w:sz w:val="24"/>
          <w:szCs w:val="24"/>
          <w14:textFill>
            <w14:solidFill>
              <w14:schemeClr w14:val="tx1"/>
            </w14:solidFill>
          </w14:textFill>
        </w:rPr>
        <w:t>评审委员会成员应当在评审报告上签字，对自己的评审意见承担法律责任。评审委员会成员对评审报告有异议的，评审委员会按照少数服从多数的原则推荐成交候选人。对评审报告有异议的，应当在评审报告上签署不同意见，并说明理由，否则视为同意评审报告。</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（3）代理机构应当自评审结束之日起2个工作日内将评审报告送交</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在收到评审报告5个工作日内，从评审报告推荐的成交候选人中，以评审总分最高的供应商作为成交供应商，向代理机构出具《定标复函》；逾期未确定成交供应商且不提出异议的，视为确定评审报告推荐的评审得分最高的供应商为成交供应商。</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（4）代理机构接到</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复函》后，在2个工作日内，将成交结果在</w:t>
      </w:r>
      <w:r>
        <w:rPr>
          <w:rFonts w:hint="eastAsia" w:ascii="宋体" w:hAnsi="宋体" w:eastAsia="宋体" w:cs="宋体"/>
          <w:color w:val="000000" w:themeColor="text1"/>
          <w:sz w:val="24"/>
          <w:szCs w:val="24"/>
          <w:lang w:eastAsia="zh-CN"/>
          <w14:textFill>
            <w14:solidFill>
              <w14:schemeClr w14:val="tx1"/>
            </w14:solidFill>
          </w14:textFill>
        </w:rPr>
        <w:t>《陕西省政府采购网》、《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全国公共资源交易平台（陕西省·安康市）</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上发布公告。公告发布1个工作日，其他供应商若有异议，按《</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法》第52条执行。</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-2成交供应商确定后，</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和代理机构对未成交原因不作任何解释，竞争性磋商响应文件不予退还（含纸质及电子版文件）。</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磋商无效的情形：</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5-1未按照磋商文件的规定提交磋商保证金的；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5-2磋商响应文件未按磋商文件要求签署、盖章的；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5-3不具备磋商文件中规定的资格要求的；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5-4报价超过磋商文件中规定的预算金额的；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5-5磋商响应文件含有采购人不能接受的附加条件的；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5-6提供虚假材料谋取成交的；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5-7采取不正当手段诋毁、排挤其他供应商的；</w:t>
      </w:r>
    </w:p>
    <w:p>
      <w:pPr>
        <w:pageBreakBefore w:val="0"/>
        <w:tabs>
          <w:tab w:val="left" w:pos="2700"/>
        </w:tabs>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5-8法律、法规和磋商文件规定的其他无效情形。</w:t>
      </w:r>
    </w:p>
    <w:p>
      <w:pPr>
        <w:pageBreakBefore w:val="0"/>
        <w:kinsoku/>
        <w:wordWrap/>
        <w:overflowPunct/>
        <w:topLinePunct w:val="0"/>
        <w:bidi w:val="0"/>
        <w:spacing w:line="360" w:lineRule="auto"/>
        <w:ind w:firstLine="562"/>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6.</w:t>
      </w:r>
      <w:r>
        <w:rPr>
          <w:rFonts w:hint="eastAsia" w:ascii="宋体" w:hAnsi="宋体" w:eastAsia="宋体" w:cs="宋体"/>
          <w:b/>
          <w:color w:val="000000" w:themeColor="text1"/>
          <w:sz w:val="24"/>
          <w:szCs w:val="24"/>
          <w14:textFill>
            <w14:solidFill>
              <w14:schemeClr w14:val="tx1"/>
            </w14:solidFill>
          </w14:textFill>
        </w:rPr>
        <w:t>成交通知书</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-1成交通知书将在成交公告发布的同时由代理机构发出。</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-2成交供应商应在接到代理机构通知之日起七日内领取成交通知书。未在规定时间内领取成交通知书的，磋商保证金不予退还。提供磋商担保的供应商将由专业担保机构先行偿付</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损失。</w:t>
      </w:r>
    </w:p>
    <w:p>
      <w:pPr>
        <w:pageBreakBefore w:val="0"/>
        <w:tabs>
          <w:tab w:val="left" w:pos="2700"/>
        </w:tabs>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-3成交通知书发出后，</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不得违法改变成交结果，成交供应商无正当理由不得弃成交。</w:t>
      </w:r>
    </w:p>
    <w:p>
      <w:pPr>
        <w:pageBreakBefore w:val="0"/>
        <w:kinsoku/>
        <w:wordWrap/>
        <w:overflowPunct/>
        <w:topLinePunct w:val="0"/>
        <w:bidi w:val="0"/>
        <w:spacing w:line="360" w:lineRule="auto"/>
        <w:ind w:firstLine="562"/>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35" w:name="_Toc14755"/>
      <w:r>
        <w:rPr>
          <w:rFonts w:hint="eastAsia" w:ascii="宋体" w:hAnsi="宋体" w:eastAsia="宋体" w:cs="宋体"/>
          <w:b/>
          <w:color w:val="000000" w:themeColor="text1"/>
          <w:sz w:val="24"/>
          <w:szCs w:val="24"/>
          <w:lang w:val="en-US" w:eastAsia="zh-CN"/>
          <w14:textFill>
            <w14:solidFill>
              <w14:schemeClr w14:val="tx1"/>
            </w14:solidFill>
          </w14:textFill>
        </w:rPr>
        <w:t>七</w:t>
      </w:r>
      <w:r>
        <w:rPr>
          <w:rFonts w:hint="eastAsia" w:ascii="宋体" w:hAnsi="宋体" w:eastAsia="宋体" w:cs="宋体"/>
          <w:b/>
          <w:color w:val="000000" w:themeColor="text1"/>
          <w:sz w:val="24"/>
          <w:szCs w:val="24"/>
          <w14:textFill>
            <w14:solidFill>
              <w14:schemeClr w14:val="tx1"/>
            </w14:solidFill>
          </w14:textFill>
        </w:rPr>
        <w:t>、合同</w:t>
      </w:r>
      <w:bookmarkEnd w:id="35"/>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成交供应商在收到成交通知书后</w:t>
      </w:r>
      <w:r>
        <w:rPr>
          <w:rFonts w:hint="eastAsia" w:ascii="宋体" w:hAnsi="宋体" w:eastAsia="宋体" w:cs="宋体"/>
          <w:color w:val="000000" w:themeColor="text1"/>
          <w:sz w:val="24"/>
          <w:szCs w:val="24"/>
          <w:lang w:eastAsia="zh-CN"/>
          <w14:textFill>
            <w14:solidFill>
              <w14:schemeClr w14:val="tx1"/>
            </w14:solidFill>
          </w14:textFill>
        </w:rPr>
        <w:t>三十</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）个日历日内，应按竞争性磋商文件的要求与</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签订合同。</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成交供应商因自身原因不按规定或拒绝与</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签订合同的，则</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将废除授标，磋商保证金不予退还。给</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造成损失超过磋商保证金额的，还应当对超过部分予以赔偿，并依法承担相应法律责任；同时，</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可以按照评审报告推荐的成交候选人名单排序，确定下一候选人为成交供应商，以此类推，也可以重新开展政府采购活动。因自身原因拒绝签订政府采购合同的或者未按合同约定进行履约的，成交供应商不得参加对该项目重新开展的磋商活动。</w:t>
      </w:r>
    </w:p>
    <w:p>
      <w:pPr>
        <w:pageBreakBefore w:val="0"/>
        <w:kinsoku/>
        <w:wordWrap/>
        <w:overflowPunct/>
        <w:topLinePunct w:val="0"/>
        <w:bidi w:val="0"/>
        <w:spacing w:line="360" w:lineRule="auto"/>
        <w:ind w:firstLine="56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成交通知书将是合同的重要组成部分。竞争性磋商文件、成交供应商的竞争性磋商响应文件及评议过程中有关的澄清文件均作为合同附件。</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成交后，成交供应商应按照合同约定履行义务，完成磋商项目的供货，经</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同意，成交供应商可以依法采取分包方式履行合同。分包部分为成交项目的部分非主体、非关键性工作。接受分包的供应商应当具备相应的资格条件，并不得再次分包。分包履行的，成交供应商就采购项目和分包项目向</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负责，分包供应商就分包项目承担责任。</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所签订的合同不得对磋商文件确定的事项和成交供应商磋商响应文件作实质性修改。</w:t>
      </w: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需追加与合同标的相同的货物、工程或服务的，在不改变合同其他条款的前提下，可以与供应商协商签订补充合同，但所有补充合同的采购金额不得超过原合同采购金额的百分之十。</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b/>
          <w:color w:val="000000" w:themeColor="text1"/>
          <w:sz w:val="24"/>
          <w:szCs w:val="24"/>
          <w14:textFill>
            <w14:solidFill>
              <w14:schemeClr w14:val="tx1"/>
            </w14:solidFill>
          </w14:textFill>
        </w:rPr>
      </w:pPr>
      <w:bookmarkStart w:id="36" w:name="_Toc7645"/>
      <w:r>
        <w:rPr>
          <w:rFonts w:hint="eastAsia" w:ascii="宋体" w:hAnsi="宋体" w:eastAsia="宋体" w:cs="宋体"/>
          <w:b/>
          <w:color w:val="000000" w:themeColor="text1"/>
          <w:sz w:val="24"/>
          <w:szCs w:val="24"/>
          <w:lang w:val="en-US" w:eastAsia="zh-CN"/>
          <w14:textFill>
            <w14:solidFill>
              <w14:schemeClr w14:val="tx1"/>
            </w14:solidFill>
          </w14:textFill>
        </w:rPr>
        <w:t>八</w:t>
      </w:r>
      <w:r>
        <w:rPr>
          <w:rFonts w:hint="eastAsia" w:ascii="宋体" w:hAnsi="宋体" w:eastAsia="宋体" w:cs="宋体"/>
          <w:b/>
          <w:color w:val="000000" w:themeColor="text1"/>
          <w:sz w:val="24"/>
          <w:szCs w:val="24"/>
          <w14:textFill>
            <w14:solidFill>
              <w14:schemeClr w14:val="tx1"/>
            </w14:solidFill>
          </w14:textFill>
        </w:rPr>
        <w:t>、合同的履约验收</w:t>
      </w:r>
      <w:bookmarkEnd w:id="36"/>
    </w:p>
    <w:p>
      <w:pPr>
        <w:pageBreakBefore w:val="0"/>
        <w:kinsoku/>
        <w:wordWrap/>
        <w:overflowPunct/>
        <w:topLinePunct w:val="0"/>
        <w:bidi w:val="0"/>
        <w:spacing w:line="360" w:lineRule="auto"/>
        <w:ind w:firstLine="56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应按照政府采购合同约定的技术、服务、安全标准组织对供应商每一项技术、服务、安全标准的履约情况进行验收，并出具验收书。</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color w:val="000000" w:themeColor="text1"/>
          <w:sz w:val="24"/>
          <w:szCs w:val="24"/>
          <w14:textFill>
            <w14:solidFill>
              <w14:schemeClr w14:val="tx1"/>
            </w14:solidFill>
          </w14:textFill>
        </w:rPr>
      </w:pPr>
      <w:bookmarkStart w:id="37" w:name="_Toc7854"/>
      <w:r>
        <w:rPr>
          <w:rFonts w:hint="eastAsia" w:ascii="宋体" w:hAnsi="宋体" w:eastAsia="宋体" w:cs="宋体"/>
          <w:b/>
          <w:color w:val="000000" w:themeColor="text1"/>
          <w:sz w:val="24"/>
          <w:szCs w:val="24"/>
          <w:lang w:val="en-US" w:eastAsia="zh-CN"/>
          <w14:textFill>
            <w14:solidFill>
              <w14:schemeClr w14:val="tx1"/>
            </w14:solidFill>
          </w14:textFill>
        </w:rPr>
        <w:t>九</w:t>
      </w:r>
      <w:r>
        <w:rPr>
          <w:rFonts w:hint="eastAsia" w:ascii="宋体" w:hAnsi="宋体" w:eastAsia="宋体" w:cs="宋体"/>
          <w:b/>
          <w:color w:val="000000" w:themeColor="text1"/>
          <w:sz w:val="24"/>
          <w:szCs w:val="24"/>
          <w14:textFill>
            <w14:solidFill>
              <w14:schemeClr w14:val="tx1"/>
            </w14:solidFill>
          </w14:textFill>
        </w:rPr>
        <w:t>、招标服务费</w:t>
      </w:r>
      <w:bookmarkEnd w:id="37"/>
    </w:p>
    <w:p>
      <w:pPr>
        <w:pageBreakBefore w:val="0"/>
        <w:kinsoku/>
        <w:wordWrap/>
        <w:overflowPunct/>
        <w:topLinePunct w:val="0"/>
        <w:bidi w:val="0"/>
        <w:spacing w:line="360" w:lineRule="auto"/>
        <w:ind w:firstLine="560"/>
        <w:jc w:val="left"/>
        <w:textAlignment w:val="auto"/>
        <w:rPr>
          <w:rFonts w:hint="eastAsia" w:ascii="宋体" w:hAnsi="宋体" w:eastAsia="宋体" w:cs="宋体"/>
          <w:color w:val="000000" w:themeColor="text1"/>
          <w:sz w:val="24"/>
          <w:szCs w:val="24"/>
          <w14:textFill>
            <w14:solidFill>
              <w14:schemeClr w14:val="tx1"/>
            </w14:solidFill>
          </w14:textFill>
        </w:rPr>
      </w:pPr>
      <w:bookmarkStart w:id="38" w:name="_Toc22443"/>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代理费用取方式及标准：参照《国家计委关于印发&lt;招标代理服务收费管理暂行办法&gt;的通知》(计价格〔2002〕1980号)规定取费标准</w:t>
      </w:r>
      <w:r>
        <w:rPr>
          <w:rFonts w:hint="eastAsia" w:ascii="宋体" w:hAnsi="宋体" w:eastAsia="宋体" w:cs="宋体"/>
          <w:color w:val="000000" w:themeColor="text1"/>
          <w:sz w:val="24"/>
          <w:szCs w:val="24"/>
          <w:lang w:val="en-US" w:eastAsia="zh-CN"/>
          <w14:textFill>
            <w14:solidFill>
              <w14:schemeClr w14:val="tx1"/>
            </w14:solidFill>
          </w14:textFill>
        </w:rPr>
        <w:t>的60%</w:t>
      </w:r>
      <w:bookmarkStart w:id="744" w:name="_GoBack"/>
      <w:bookmarkEnd w:id="744"/>
      <w:r>
        <w:rPr>
          <w:rFonts w:hint="eastAsia" w:ascii="宋体" w:hAnsi="宋体" w:eastAsia="宋体" w:cs="宋体"/>
          <w:color w:val="000000" w:themeColor="text1"/>
          <w:sz w:val="24"/>
          <w:szCs w:val="24"/>
          <w:lang w:val="en-US" w:eastAsia="zh-CN"/>
          <w14:textFill>
            <w14:solidFill>
              <w14:schemeClr w14:val="tx1"/>
            </w14:solidFill>
          </w14:textFill>
        </w:rPr>
        <w:t>收取，</w:t>
      </w:r>
      <w:r>
        <w:rPr>
          <w:rFonts w:hint="eastAsia" w:ascii="宋体" w:hAnsi="宋体" w:eastAsia="宋体" w:cs="宋体"/>
          <w:color w:val="000000" w:themeColor="text1"/>
          <w:sz w:val="24"/>
          <w:szCs w:val="24"/>
          <w:lang w:eastAsia="zh-CN"/>
          <w14:textFill>
            <w14:solidFill>
              <w14:schemeClr w14:val="tx1"/>
            </w14:solidFill>
          </w14:textFill>
        </w:rPr>
        <w:t>由中标单位</w:t>
      </w:r>
      <w:r>
        <w:rPr>
          <w:rFonts w:hint="eastAsia" w:ascii="宋体" w:hAnsi="宋体" w:eastAsia="宋体" w:cs="宋体"/>
          <w:color w:val="000000" w:themeColor="text1"/>
          <w:sz w:val="24"/>
          <w:szCs w:val="24"/>
          <w14:textFill>
            <w14:solidFill>
              <w14:schemeClr w14:val="tx1"/>
            </w14:solidFill>
          </w14:textFill>
        </w:rPr>
        <w:t>向采购代理机构支付招标代理服务费。</w:t>
      </w:r>
    </w:p>
    <w:p>
      <w:pPr>
        <w:pageBreakBefore w:val="0"/>
        <w:kinsoku/>
        <w:wordWrap/>
        <w:overflowPunct/>
        <w:topLinePunct w:val="0"/>
        <w:bidi w:val="0"/>
        <w:spacing w:line="360" w:lineRule="auto"/>
        <w:ind w:firstLine="56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单位在领取成交通知书前，须向采购代理机构一次性支付代理服务费。</w:t>
      </w:r>
    </w:p>
    <w:p>
      <w:pPr>
        <w:pageBreakBefore w:val="0"/>
        <w:kinsoku/>
        <w:wordWrap/>
        <w:overflowPunct/>
        <w:topLinePunct w:val="0"/>
        <w:bidi w:val="0"/>
        <w:spacing w:line="360" w:lineRule="auto"/>
        <w:ind w:firstLine="562"/>
        <w:jc w:val="left"/>
        <w:textAlignment w:val="auto"/>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十、废标、重新组织采购</w:t>
      </w:r>
      <w:bookmarkEnd w:id="38"/>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如果发生下列情况之一的，</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或代理机构将按有关规定重新组织采购：</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（1）因情况变化，不再符合规定的竞争性磋商采购方式适用情形的；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（2）出现影响采购公正的违法、违规行为的；</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（3）磋商小组三分之二以上的专家认定所有磋商报价存在价格不实的现象。</w:t>
      </w:r>
    </w:p>
    <w:p>
      <w:pPr>
        <w:pageBreakBefore w:val="0"/>
        <w:kinsoku/>
        <w:wordWrap/>
        <w:overflowPunct/>
        <w:topLinePunct w:val="0"/>
        <w:bidi w:val="0"/>
        <w:spacing w:line="360" w:lineRule="auto"/>
        <w:ind w:firstLine="562"/>
        <w:textAlignment w:val="auto"/>
        <w:outlineLvl w:val="1"/>
        <w:rPr>
          <w:rFonts w:hint="eastAsia" w:ascii="宋体" w:hAnsi="宋体" w:eastAsia="宋体" w:cs="宋体"/>
          <w:b/>
          <w:color w:val="000000" w:themeColor="text1"/>
          <w:sz w:val="24"/>
          <w:szCs w:val="24"/>
          <w14:textFill>
            <w14:solidFill>
              <w14:schemeClr w14:val="tx1"/>
            </w14:solidFill>
          </w14:textFill>
        </w:rPr>
      </w:pPr>
      <w:bookmarkStart w:id="39" w:name="_Toc28309"/>
      <w:r>
        <w:rPr>
          <w:rFonts w:hint="eastAsia" w:ascii="宋体" w:hAnsi="宋体" w:eastAsia="宋体" w:cs="宋体"/>
          <w:b/>
          <w:color w:val="000000" w:themeColor="text1"/>
          <w:sz w:val="24"/>
          <w:szCs w:val="24"/>
          <w14:textFill>
            <w14:solidFill>
              <w14:schemeClr w14:val="tx1"/>
            </w14:solidFill>
          </w14:textFill>
        </w:rPr>
        <w:t>十</w:t>
      </w:r>
      <w:r>
        <w:rPr>
          <w:rFonts w:hint="eastAsia" w:ascii="宋体" w:hAnsi="宋体" w:eastAsia="宋体" w:cs="宋体"/>
          <w:b/>
          <w:color w:val="000000" w:themeColor="text1"/>
          <w:sz w:val="24"/>
          <w:szCs w:val="24"/>
          <w:lang w:val="en-US" w:eastAsia="zh-CN"/>
          <w14:textFill>
            <w14:solidFill>
              <w14:schemeClr w14:val="tx1"/>
            </w14:solidFill>
          </w14:textFill>
        </w:rPr>
        <w:t>一</w:t>
      </w:r>
      <w:r>
        <w:rPr>
          <w:rFonts w:hint="eastAsia" w:ascii="宋体" w:hAnsi="宋体" w:eastAsia="宋体" w:cs="宋体"/>
          <w:b/>
          <w:color w:val="000000" w:themeColor="text1"/>
          <w:sz w:val="24"/>
          <w:szCs w:val="24"/>
          <w14:textFill>
            <w14:solidFill>
              <w14:schemeClr w14:val="tx1"/>
            </w14:solidFill>
          </w14:textFill>
        </w:rPr>
        <w:t>、询问、质疑与投诉</w:t>
      </w:r>
      <w:bookmarkEnd w:id="39"/>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询问</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供应商对政府采购活动事项有疑问的，可以向采购人、采购代理机构提出询问。</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质疑</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2-1供应商认为磋商文件、采购过程和成交结果使自己的权益受到损害的，可以在知道或者应知其权益受到损害之日起七个工作日内，以书面形式向采购人或者采购代理机构提出质疑。</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2-2提出质疑的应当是参与所质疑项目采购活动的供应商。</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2-3提出质疑应当提交质疑函和必要的证明材料。质疑函应当包括下列内容：</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（1）供应商的姓名或者名称、地址、邮编、联系人及联系电话；</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（2）质疑项目的名称、编号；</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（3）具体、明确的质疑事项和与质疑事项相关的请求；</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（4）事实依据；</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（5）必要的法律依据；</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（6）提出质疑的日期。</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供应商为自然人的，应当由本人签字；供应商为法人或者其他组织的，应当由法定代表人、主要负责人，或者其授权代表签字或者盖章，并加盖公章。</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2-5有下列情形之一的，属于无效质疑：</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①质疑人不是参与本次政府采购项目的服务商或潜在服务商；</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②质疑人与质疑事项不存在利害关系的；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③未在法定期限内提出质疑的；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④质疑未以书面形式提出，或质疑函主要内容构成不完整的；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⑤质疑函没有合法有效的签字、盖章或授权的；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⑥以非法手段取得证据、材料的；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⑦质疑答复后，同一质疑人就同一事项再次提出质疑的；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⑧不符合法律、法规、规章和政府采购监管机构规定的其他条件的。</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2-6符合要求的质疑，采购代理机构将予以受理并答复，具体联系方式如下：</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联系电话：</w:t>
      </w:r>
      <w:r>
        <w:rPr>
          <w:rFonts w:hint="eastAsia" w:ascii="宋体" w:hAnsi="宋体" w:eastAsia="宋体" w:cs="宋体"/>
          <w:bCs/>
          <w:color w:val="000000" w:themeColor="text1"/>
          <w:sz w:val="24"/>
          <w:szCs w:val="24"/>
          <w:lang w:val="en-US" w:eastAsia="zh-CN"/>
          <w14:textFill>
            <w14:solidFill>
              <w14:schemeClr w14:val="tx1"/>
            </w14:solidFill>
          </w14:textFill>
        </w:rPr>
        <w:t>18092114697</w:t>
      </w:r>
      <w:r>
        <w:rPr>
          <w:rFonts w:hint="eastAsia" w:ascii="宋体" w:hAnsi="宋体" w:eastAsia="宋体" w:cs="宋体"/>
          <w:bCs/>
          <w:color w:val="000000" w:themeColor="text1"/>
          <w:sz w:val="24"/>
          <w:szCs w:val="24"/>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陕西省西安市经济技术开发区未央路171-1号银池道拉斯财富中心21楼03号</w:t>
      </w:r>
    </w:p>
    <w:p>
      <w:pPr>
        <w:pageBreakBefore w:val="0"/>
        <w:kinsoku/>
        <w:wordWrap/>
        <w:overflowPunct/>
        <w:topLinePunct w:val="0"/>
        <w:bidi w:val="0"/>
        <w:spacing w:line="360" w:lineRule="auto"/>
        <w:ind w:left="239" w:leftChars="114" w:firstLine="398" w:firstLineChars="166"/>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2-7采购代理机构或采购人将在收到书面质疑后7个工作日内做出答复，并以书面形式通知质疑人和其他有关供应商。</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lang w:val="en-US"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投诉</w:t>
      </w:r>
    </w:p>
    <w:p>
      <w:pPr>
        <w:pageBreakBefore w:val="0"/>
        <w:kinsoku/>
        <w:wordWrap/>
        <w:overflowPunct/>
        <w:topLinePunct w:val="0"/>
        <w:bidi w:val="0"/>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3-1质疑人对采购代理机构或采购人的答复不满意，以及采购代理机构或采购人未在规定时间内做出答复的，可以在答复期满后15个工作日内向政府采购监管机构提出投诉。</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3-2投诉的事项不得超出已质疑事项的范围，但基于质疑答复内容提出的投诉事项除外。</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000000" w:themeColor="text1"/>
          <w:sz w:val="20"/>
          <w:szCs w:val="21"/>
          <w:highlight w:val="none"/>
          <w14:textFill>
            <w14:solidFill>
              <w14:schemeClr w14:val="tx1"/>
            </w14:solidFill>
          </w14:textFill>
        </w:rPr>
      </w:pPr>
      <w:bookmarkStart w:id="40" w:name="_Toc18338"/>
      <w:bookmarkStart w:id="41" w:name="_Toc19091852"/>
      <w:bookmarkStart w:id="42" w:name="_Toc26519376"/>
      <w:bookmarkStart w:id="43" w:name="_Toc19091861"/>
      <w:bookmarkStart w:id="44" w:name="_Toc26519377"/>
      <w:r>
        <w:rPr>
          <w:rFonts w:hint="eastAsia" w:ascii="宋体" w:hAnsi="宋体" w:eastAsia="宋体" w:cs="宋体"/>
          <w:b/>
          <w:color w:val="000000" w:themeColor="text1"/>
          <w:sz w:val="24"/>
          <w:szCs w:val="24"/>
          <w14:textFill>
            <w14:solidFill>
              <w14:schemeClr w14:val="tx1"/>
            </w14:solidFill>
          </w14:textFill>
        </w:rPr>
        <w:t>十</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、拒绝商业贿赂</w:t>
      </w:r>
      <w:bookmarkEnd w:id="4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采购人、采购代理机构、供应商和评审专家在磋商活动中，都要签订相应的《拒绝政府采购领域商业贿赂承诺书》，并对违反承诺的行为承担全部责任。</w:t>
      </w:r>
      <w:r>
        <w:rPr>
          <w:rFonts w:hint="eastAsia" w:ascii="宋体" w:hAnsi="宋体" w:eastAsia="宋体" w:cs="宋体"/>
          <w:color w:val="000000" w:themeColor="text1"/>
          <w:highlight w:val="none"/>
          <w14:textFill>
            <w14:solidFill>
              <w14:schemeClr w14:val="tx1"/>
            </w14:solidFill>
          </w14:textFill>
        </w:rPr>
        <w:br w:type="page"/>
      </w:r>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color w:val="000000" w:themeColor="text1"/>
          <w14:textFill>
            <w14:solidFill>
              <w14:schemeClr w14:val="tx1"/>
            </w14:solidFill>
          </w14:textFill>
        </w:rPr>
      </w:pPr>
      <w:bookmarkStart w:id="45" w:name="_Toc30927"/>
      <w:r>
        <w:rPr>
          <w:rFonts w:hint="eastAsia" w:ascii="宋体" w:hAnsi="宋体" w:eastAsia="宋体" w:cs="宋体"/>
          <w:color w:val="000000" w:themeColor="text1"/>
          <w:sz w:val="36"/>
          <w:szCs w:val="36"/>
          <w:highlight w:val="none"/>
          <w14:textFill>
            <w14:solidFill>
              <w14:schemeClr w14:val="tx1"/>
            </w14:solidFill>
          </w14:textFill>
        </w:rPr>
        <w:t xml:space="preserve">第三部分  </w:t>
      </w:r>
      <w:bookmarkEnd w:id="41"/>
      <w:bookmarkEnd w:id="42"/>
      <w:bookmarkStart w:id="46" w:name="_Hlt178421374"/>
      <w:bookmarkEnd w:id="46"/>
      <w:bookmarkStart w:id="47" w:name="_Hlt113759197"/>
      <w:bookmarkEnd w:id="47"/>
      <w:r>
        <w:rPr>
          <w:rFonts w:hint="eastAsia" w:ascii="宋体" w:hAnsi="宋体" w:eastAsia="宋体" w:cs="宋体"/>
          <w:color w:val="000000" w:themeColor="text1"/>
          <w:sz w:val="36"/>
          <w:szCs w:val="36"/>
          <w:highlight w:val="none"/>
          <w:lang w:eastAsia="zh-CN"/>
          <w14:textFill>
            <w14:solidFill>
              <w14:schemeClr w14:val="tx1"/>
            </w14:solidFill>
          </w14:textFill>
        </w:rPr>
        <w:t>工程量清单</w:t>
      </w:r>
      <w:bookmarkEnd w:id="45"/>
      <w:bookmarkStart w:id="48" w:name="_Toc500142208"/>
    </w:p>
    <w:p>
      <w:pPr>
        <w:pStyle w:val="14"/>
        <w:rPr>
          <w:rFonts w:hint="eastAsia" w:ascii="宋体" w:hAnsi="宋体" w:eastAsia="宋体" w:cs="宋体"/>
          <w:color w:val="000000" w:themeColor="text1"/>
          <w14:textFill>
            <w14:solidFill>
              <w14:schemeClr w14:val="tx1"/>
            </w14:solidFill>
          </w14:textFill>
        </w:rPr>
      </w:pPr>
    </w:p>
    <w:p>
      <w:pPr>
        <w:pStyle w:val="14"/>
        <w:ind w:firstLine="3213" w:firstLineChars="1000"/>
        <w:rPr>
          <w:rFonts w:hint="eastAsia" w:ascii="宋体" w:hAnsi="宋体" w:eastAsia="宋体" w:cs="宋体"/>
          <w:b/>
          <w:bCs/>
          <w:color w:val="000000" w:themeColor="text1"/>
          <w:sz w:val="16"/>
          <w:szCs w:val="16"/>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工程量清单另附</w:t>
      </w: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rPr>
          <w:rFonts w:hint="eastAsia" w:ascii="宋体" w:hAnsi="宋体" w:eastAsia="宋体" w:cs="宋体"/>
          <w:color w:val="000000" w:themeColor="text1"/>
          <w14:textFill>
            <w14:solidFill>
              <w14:schemeClr w14:val="tx1"/>
            </w14:solidFill>
          </w14:textFill>
        </w:rPr>
      </w:pPr>
    </w:p>
    <w:p>
      <w:pPr>
        <w:pStyle w:val="14"/>
        <w:jc w:val="center"/>
        <w:rPr>
          <w:rFonts w:hint="eastAsia" w:ascii="宋体" w:hAnsi="宋体" w:eastAsia="宋体" w:cs="宋体"/>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14:textFill>
            <w14:solidFill>
              <w14:schemeClr w14:val="tx1"/>
            </w14:solidFill>
          </w14:textFill>
        </w:rPr>
      </w:pPr>
    </w:p>
    <w:p>
      <w:pPr>
        <w:pStyle w:val="3"/>
        <w:pageBreakBefore w:val="0"/>
        <w:kinsoku/>
        <w:wordWrap/>
        <w:overflowPunct/>
        <w:topLinePunct w:val="0"/>
        <w:bidi w:val="0"/>
        <w:spacing w:before="0" w:after="0" w:line="360" w:lineRule="auto"/>
        <w:ind w:firstLine="2650"/>
        <w:textAlignment w:val="auto"/>
        <w:rPr>
          <w:rFonts w:hint="eastAsia" w:ascii="宋体" w:hAnsi="宋体" w:eastAsia="宋体" w:cs="宋体"/>
          <w:color w:val="000000" w:themeColor="text1"/>
          <w:sz w:val="36"/>
          <w:szCs w:val="36"/>
          <w:highlight w:val="none"/>
          <w14:textFill>
            <w14:solidFill>
              <w14:schemeClr w14:val="tx1"/>
            </w14:solidFill>
          </w14:textFill>
        </w:rPr>
      </w:pPr>
      <w:bookmarkStart w:id="49" w:name="_Toc12095"/>
      <w:r>
        <w:rPr>
          <w:rFonts w:hint="eastAsia" w:ascii="宋体" w:hAnsi="宋体" w:eastAsia="宋体" w:cs="宋体"/>
          <w:color w:val="000000" w:themeColor="text1"/>
          <w:sz w:val="36"/>
          <w:szCs w:val="36"/>
          <w:highlight w:val="none"/>
          <w14:textFill>
            <w14:solidFill>
              <w14:schemeClr w14:val="tx1"/>
            </w14:solidFill>
          </w14:textFill>
        </w:rPr>
        <w:t>第四部分  商务要求</w:t>
      </w:r>
      <w:bookmarkEnd w:id="48"/>
      <w:bookmarkEnd w:id="49"/>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bookmarkStart w:id="50" w:name="_Toc28986"/>
      <w:r>
        <w:rPr>
          <w:rFonts w:hint="eastAsia" w:ascii="宋体" w:hAnsi="宋体" w:eastAsia="宋体" w:cs="宋体"/>
          <w:b/>
          <w:bCs/>
          <w:color w:val="000000" w:themeColor="text1"/>
          <w:sz w:val="24"/>
          <w:szCs w:val="21"/>
          <w:highlight w:val="none"/>
          <w:lang w:val="en-US" w:eastAsia="zh-CN"/>
          <w14:textFill>
            <w14:solidFill>
              <w14:schemeClr w14:val="tx1"/>
            </w14:solidFill>
          </w14:textFill>
        </w:rPr>
        <w:t>一、工期、施工地点及工程质量</w:t>
      </w:r>
      <w:bookmarkEnd w:id="50"/>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bookmarkStart w:id="51" w:name="_Toc167715234"/>
      <w:bookmarkStart w:id="52" w:name="_Toc167712839"/>
      <w:bookmarkStart w:id="53" w:name="_Toc167714037"/>
      <w:r>
        <w:rPr>
          <w:rFonts w:hint="eastAsia" w:ascii="宋体" w:hAnsi="宋体" w:eastAsia="宋体" w:cs="宋体"/>
          <w:b w:val="0"/>
          <w:bCs w:val="0"/>
          <w:color w:val="000000" w:themeColor="text1"/>
          <w:sz w:val="24"/>
          <w:szCs w:val="24"/>
          <w:highlight w:val="none"/>
          <w14:textFill>
            <w14:solidFill>
              <w14:schemeClr w14:val="tx1"/>
            </w14:solidFill>
          </w14:textFill>
        </w:rPr>
        <w:t>1</w:t>
      </w:r>
      <w:bookmarkEnd w:id="51"/>
      <w:bookmarkEnd w:id="52"/>
      <w:bookmarkEnd w:id="53"/>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工期：合同签订后120个日历日内施工完毕交付验收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施工地点：安康职业技术学院</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3.质保期：防水工程质保期5年，其余工程2年，质保期自竣工终验合格之日起算。</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bookmarkStart w:id="54" w:name="_Toc29143"/>
      <w:bookmarkStart w:id="55" w:name="_Toc167712840"/>
      <w:bookmarkStart w:id="56" w:name="_Toc167715235"/>
      <w:bookmarkStart w:id="57" w:name="_Toc167714038"/>
      <w:r>
        <w:rPr>
          <w:rFonts w:hint="eastAsia" w:ascii="宋体" w:hAnsi="宋体" w:eastAsia="宋体" w:cs="宋体"/>
          <w:b/>
          <w:bCs/>
          <w:color w:val="000000" w:themeColor="text1"/>
          <w:sz w:val="24"/>
          <w:szCs w:val="21"/>
          <w:highlight w:val="none"/>
          <w:lang w:val="en-US" w:eastAsia="zh-CN"/>
          <w14:textFill>
            <w14:solidFill>
              <w14:schemeClr w14:val="tx1"/>
            </w14:solidFill>
          </w14:textFill>
        </w:rPr>
        <w:t>二、运输、进度</w:t>
      </w:r>
      <w:bookmarkStart w:id="58" w:name="_Toc167712841"/>
      <w:bookmarkStart w:id="59" w:name="_Toc167715236"/>
      <w:bookmarkStart w:id="60" w:name="_Toc167714039"/>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成交单位</w:t>
      </w:r>
      <w:r>
        <w:rPr>
          <w:rFonts w:hint="eastAsia" w:ascii="宋体" w:hAnsi="宋体" w:eastAsia="宋体" w:cs="宋体"/>
          <w:b w:val="0"/>
          <w:bCs w:val="0"/>
          <w:color w:val="000000" w:themeColor="text1"/>
          <w:sz w:val="24"/>
          <w:szCs w:val="24"/>
          <w:highlight w:val="none"/>
          <w14:textFill>
            <w14:solidFill>
              <w14:schemeClr w14:val="tx1"/>
            </w14:solidFill>
          </w14:textFill>
        </w:rPr>
        <w:t>负责施工过程中的材料的运输等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（采购材料进场前，需经</w:t>
      </w:r>
      <w:r>
        <w:rPr>
          <w:rFonts w:hint="eastAsia" w:hAnsi="宋体" w:cs="宋体"/>
          <w:b w:val="0"/>
          <w:bCs w:val="0"/>
          <w:color w:val="000000" w:themeColor="text1"/>
          <w:sz w:val="24"/>
          <w:szCs w:val="24"/>
          <w:highlight w:val="none"/>
          <w:lang w:eastAsia="zh-CN"/>
          <w14:textFill>
            <w14:solidFill>
              <w14:schemeClr w14:val="tx1"/>
            </w14:solidFill>
          </w14:textFill>
        </w:rPr>
        <w:t>招标人同意，方可入场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w:t>
      </w:r>
      <w:bookmarkEnd w:id="54"/>
      <w:bookmarkEnd w:id="58"/>
      <w:bookmarkEnd w:id="59"/>
      <w:bookmarkEnd w:id="60"/>
    </w:p>
    <w:bookmarkEnd w:id="55"/>
    <w:bookmarkEnd w:id="56"/>
    <w:bookmarkEnd w:id="57"/>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bookmarkStart w:id="61" w:name="_Toc167712846"/>
      <w:bookmarkStart w:id="62" w:name="_Toc167715241"/>
      <w:bookmarkStart w:id="63" w:name="_Toc167714044"/>
      <w:r>
        <w:rPr>
          <w:rFonts w:hint="eastAsia" w:ascii="宋体" w:hAnsi="宋体" w:eastAsia="宋体" w:cs="宋体"/>
          <w:b/>
          <w:bCs/>
          <w:color w:val="000000" w:themeColor="text1"/>
          <w:sz w:val="24"/>
          <w:szCs w:val="21"/>
          <w:highlight w:val="none"/>
          <w:lang w:val="en-US" w:eastAsia="zh-CN"/>
          <w14:textFill>
            <w14:solidFill>
              <w14:schemeClr w14:val="tx1"/>
            </w14:solidFill>
          </w14:textFill>
        </w:rPr>
        <w:t>三、付款方式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bookmarkStart w:id="64" w:name="_Toc29289"/>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1、合同固定综合单价、总价可调。</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2、合同签订后，支付合同总价的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30%作为预付款；工程进度完成50%，支付至合同总价的50%；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竣工验收合格后付至合同总价的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80%；结算审核定案后，付至结算审定价的97%；预留审定价的3%为质保金，质保期满后，无息返还。</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四、项目验收</w:t>
      </w:r>
      <w:bookmarkEnd w:id="64"/>
    </w:p>
    <w:bookmarkEnd w:id="61"/>
    <w:bookmarkEnd w:id="62"/>
    <w:bookmarkEnd w:id="63"/>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bookmarkStart w:id="65" w:name="_Toc7079"/>
      <w:r>
        <w:rPr>
          <w:rFonts w:hint="eastAsia" w:ascii="宋体" w:hAnsi="宋体" w:eastAsia="宋体" w:cs="宋体"/>
          <w:color w:val="000000" w:themeColor="text1"/>
          <w:sz w:val="24"/>
          <w:szCs w:val="21"/>
          <w:highlight w:val="none"/>
          <w:lang w:val="en-US" w:eastAsia="zh-CN"/>
          <w14:textFill>
            <w14:solidFill>
              <w14:schemeClr w14:val="tx1"/>
            </w14:solidFill>
          </w14:textFill>
        </w:rPr>
        <w:t>1.交付竣工验收的工程，必须符合规定的工程质量标准，有完整的工程技术经济资料和经签署的工程保修书，并具备国家规定的其他竣工条件。 工程竣工经验收合格后，方可交付使用；未经验收或者验收不合格的，不得交付使用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2.验收结果合格的，采购人应向成交供应商出具履约验收报告，成交供应商凭验收报告办理相关手续。</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3.验收结果不合格的，履约保证金将不予退还，给采购人造成的损失超过履约保证金数额的，还应当对超过部分予以赔偿；没有提交履约保证金的，应当对采购人的损失承担赔偿责任。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4.验收依据</w:t>
      </w:r>
      <w:bookmarkStart w:id="66" w:name="_Toc167715242"/>
      <w:bookmarkEnd w:id="66"/>
      <w:bookmarkStart w:id="67" w:name="_Toc167712847"/>
      <w:bookmarkEnd w:id="67"/>
      <w:bookmarkStart w:id="68" w:name="_Toc167714045"/>
      <w:bookmarkEnd w:id="68"/>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（1）合同文本及合同补充文件（条款）。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（2）招标文件。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（3）中标人的投标文件。</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（4）合同服务清单。</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五、</w:t>
      </w:r>
      <w:bookmarkStart w:id="69" w:name="_Toc167715248"/>
      <w:bookmarkStart w:id="70" w:name="_Toc167714051"/>
      <w:bookmarkStart w:id="71" w:name="_Toc167712853"/>
      <w:r>
        <w:rPr>
          <w:rFonts w:hint="eastAsia" w:ascii="宋体" w:hAnsi="宋体" w:eastAsia="宋体" w:cs="宋体"/>
          <w:b/>
          <w:bCs/>
          <w:color w:val="000000" w:themeColor="text1"/>
          <w:sz w:val="24"/>
          <w:szCs w:val="21"/>
          <w:highlight w:val="none"/>
          <w:lang w:val="en-US" w:eastAsia="zh-CN"/>
          <w14:textFill>
            <w14:solidFill>
              <w14:schemeClr w14:val="tx1"/>
            </w14:solidFill>
          </w14:textFill>
        </w:rPr>
        <w:t>质量保证</w:t>
      </w:r>
      <w:bookmarkEnd w:id="65"/>
      <w:bookmarkEnd w:id="69"/>
      <w:bookmarkEnd w:id="70"/>
      <w:bookmarkEnd w:id="71"/>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1"/>
          <w:highlight w:val="none"/>
          <w14:textFill>
            <w14:solidFill>
              <w14:schemeClr w14:val="tx1"/>
            </w14:solidFill>
          </w14:textFill>
        </w:rPr>
        <w:t>本工程质量等级为符合国家验收相关标准，并达到合格标准。</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宋体" w:hAnsi="宋体" w:eastAsia="宋体" w:cs="宋体"/>
          <w:b w:val="0"/>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1"/>
          <w:highlight w:val="none"/>
          <w:lang w:val="en-US" w:eastAsia="zh-CN"/>
          <w14:textFill>
            <w14:solidFill>
              <w14:schemeClr w14:val="tx1"/>
            </w14:solidFill>
          </w14:textFill>
        </w:rPr>
        <w:t>2.</w:t>
      </w:r>
      <w:r>
        <w:rPr>
          <w:rFonts w:hint="eastAsia" w:ascii="宋体" w:hAnsi="宋体" w:eastAsia="宋体" w:cs="宋体"/>
          <w:b w:val="0"/>
          <w:bCs/>
          <w:color w:val="auto"/>
          <w:sz w:val="24"/>
          <w:szCs w:val="21"/>
          <w:highlight w:val="none"/>
          <w:lang w:val="en-US" w:eastAsia="zh-CN"/>
        </w:rPr>
        <w:t>防水工程质保期5年，其余工程2年，质保期自竣工终验合格之日起算。</w:t>
      </w:r>
      <w:r>
        <w:rPr>
          <w:rFonts w:hint="eastAsia" w:ascii="宋体" w:hAnsi="宋体" w:eastAsia="宋体" w:cs="宋体"/>
          <w:b w:val="0"/>
          <w:bCs/>
          <w:color w:val="000000" w:themeColor="text1"/>
          <w:sz w:val="24"/>
          <w:szCs w:val="21"/>
          <w:highlight w:val="none"/>
          <w:lang w:val="en-US" w:eastAsia="zh-CN"/>
          <w14:textFill>
            <w14:solidFill>
              <w14:schemeClr w14:val="tx1"/>
            </w14:solidFill>
          </w14:textFill>
        </w:rPr>
        <w:t>质保期内涉及的工程质量问题，乙方无条件返修。</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bookmarkStart w:id="72" w:name="_Toc22799"/>
      <w:r>
        <w:rPr>
          <w:rFonts w:hint="eastAsia" w:ascii="宋体" w:hAnsi="宋体" w:eastAsia="宋体" w:cs="宋体"/>
          <w:b/>
          <w:bCs/>
          <w:color w:val="000000" w:themeColor="text1"/>
          <w:sz w:val="24"/>
          <w:szCs w:val="21"/>
          <w:highlight w:val="none"/>
          <w:lang w:val="en-US" w:eastAsia="zh-CN"/>
          <w14:textFill>
            <w14:solidFill>
              <w14:schemeClr w14:val="tx1"/>
            </w14:solidFill>
          </w14:textFill>
        </w:rPr>
        <w:t>六、</w:t>
      </w:r>
      <w:bookmarkStart w:id="73" w:name="_Toc167714066"/>
      <w:bookmarkStart w:id="74" w:name="_Toc167715263"/>
      <w:bookmarkStart w:id="75" w:name="_Toc167712868"/>
      <w:r>
        <w:rPr>
          <w:rFonts w:hint="eastAsia" w:ascii="宋体" w:hAnsi="宋体" w:eastAsia="宋体" w:cs="宋体"/>
          <w:b/>
          <w:bCs/>
          <w:color w:val="000000" w:themeColor="text1"/>
          <w:sz w:val="24"/>
          <w:szCs w:val="21"/>
          <w:highlight w:val="none"/>
          <w:lang w:val="en-US" w:eastAsia="zh-CN"/>
          <w14:textFill>
            <w14:solidFill>
              <w14:schemeClr w14:val="tx1"/>
            </w14:solidFill>
          </w14:textFill>
        </w:rPr>
        <w:t>合同实施</w:t>
      </w:r>
      <w:bookmarkEnd w:id="72"/>
      <w:bookmarkEnd w:id="73"/>
      <w:bookmarkEnd w:id="74"/>
      <w:bookmarkEnd w:id="75"/>
      <w:bookmarkStart w:id="76" w:name="_Toc167714067"/>
      <w:bookmarkStart w:id="77" w:name="_Toc167715264"/>
      <w:bookmarkStart w:id="78" w:name="_Toc167712869"/>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End w:id="76"/>
      <w:bookmarkEnd w:id="77"/>
      <w:bookmarkEnd w:id="78"/>
      <w:r>
        <w:rPr>
          <w:rFonts w:hint="eastAsia" w:ascii="宋体" w:hAnsi="宋体" w:eastAsia="宋体" w:cs="宋体"/>
          <w:color w:val="000000" w:themeColor="text1"/>
          <w:sz w:val="24"/>
          <w:szCs w:val="21"/>
          <w:highlight w:val="none"/>
          <w:lang w:val="en-US" w:eastAsia="zh-CN"/>
          <w14:textFill>
            <w14:solidFill>
              <w14:schemeClr w14:val="tx1"/>
            </w14:solidFill>
          </w14:textFill>
        </w:rPr>
        <w:t>.</w:t>
      </w:r>
      <w:r>
        <w:rPr>
          <w:rFonts w:hint="eastAsia" w:ascii="宋体" w:hAnsi="宋体" w:eastAsia="宋体" w:cs="宋体"/>
          <w:color w:val="000000" w:themeColor="text1"/>
          <w:sz w:val="24"/>
          <w:szCs w:val="21"/>
          <w:highlight w:val="none"/>
          <w:lang w:eastAsia="zh-CN"/>
          <w14:textFill>
            <w14:solidFill>
              <w14:schemeClr w14:val="tx1"/>
            </w14:solidFill>
          </w14:textFill>
        </w:rPr>
        <w:t>成交单位</w:t>
      </w:r>
      <w:r>
        <w:rPr>
          <w:rFonts w:hint="eastAsia" w:ascii="宋体" w:hAnsi="宋体" w:eastAsia="宋体" w:cs="宋体"/>
          <w:color w:val="000000" w:themeColor="text1"/>
          <w:sz w:val="24"/>
          <w:szCs w:val="21"/>
          <w:highlight w:val="none"/>
          <w14:textFill>
            <w14:solidFill>
              <w14:schemeClr w14:val="tx1"/>
            </w14:solidFill>
          </w14:textFill>
        </w:rPr>
        <w:t>应在合同签订后</w:t>
      </w:r>
      <w:r>
        <w:rPr>
          <w:rFonts w:hint="eastAsia" w:ascii="宋体" w:hAnsi="宋体" w:eastAsia="宋体" w:cs="宋体"/>
          <w:color w:val="000000" w:themeColor="text1"/>
          <w:sz w:val="24"/>
          <w:szCs w:val="21"/>
          <w:highlight w:val="none"/>
          <w:lang w:val="en-US" w:eastAsia="zh-CN"/>
          <w14:textFill>
            <w14:solidFill>
              <w14:schemeClr w14:val="tx1"/>
            </w14:solidFill>
          </w14:textFill>
        </w:rPr>
        <w:t>5</w:t>
      </w:r>
      <w:r>
        <w:rPr>
          <w:rFonts w:hint="eastAsia" w:ascii="宋体" w:hAnsi="宋体" w:eastAsia="宋体" w:cs="宋体"/>
          <w:color w:val="000000" w:themeColor="text1"/>
          <w:sz w:val="24"/>
          <w:szCs w:val="21"/>
          <w:highlight w:val="none"/>
          <w14:textFill>
            <w14:solidFill>
              <w14:schemeClr w14:val="tx1"/>
            </w14:solidFill>
          </w14:textFill>
        </w:rPr>
        <w:t>个日历日内安排人员（项目组成人员简历表所列）与使用单位就施工进度等工作进行安排、部署。</w:t>
      </w:r>
      <w:bookmarkStart w:id="79" w:name="_Toc167715265"/>
      <w:bookmarkStart w:id="80" w:name="_Toc167712870"/>
      <w:bookmarkStart w:id="81" w:name="_Toc167714068"/>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w:t>
      </w:r>
      <w:bookmarkEnd w:id="79"/>
      <w:bookmarkEnd w:id="80"/>
      <w:bookmarkEnd w:id="81"/>
      <w:r>
        <w:rPr>
          <w:rFonts w:hint="eastAsia" w:ascii="宋体" w:hAnsi="宋体" w:eastAsia="宋体" w:cs="宋体"/>
          <w:color w:val="000000" w:themeColor="text1"/>
          <w:sz w:val="24"/>
          <w:szCs w:val="21"/>
          <w:highlight w:val="none"/>
          <w:lang w:val="en-US" w:eastAsia="zh-CN"/>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若未能在项目工期内完成合同规定的义务，由此对</w:t>
      </w:r>
      <w:r>
        <w:rPr>
          <w:rFonts w:hint="eastAsia" w:ascii="宋体" w:hAnsi="宋体" w:eastAsia="宋体" w:cs="宋体"/>
          <w:color w:val="000000" w:themeColor="text1"/>
          <w:sz w:val="24"/>
          <w:szCs w:val="21"/>
          <w:highlight w:val="none"/>
          <w:lang w:eastAsia="zh-CN"/>
          <w14:textFill>
            <w14:solidFill>
              <w14:schemeClr w14:val="tx1"/>
            </w14:solidFill>
          </w14:textFill>
        </w:rPr>
        <w:t>采购方</w:t>
      </w:r>
      <w:r>
        <w:rPr>
          <w:rFonts w:hint="eastAsia" w:ascii="宋体" w:hAnsi="宋体" w:eastAsia="宋体" w:cs="宋体"/>
          <w:color w:val="000000" w:themeColor="text1"/>
          <w:sz w:val="24"/>
          <w:szCs w:val="21"/>
          <w:highlight w:val="none"/>
          <w14:textFill>
            <w14:solidFill>
              <w14:schemeClr w14:val="tx1"/>
            </w14:solidFill>
          </w14:textFill>
        </w:rPr>
        <w:t>造成的延误和一切损失，由</w:t>
      </w:r>
      <w:r>
        <w:rPr>
          <w:rFonts w:hint="eastAsia" w:ascii="宋体" w:hAnsi="宋体" w:eastAsia="宋体" w:cs="宋体"/>
          <w:color w:val="000000" w:themeColor="text1"/>
          <w:sz w:val="24"/>
          <w:szCs w:val="21"/>
          <w:highlight w:val="none"/>
          <w:lang w:eastAsia="zh-CN"/>
          <w14:textFill>
            <w14:solidFill>
              <w14:schemeClr w14:val="tx1"/>
            </w14:solidFill>
          </w14:textFill>
        </w:rPr>
        <w:t>成交单位</w:t>
      </w:r>
      <w:r>
        <w:rPr>
          <w:rFonts w:hint="eastAsia" w:ascii="宋体" w:hAnsi="宋体" w:eastAsia="宋体" w:cs="宋体"/>
          <w:color w:val="000000" w:themeColor="text1"/>
          <w:sz w:val="24"/>
          <w:szCs w:val="21"/>
          <w:highlight w:val="none"/>
          <w14:textFill>
            <w14:solidFill>
              <w14:schemeClr w14:val="tx1"/>
            </w14:solidFill>
          </w14:textFill>
        </w:rPr>
        <w:t>承担和赔偿。</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bookmarkStart w:id="82" w:name="_Toc18722"/>
      <w:r>
        <w:rPr>
          <w:rFonts w:hint="eastAsia" w:ascii="宋体" w:hAnsi="宋体" w:eastAsia="宋体" w:cs="宋体"/>
          <w:b/>
          <w:bCs/>
          <w:color w:val="000000" w:themeColor="text1"/>
          <w:sz w:val="24"/>
          <w:szCs w:val="21"/>
          <w:highlight w:val="none"/>
          <w:lang w:val="en-US" w:eastAsia="zh-CN"/>
          <w14:textFill>
            <w14:solidFill>
              <w14:schemeClr w14:val="tx1"/>
            </w14:solidFill>
          </w14:textFill>
        </w:rPr>
        <w:t>七、违约责任</w:t>
      </w:r>
      <w:bookmarkEnd w:id="82"/>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r>
        <w:rPr>
          <w:rFonts w:hint="eastAsia" w:ascii="宋体" w:hAnsi="宋体" w:eastAsia="宋体" w:cs="宋体"/>
          <w:color w:val="000000" w:themeColor="text1"/>
          <w:sz w:val="24"/>
          <w:szCs w:val="21"/>
          <w:highlight w:val="none"/>
          <w:lang w:val="en-US" w:eastAsia="zh-CN"/>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按《中华人民共和国</w:t>
      </w:r>
      <w:r>
        <w:rPr>
          <w:rFonts w:hint="eastAsia" w:ascii="宋体" w:hAnsi="宋体" w:eastAsia="宋体" w:cs="宋体"/>
          <w:color w:val="000000" w:themeColor="text1"/>
          <w:sz w:val="24"/>
          <w:szCs w:val="21"/>
          <w:highlight w:val="none"/>
          <w:lang w:eastAsia="zh-CN"/>
          <w14:textFill>
            <w14:solidFill>
              <w14:schemeClr w14:val="tx1"/>
            </w14:solidFill>
          </w14:textFill>
        </w:rPr>
        <w:t>民法典</w:t>
      </w:r>
      <w:r>
        <w:rPr>
          <w:rFonts w:hint="eastAsia" w:ascii="宋体" w:hAnsi="宋体" w:eastAsia="宋体" w:cs="宋体"/>
          <w:color w:val="000000" w:themeColor="text1"/>
          <w:sz w:val="24"/>
          <w:szCs w:val="21"/>
          <w:highlight w:val="none"/>
          <w14:textFill>
            <w14:solidFill>
              <w14:schemeClr w14:val="tx1"/>
            </w14:solidFill>
          </w14:textFill>
        </w:rPr>
        <w:t>》中的相关条款执行。</w:t>
      </w:r>
    </w:p>
    <w:p>
      <w:pPr>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w:t>
      </w:r>
      <w:r>
        <w:rPr>
          <w:rFonts w:hint="eastAsia" w:ascii="宋体" w:hAnsi="宋体" w:eastAsia="宋体" w:cs="宋体"/>
          <w:color w:val="000000" w:themeColor="text1"/>
          <w:sz w:val="24"/>
          <w:szCs w:val="21"/>
          <w:highlight w:val="none"/>
          <w:lang w:val="en-US" w:eastAsia="zh-CN"/>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未按合同要求工程质量不能满足技术要求，</w:t>
      </w:r>
      <w:r>
        <w:rPr>
          <w:rFonts w:hint="eastAsia" w:ascii="宋体" w:hAnsi="宋体" w:eastAsia="宋体" w:cs="宋体"/>
          <w:color w:val="000000" w:themeColor="text1"/>
          <w:sz w:val="24"/>
          <w:szCs w:val="21"/>
          <w:highlight w:val="none"/>
          <w:lang w:eastAsia="zh-CN"/>
          <w14:textFill>
            <w14:solidFill>
              <w14:schemeClr w14:val="tx1"/>
            </w14:solidFill>
          </w14:textFill>
        </w:rPr>
        <w:t>采购方</w:t>
      </w:r>
      <w:r>
        <w:rPr>
          <w:rFonts w:hint="eastAsia" w:ascii="宋体" w:hAnsi="宋体" w:eastAsia="宋体" w:cs="宋体"/>
          <w:color w:val="000000" w:themeColor="text1"/>
          <w:sz w:val="24"/>
          <w:szCs w:val="21"/>
          <w:highlight w:val="none"/>
          <w14:textFill>
            <w14:solidFill>
              <w14:schemeClr w14:val="tx1"/>
            </w14:solidFill>
          </w14:textFill>
        </w:rPr>
        <w:t>有权终止合同，并对供方违约行为进行追究，同时按《</w:t>
      </w:r>
      <w:r>
        <w:rPr>
          <w:rFonts w:hint="eastAsia" w:ascii="宋体" w:hAnsi="宋体" w:eastAsia="宋体" w:cs="宋体"/>
          <w:color w:val="000000" w:themeColor="text1"/>
          <w:sz w:val="24"/>
          <w:szCs w:val="21"/>
          <w:highlight w:val="none"/>
          <w:lang w:eastAsia="zh-CN"/>
          <w14:textFill>
            <w14:solidFill>
              <w14:schemeClr w14:val="tx1"/>
            </w14:solidFill>
          </w14:textFill>
        </w:rPr>
        <w:t>中华人民共和国政府采购法</w:t>
      </w:r>
      <w:r>
        <w:rPr>
          <w:rFonts w:hint="eastAsia" w:ascii="宋体" w:hAnsi="宋体" w:eastAsia="宋体" w:cs="宋体"/>
          <w:color w:val="000000" w:themeColor="text1"/>
          <w:sz w:val="24"/>
          <w:szCs w:val="21"/>
          <w:highlight w:val="none"/>
          <w14:textFill>
            <w14:solidFill>
              <w14:schemeClr w14:val="tx1"/>
            </w14:solidFill>
          </w14:textFill>
        </w:rPr>
        <w:t>》的有关规定进行处罚</w:t>
      </w:r>
      <w:r>
        <w:rPr>
          <w:rFonts w:hint="eastAsia" w:ascii="宋体" w:hAnsi="宋体" w:eastAsia="宋体" w:cs="宋体"/>
          <w:color w:val="000000" w:themeColor="text1"/>
          <w:sz w:val="24"/>
          <w:szCs w:val="2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pacing w:line="360" w:lineRule="auto"/>
        <w:ind w:firstLine="482"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注：商务要求为实质性要求，不得负偏离。</w:t>
      </w:r>
    </w:p>
    <w:p>
      <w:pPr>
        <w:pageBreakBefore w:val="0"/>
        <w:kinsoku/>
        <w:wordWrap/>
        <w:overflowPunct/>
        <w:topLinePunct w:val="0"/>
        <w:bidi w:val="0"/>
        <w:adjustRightInd w:val="0"/>
        <w:spacing w:line="360" w:lineRule="auto"/>
        <w:ind w:left="105"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pPr>
        <w:pageBreakBefore w:val="0"/>
        <w:kinsoku/>
        <w:wordWrap/>
        <w:overflowPunct/>
        <w:topLinePunct w:val="0"/>
        <w:bidi w:val="0"/>
        <w:adjustRightInd w:val="0"/>
        <w:spacing w:line="360" w:lineRule="auto"/>
        <w:ind w:left="105"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pPr>
        <w:pStyle w:val="14"/>
        <w:rPr>
          <w:rFonts w:hint="eastAsia"/>
          <w:color w:val="000000" w:themeColor="text1"/>
          <w:lang w:eastAsia="zh-CN"/>
          <w14:textFill>
            <w14:solidFill>
              <w14:schemeClr w14:val="tx1"/>
            </w14:solidFill>
          </w14:textFill>
        </w:rPr>
      </w:pPr>
    </w:p>
    <w:p>
      <w:pPr>
        <w:pStyle w:val="14"/>
        <w:rPr>
          <w:rFonts w:hint="eastAsia"/>
          <w:color w:val="000000" w:themeColor="text1"/>
          <w:lang w:eastAsia="zh-CN"/>
          <w14:textFill>
            <w14:solidFill>
              <w14:schemeClr w14:val="tx1"/>
            </w14:solidFill>
          </w14:textFill>
        </w:rPr>
      </w:pPr>
    </w:p>
    <w:p>
      <w:pPr>
        <w:rPr>
          <w:rFonts w:hint="eastAsia" w:ascii="宋体" w:hAnsi="宋体" w:eastAsia="宋体" w:cs="宋体"/>
          <w:color w:val="000000" w:themeColor="text1"/>
          <w:sz w:val="36"/>
          <w:szCs w:val="36"/>
          <w14:textFill>
            <w14:solidFill>
              <w14:schemeClr w14:val="tx1"/>
            </w14:solidFill>
          </w14:textFill>
        </w:rPr>
      </w:pPr>
      <w:bookmarkStart w:id="83" w:name="_Toc17650"/>
      <w:r>
        <w:rPr>
          <w:rFonts w:hint="eastAsia" w:ascii="宋体" w:hAnsi="宋体" w:eastAsia="宋体" w:cs="宋体"/>
          <w:color w:val="000000" w:themeColor="text1"/>
          <w:sz w:val="36"/>
          <w:szCs w:val="36"/>
          <w14:textFill>
            <w14:solidFill>
              <w14:schemeClr w14:val="tx1"/>
            </w14:solidFill>
          </w14:textFill>
        </w:rPr>
        <w:br w:type="page"/>
      </w:r>
    </w:p>
    <w:p>
      <w:pPr>
        <w:pStyle w:val="3"/>
        <w:pageBreakBefore w:val="0"/>
        <w:kinsoku/>
        <w:wordWrap/>
        <w:overflowPunct/>
        <w:topLinePunct w:val="0"/>
        <w:bidi w:val="0"/>
        <w:spacing w:before="0" w:after="0" w:line="360" w:lineRule="auto"/>
        <w:jc w:val="center"/>
        <w:textAlignment w:val="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第</w:t>
      </w:r>
      <w:r>
        <w:rPr>
          <w:rFonts w:hint="eastAsia" w:ascii="宋体" w:hAnsi="宋体" w:eastAsia="宋体" w:cs="宋体"/>
          <w:color w:val="000000" w:themeColor="text1"/>
          <w:sz w:val="36"/>
          <w:szCs w:val="36"/>
          <w:lang w:eastAsia="zh-CN"/>
          <w14:textFill>
            <w14:solidFill>
              <w14:schemeClr w14:val="tx1"/>
            </w14:solidFill>
          </w14:textFill>
        </w:rPr>
        <w:t>五</w:t>
      </w:r>
      <w:r>
        <w:rPr>
          <w:rFonts w:hint="eastAsia" w:ascii="宋体" w:hAnsi="宋体" w:eastAsia="宋体" w:cs="宋体"/>
          <w:color w:val="000000" w:themeColor="text1"/>
          <w:sz w:val="36"/>
          <w:szCs w:val="36"/>
          <w14:textFill>
            <w14:solidFill>
              <w14:schemeClr w14:val="tx1"/>
            </w14:solidFill>
          </w14:textFill>
        </w:rPr>
        <w:t>部分  合同条款</w:t>
      </w:r>
      <w:bookmarkEnd w:id="43"/>
      <w:bookmarkEnd w:id="44"/>
      <w:bookmarkEnd w:id="83"/>
      <w:r>
        <w:rPr>
          <w:rFonts w:hint="eastAsia" w:ascii="宋体" w:hAnsi="宋体" w:eastAsia="宋体" w:cs="宋体"/>
          <w:color w:val="000000" w:themeColor="text1"/>
          <w:sz w:val="32"/>
          <w:szCs w:val="32"/>
          <w:lang w:eastAsia="zh-CN"/>
          <w14:textFill>
            <w14:solidFill>
              <w14:schemeClr w14:val="tx1"/>
            </w14:solidFill>
          </w14:textFill>
        </w:rPr>
        <w:t>（本合同为参考）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84" w:name="_Toc19077_WPSOffice_Level1"/>
      <w:bookmarkEnd w:id="84"/>
      <w:bookmarkStart w:id="85" w:name="_Toc19131_WPSOffice_Level1"/>
      <w:bookmarkEnd w:id="85"/>
      <w:bookmarkStart w:id="86" w:name="_Toc459647661"/>
      <w:bookmarkEnd w:id="86"/>
      <w:bookmarkStart w:id="87" w:name="_Toc3274_WPSOffice_Level1"/>
      <w:bookmarkEnd w:id="87"/>
      <w:bookmarkStart w:id="88" w:name="_Toc19091862"/>
      <w:bookmarkStart w:id="89" w:name="_Toc26519378"/>
      <w:r>
        <w:rPr>
          <w:rFonts w:hint="eastAsia" w:ascii="宋体" w:hAnsi="宋体" w:eastAsia="宋体" w:cs="宋体"/>
          <w:color w:val="000000" w:themeColor="text1"/>
          <w:sz w:val="24"/>
          <w:szCs w:val="21"/>
          <w:highlight w:val="none"/>
          <w14:textFill>
            <w14:solidFill>
              <w14:schemeClr w14:val="tx1"/>
            </w14:solidFill>
          </w14:textFill>
        </w:rPr>
        <w:t>使用住房城乡建设部、国家工商行政管理总局印发的《建设工程施工合同》（示范文本）（GF-2017-0201）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（GF—2017—0201）</w:t>
      </w: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color w:val="000000" w:themeColor="text1"/>
          <w:sz w:val="40"/>
          <w:szCs w:val="32"/>
          <w:highlight w:val="none"/>
          <w:lang w:eastAsia="zh-CN"/>
          <w14:textFill>
            <w14:solidFill>
              <w14:schemeClr w14:val="tx1"/>
            </w14:solidFill>
          </w14:textFill>
        </w:rPr>
      </w:pPr>
      <w:r>
        <w:rPr>
          <w:rFonts w:hint="eastAsia" w:ascii="宋体" w:hAnsi="宋体" w:eastAsia="宋体" w:cs="宋体"/>
          <w:b/>
          <w:color w:val="000000" w:themeColor="text1"/>
          <w:sz w:val="40"/>
          <w:szCs w:val="32"/>
          <w:highlight w:val="none"/>
          <w14:textFill>
            <w14:solidFill>
              <w14:schemeClr w14:val="tx1"/>
            </w14:solidFill>
          </w14:textFill>
        </w:rPr>
        <w:t>建设工程施工合同</w:t>
      </w:r>
    </w:p>
    <w:p>
      <w:pPr>
        <w:pageBreakBefore w:val="0"/>
        <w:kinsoku/>
        <w:wordWrap/>
        <w:overflowPunct/>
        <w:topLinePunct w:val="0"/>
        <w:bidi w:val="0"/>
        <w:adjustRightInd w:val="0"/>
        <w:spacing w:line="360" w:lineRule="auto"/>
        <w:ind w:left="420" w:leftChars="200"/>
        <w:jc w:val="center"/>
        <w:textAlignment w:val="auto"/>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（示范文本）</w:t>
      </w: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562" w:firstLineChars="200"/>
        <w:textAlignment w:val="auto"/>
        <w:rPr>
          <w:rFonts w:hint="eastAsia" w:ascii="宋体" w:hAnsi="宋体" w:eastAsia="宋体" w:cs="宋体"/>
          <w:b/>
          <w:color w:val="000000" w:themeColor="text1"/>
          <w:sz w:val="28"/>
          <w:highlight w:val="none"/>
          <w14:textFill>
            <w14:solidFill>
              <w14:schemeClr w14:val="tx1"/>
            </w14:solidFill>
          </w14:textFill>
        </w:rPr>
      </w:pPr>
    </w:p>
    <w:p>
      <w:pPr>
        <w:pageBreakBefore w:val="0"/>
        <w:kinsoku/>
        <w:wordWrap/>
        <w:overflowPunct/>
        <w:topLinePunct w:val="0"/>
        <w:bidi w:val="0"/>
        <w:adjustRightInd w:val="0"/>
        <w:spacing w:line="360" w:lineRule="auto"/>
        <w:ind w:firstLine="3080" w:firstLineChars="1100"/>
        <w:textAlignment w:val="auto"/>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3880485</wp:posOffset>
                </wp:positionH>
                <wp:positionV relativeFrom="paragraph">
                  <wp:posOffset>111760</wp:posOffset>
                </wp:positionV>
                <wp:extent cx="723900" cy="4572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ascii="宋体" w:hAnsi="宋体" w:eastAsia="宋体"/>
                                <w:b/>
                                <w:bCs/>
                                <w:sz w:val="32"/>
                              </w:rPr>
                            </w:pPr>
                            <w:r>
                              <w:rPr>
                                <w:rFonts w:hint="eastAsia" w:ascii="宋体" w:hAnsi="宋体" w:eastAsia="宋体"/>
                                <w:b/>
                                <w:bCs/>
                                <w:sz w:val="32"/>
                              </w:rPr>
                              <w:t>制定</w:t>
                            </w:r>
                          </w:p>
                        </w:txbxContent>
                      </wps:txbx>
                      <wps:bodyPr upright="1"/>
                    </wps:wsp>
                  </a:graphicData>
                </a:graphic>
              </wp:anchor>
            </w:drawing>
          </mc:Choice>
          <mc:Fallback>
            <w:pict>
              <v:shape id="_x0000_s1026" o:spid="_x0000_s1026" o:spt="202" type="#_x0000_t202" style="position:absolute;left:0pt;margin-left:305.55pt;margin-top:8.8pt;height:36pt;width:57pt;z-index:251662336;mso-width-relative:page;mso-height-relative:page;" filled="f" stroked="t" coordsize="21600,21600" o:gfxdata="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YxFJX2AAAAAkBAAAPAAAAAAAAAAEAIAAAACIA&#10;AABkcnMvZG93bnJldi54bWxQSwECFAAUAAAACACHTuJA5IdkigkCAAAaBAAADgAAAAAAAAABACAA&#10;AAAnAQAAZHJzL2Uyb0RvYy54bWxQSwUGAAAAAAYABgBZAQAAogUAAAAA&#10;">
                <v:fill on="f" focussize="0,0"/>
                <v:stroke color="#FFFFFF" joinstyle="miter"/>
                <v:imagedata o:title=""/>
                <o:lock v:ext="edit" aspectratio="f"/>
                <v:textbox>
                  <w:txbxContent>
                    <w:p>
                      <w:pPr>
                        <w:rPr>
                          <w:rFonts w:ascii="宋体" w:hAnsi="宋体" w:eastAsia="宋体"/>
                          <w:b/>
                          <w:bCs/>
                          <w:sz w:val="32"/>
                        </w:rPr>
                      </w:pPr>
                      <w:r>
                        <w:rPr>
                          <w:rFonts w:hint="eastAsia" w:ascii="宋体" w:hAnsi="宋体" w:eastAsia="宋体"/>
                          <w:b/>
                          <w:bCs/>
                          <w:sz w:val="32"/>
                        </w:rPr>
                        <w:t>制定</w:t>
                      </w:r>
                    </w:p>
                  </w:txbxContent>
                </v:textbox>
              </v:shape>
            </w:pict>
          </mc:Fallback>
        </mc:AlternateContent>
      </w:r>
      <w:r>
        <w:rPr>
          <w:rFonts w:hint="eastAsia" w:ascii="宋体" w:hAnsi="宋体" w:eastAsia="宋体" w:cs="宋体"/>
          <w:b/>
          <w:color w:val="000000" w:themeColor="text1"/>
          <w:sz w:val="28"/>
          <w:highlight w:val="none"/>
          <w14:textFill>
            <w14:solidFill>
              <w14:schemeClr w14:val="tx1"/>
            </w14:solidFill>
          </w14:textFill>
        </w:rPr>
        <w:t>住房城乡建设部</w:t>
      </w:r>
    </w:p>
    <w:p>
      <w:pPr>
        <w:pageBreakBefore w:val="0"/>
        <w:kinsoku/>
        <w:wordWrap/>
        <w:overflowPunct/>
        <w:topLinePunct w:val="0"/>
        <w:bidi w:val="0"/>
        <w:adjustRightInd w:val="0"/>
        <w:spacing w:line="360" w:lineRule="auto"/>
        <w:ind w:firstLine="3078" w:firstLineChars="1095"/>
        <w:textAlignment w:val="auto"/>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国家工商行政管理总局</w:t>
      </w:r>
    </w:p>
    <w:p>
      <w:pPr>
        <w:pageBreakBefore w:val="0"/>
        <w:kinsoku/>
        <w:wordWrap/>
        <w:overflowPunct/>
        <w:topLinePunct w:val="0"/>
        <w:bidi w:val="0"/>
        <w:spacing w:line="360" w:lineRule="auto"/>
        <w:textAlignment w:val="auto"/>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br w:type="page"/>
      </w:r>
    </w:p>
    <w:p>
      <w:pPr>
        <w:pageBreakBefore w:val="0"/>
        <w:kinsoku/>
        <w:wordWrap/>
        <w:overflowPunct/>
        <w:topLinePunct w:val="0"/>
        <w:bidi w:val="0"/>
        <w:adjustRightInd w:val="0"/>
        <w:spacing w:line="360" w:lineRule="auto"/>
        <w:ind w:firstLine="482" w:firstLineChars="200"/>
        <w:jc w:val="center"/>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第一部分 合同协议书</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color w:val="000000" w:themeColor="text1"/>
          <w:sz w:val="24"/>
          <w:szCs w:val="21"/>
          <w:highlight w:val="none"/>
          <w:u w:val="singl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发包人（全称）：</w:t>
      </w:r>
      <w:r>
        <w:rPr>
          <w:rFonts w:hint="eastAsia" w:ascii="宋体" w:hAnsi="宋体" w:eastAsia="宋体" w:cs="宋体"/>
          <w:b/>
          <w:color w:val="000000" w:themeColor="text1"/>
          <w:sz w:val="24"/>
          <w:szCs w:val="21"/>
          <w:highlight w:val="none"/>
          <w:u w:val="single"/>
          <w14:textFill>
            <w14:solidFill>
              <w14:schemeClr w14:val="tx1"/>
            </w14:solidFill>
          </w14:textFill>
        </w:rPr>
        <w:t>         </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color w:val="000000" w:themeColor="text1"/>
          <w:sz w:val="24"/>
          <w:szCs w:val="21"/>
          <w:highlight w:val="none"/>
          <w:u w:val="singl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承包人（全称）：</w:t>
      </w:r>
      <w:r>
        <w:rPr>
          <w:rFonts w:hint="eastAsia" w:ascii="宋体" w:hAnsi="宋体" w:eastAsia="宋体" w:cs="宋体"/>
          <w:b/>
          <w:color w:val="000000" w:themeColor="text1"/>
          <w:sz w:val="24"/>
          <w:szCs w:val="21"/>
          <w:highlight w:val="none"/>
          <w:u w:val="single"/>
          <w14:textFill>
            <w14:solidFill>
              <w14:schemeClr w14:val="tx1"/>
            </w14:solidFill>
          </w14:textFill>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根据《中华人民共和国</w:t>
      </w:r>
      <w:r>
        <w:rPr>
          <w:rFonts w:hint="eastAsia" w:ascii="宋体" w:hAnsi="宋体" w:eastAsia="宋体" w:cs="宋体"/>
          <w:color w:val="000000" w:themeColor="text1"/>
          <w:sz w:val="24"/>
          <w:szCs w:val="21"/>
          <w:highlight w:val="none"/>
          <w:lang w:eastAsia="zh-CN"/>
          <w14:textFill>
            <w14:solidFill>
              <w14:schemeClr w14:val="tx1"/>
            </w14:solidFill>
          </w14:textFill>
        </w:rPr>
        <w:t>民法典</w:t>
      </w:r>
      <w:r>
        <w:rPr>
          <w:rFonts w:hint="eastAsia" w:ascii="宋体" w:hAnsi="宋体" w:eastAsia="宋体" w:cs="宋体"/>
          <w:color w:val="000000" w:themeColor="text1"/>
          <w:sz w:val="24"/>
          <w:szCs w:val="21"/>
          <w:highlight w:val="none"/>
          <w14:textFill>
            <w14:solidFill>
              <w14:schemeClr w14:val="tx1"/>
            </w14:solidFill>
          </w14:textFill>
        </w:rPr>
        <w:t>》、《中华人民共和国建筑法》及有关法律规定，遵循平等、自愿、公平和诚实信用的原则，双方就</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工程施工及有关事项协商一致，共同达成如下协议：</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90" w:name="_Toc351203481"/>
      <w:r>
        <w:rPr>
          <w:rFonts w:hint="eastAsia" w:ascii="宋体" w:hAnsi="宋体" w:eastAsia="宋体" w:cs="宋体"/>
          <w:bCs/>
          <w:color w:val="000000" w:themeColor="text1"/>
          <w:sz w:val="24"/>
          <w:szCs w:val="21"/>
          <w:highlight w:val="none"/>
          <w14:textFill>
            <w14:solidFill>
              <w14:schemeClr w14:val="tx1"/>
            </w14:solidFill>
          </w14:textFill>
        </w:rPr>
        <w:t>一、工程概况</w:t>
      </w:r>
      <w:bookmarkEnd w:id="9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1.工程名称</w:t>
      </w:r>
      <w:r>
        <w:rPr>
          <w:rFonts w:hint="eastAsia" w:ascii="宋体" w:hAnsi="宋体" w:eastAsia="宋体" w:cs="宋体"/>
          <w:color w:val="000000" w:themeColor="text1"/>
          <w:sz w:val="24"/>
          <w:szCs w:val="21"/>
          <w:highlight w:val="none"/>
          <w14:textFill>
            <w14:solidFill>
              <w14:schemeClr w14:val="tx1"/>
            </w14:solidFill>
          </w14:textFill>
        </w:rPr>
        <w:t>：</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2.工程地点：</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3.工程立项批准文号：</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bCs/>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4.资金来源：</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bCs/>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5.工程内容：</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bCs/>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群体工程应附《承包人承揽工程项目一览表》（附件1）。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6.工程承包范围：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91" w:name="_Toc351203482"/>
      <w:r>
        <w:rPr>
          <w:rFonts w:hint="eastAsia" w:ascii="宋体" w:hAnsi="宋体" w:eastAsia="宋体" w:cs="宋体"/>
          <w:bCs/>
          <w:color w:val="000000" w:themeColor="text1"/>
          <w:sz w:val="24"/>
          <w:szCs w:val="21"/>
          <w:highlight w:val="none"/>
          <w14:textFill>
            <w14:solidFill>
              <w14:schemeClr w14:val="tx1"/>
            </w14:solidFill>
          </w14:textFill>
        </w:rPr>
        <w:t>二、合同工期</w:t>
      </w:r>
      <w:bookmarkEnd w:id="91"/>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计划开工日期：</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年</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月</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计划竣工日期：</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年</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月</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工期总日历天数：</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天。工期总日历天数与根据前述计划开竣工日期计算的工期天数不一致的，以工期总日历天数为准。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92" w:name="_Toc351203483"/>
      <w:r>
        <w:rPr>
          <w:rFonts w:hint="eastAsia" w:ascii="宋体" w:hAnsi="宋体" w:eastAsia="宋体" w:cs="宋体"/>
          <w:bCs/>
          <w:color w:val="000000" w:themeColor="text1"/>
          <w:sz w:val="24"/>
          <w:szCs w:val="21"/>
          <w:highlight w:val="none"/>
          <w14:textFill>
            <w14:solidFill>
              <w14:schemeClr w14:val="tx1"/>
            </w14:solidFill>
          </w14:textFill>
        </w:rPr>
        <w:t>三、质量标准</w:t>
      </w:r>
      <w:bookmarkEnd w:id="9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工程质量符合</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标准。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93" w:name="_Toc351203484"/>
      <w:r>
        <w:rPr>
          <w:rFonts w:hint="eastAsia" w:ascii="宋体" w:hAnsi="宋体" w:eastAsia="宋体" w:cs="宋体"/>
          <w:bCs/>
          <w:color w:val="000000" w:themeColor="text1"/>
          <w:sz w:val="24"/>
          <w:szCs w:val="21"/>
          <w:highlight w:val="none"/>
          <w14:textFill>
            <w14:solidFill>
              <w14:schemeClr w14:val="tx1"/>
            </w14:solidFill>
          </w14:textFill>
        </w:rPr>
        <w:t>四、签约合同价与合同价格形式</w:t>
      </w:r>
      <w:bookmarkEnd w:id="93"/>
      <w:r>
        <w:rPr>
          <w:rFonts w:hint="eastAsia" w:ascii="宋体" w:hAnsi="宋体" w:eastAsia="宋体" w:cs="宋体"/>
          <w:bCs/>
          <w:color w:val="000000" w:themeColor="text1"/>
          <w:sz w:val="24"/>
          <w:szCs w:val="21"/>
          <w:highlight w:val="none"/>
          <w14:textFill>
            <w14:solidFill>
              <w14:schemeClr w14:val="tx1"/>
            </w14:solidFill>
          </w14:textFill>
        </w:rPr>
        <w:tab/>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1.签约合同价为：本工程固定综合单价、总价可调，签约合同价为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人民币（大写）(¥元)；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其中：</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（1）安全文明施工费：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人民币（大写）(¥元)；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（2）材料和工程设备暂估价金额：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人民币（大写） (¥元)；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（3）专业工程暂估价金额：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人民币（大写） (¥元)；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（4）暂列金额：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人民币（大写） (¥元)。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2.合同价格形式：</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94" w:name="_Toc351203485"/>
      <w:r>
        <w:rPr>
          <w:rFonts w:hint="eastAsia" w:ascii="宋体" w:hAnsi="宋体" w:eastAsia="宋体" w:cs="宋体"/>
          <w:bCs/>
          <w:color w:val="000000" w:themeColor="text1"/>
          <w:sz w:val="24"/>
          <w:szCs w:val="21"/>
          <w:highlight w:val="none"/>
          <w14:textFill>
            <w14:solidFill>
              <w14:schemeClr w14:val="tx1"/>
            </w14:solidFill>
          </w14:textFill>
        </w:rPr>
        <w:t>五、</w:t>
      </w:r>
      <w:bookmarkEnd w:id="94"/>
      <w:r>
        <w:rPr>
          <w:rFonts w:hint="eastAsia" w:ascii="宋体" w:hAnsi="宋体" w:eastAsia="宋体" w:cs="宋体"/>
          <w:bCs/>
          <w:color w:val="000000" w:themeColor="text1"/>
          <w:sz w:val="24"/>
          <w:szCs w:val="21"/>
          <w:highlight w:val="none"/>
          <w14:textFill>
            <w14:solidFill>
              <w14:schemeClr w14:val="tx1"/>
            </w14:solidFill>
          </w14:textFill>
        </w:rPr>
        <w:t>项目经理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承包人项目经理：</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95" w:name="_Toc351203486"/>
      <w:r>
        <w:rPr>
          <w:rFonts w:hint="eastAsia" w:ascii="宋体" w:hAnsi="宋体" w:eastAsia="宋体" w:cs="宋体"/>
          <w:bCs/>
          <w:color w:val="000000" w:themeColor="text1"/>
          <w:sz w:val="24"/>
          <w:szCs w:val="21"/>
          <w:highlight w:val="none"/>
          <w14:textFill>
            <w14:solidFill>
              <w14:schemeClr w14:val="tx1"/>
            </w14:solidFill>
          </w14:textFill>
        </w:rPr>
        <w:t>六、合同文件构成</w:t>
      </w:r>
      <w:bookmarkEnd w:id="95"/>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本协议书与下列文件一起构成合同文件：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（1）中标通知书（如果有）；</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（2）投标函及其附录（如果有）；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（3）专用合同条款及其附件；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（4）通用合同条款；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（5）技术标准和要求；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（6）图纸；</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（7）已标价工程量清单或预算书；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（8）其他合同文件。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在合同订立及履行过程中形成的与合同有关的文件均构成合同文件组成部分。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96" w:name="_Toc351203487"/>
      <w:r>
        <w:rPr>
          <w:rFonts w:hint="eastAsia" w:ascii="宋体" w:hAnsi="宋体" w:eastAsia="宋体" w:cs="宋体"/>
          <w:bCs/>
          <w:color w:val="000000" w:themeColor="text1"/>
          <w:sz w:val="24"/>
          <w:szCs w:val="21"/>
          <w:highlight w:val="none"/>
          <w14:textFill>
            <w14:solidFill>
              <w14:schemeClr w14:val="tx1"/>
            </w14:solidFill>
          </w14:textFill>
        </w:rPr>
        <w:t>七、承诺</w:t>
      </w:r>
      <w:bookmarkEnd w:id="96"/>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1.发包人承诺按照法律规定履行项目审批手续、筹集工程建设资金并按照合同约定的期限和方式支付合同价款。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3.发包人和承包人通过招投标形式签订合同的，双方理解并承诺不再就同一工程另行签订与合同实质性内容相背离的协议。</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97" w:name="_Toc351203488"/>
      <w:r>
        <w:rPr>
          <w:rFonts w:hint="eastAsia" w:ascii="宋体" w:hAnsi="宋体" w:eastAsia="宋体" w:cs="宋体"/>
          <w:b/>
          <w:color w:val="000000" w:themeColor="text1"/>
          <w:sz w:val="24"/>
          <w:szCs w:val="21"/>
          <w:highlight w:val="none"/>
          <w14:textFill>
            <w14:solidFill>
              <w14:schemeClr w14:val="tx1"/>
            </w14:solidFill>
          </w14:textFill>
        </w:rPr>
        <w:t>八、词语含义</w:t>
      </w:r>
      <w:bookmarkEnd w:id="9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本协议书中词语含义与第二部分通用合同条款中赋予的含义相同。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98" w:name="_Toc351203489"/>
      <w:r>
        <w:rPr>
          <w:rFonts w:hint="eastAsia" w:ascii="宋体" w:hAnsi="宋体" w:eastAsia="宋体" w:cs="宋体"/>
          <w:bCs/>
          <w:color w:val="000000" w:themeColor="text1"/>
          <w:sz w:val="24"/>
          <w:szCs w:val="21"/>
          <w:highlight w:val="none"/>
          <w14:textFill>
            <w14:solidFill>
              <w14:schemeClr w14:val="tx1"/>
            </w14:solidFill>
          </w14:textFill>
        </w:rPr>
        <w:t>九、签订时间</w:t>
      </w:r>
      <w:bookmarkEnd w:id="98"/>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本合同于年月日签订。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99" w:name="_Toc351203490"/>
      <w:r>
        <w:rPr>
          <w:rFonts w:hint="eastAsia" w:ascii="宋体" w:hAnsi="宋体" w:eastAsia="宋体" w:cs="宋体"/>
          <w:bCs/>
          <w:color w:val="000000" w:themeColor="text1"/>
          <w:sz w:val="24"/>
          <w:szCs w:val="21"/>
          <w:highlight w:val="none"/>
          <w14:textFill>
            <w14:solidFill>
              <w14:schemeClr w14:val="tx1"/>
            </w14:solidFill>
          </w14:textFill>
        </w:rPr>
        <w:t>十、签订地点</w:t>
      </w:r>
      <w:bookmarkEnd w:id="9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本合同在签订。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100" w:name="_Toc351203491"/>
      <w:r>
        <w:rPr>
          <w:rFonts w:hint="eastAsia" w:ascii="宋体" w:hAnsi="宋体" w:eastAsia="宋体" w:cs="宋体"/>
          <w:bCs/>
          <w:color w:val="000000" w:themeColor="text1"/>
          <w:sz w:val="24"/>
          <w:szCs w:val="21"/>
          <w:highlight w:val="none"/>
          <w14:textFill>
            <w14:solidFill>
              <w14:schemeClr w14:val="tx1"/>
            </w14:solidFill>
          </w14:textFill>
        </w:rPr>
        <w:t>十一、补充协议</w:t>
      </w:r>
      <w:bookmarkEnd w:id="10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合同未尽事宜，合同当事人另行签订补充协议，补充协议是合同的组成部分。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101" w:name="_Toc351203492"/>
      <w:r>
        <w:rPr>
          <w:rFonts w:hint="eastAsia" w:ascii="宋体" w:hAnsi="宋体" w:eastAsia="宋体" w:cs="宋体"/>
          <w:bCs/>
          <w:color w:val="000000" w:themeColor="text1"/>
          <w:sz w:val="24"/>
          <w:szCs w:val="21"/>
          <w:highlight w:val="none"/>
          <w14:textFill>
            <w14:solidFill>
              <w14:schemeClr w14:val="tx1"/>
            </w14:solidFill>
          </w14:textFill>
        </w:rPr>
        <w:t>十二、合同生效</w:t>
      </w:r>
      <w:bookmarkEnd w:id="101"/>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本合同自生效。</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bookmarkStart w:id="102" w:name="_Toc351203493"/>
      <w:r>
        <w:rPr>
          <w:rFonts w:hint="eastAsia" w:ascii="宋体" w:hAnsi="宋体" w:eastAsia="宋体" w:cs="宋体"/>
          <w:bCs/>
          <w:color w:val="000000" w:themeColor="text1"/>
          <w:sz w:val="24"/>
          <w:szCs w:val="21"/>
          <w:highlight w:val="none"/>
          <w14:textFill>
            <w14:solidFill>
              <w14:schemeClr w14:val="tx1"/>
            </w14:solidFill>
          </w14:textFill>
        </w:rPr>
        <w:t>十三、合同份数</w:t>
      </w:r>
      <w:bookmarkEnd w:id="10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本合同一式份，均具有同等法律效力，发包人执份，承包人执份。</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  (公章)</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承包人：  (公章)</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法定代表人或其委托代理人：  法定代表人或其委托代理人：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（签字）                    （签字）</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组织机构代码：</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组织机构代码：</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地  址：</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地  址：</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邮政编码：</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邮政编码：</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法定代表人：</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法定代表人：</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委托代理人：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委托代理人：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  话：</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电  话：</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传  真：</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传  真：</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开户银行：</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开户银行：</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账  号：</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账 </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号：</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jc w:val="center"/>
        <w:textAlignment w:val="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br w:type="page"/>
      </w:r>
      <w:r>
        <w:rPr>
          <w:rFonts w:hint="eastAsia" w:ascii="宋体" w:hAnsi="宋体" w:eastAsia="宋体" w:cs="宋体"/>
          <w:b/>
          <w:bCs/>
          <w:color w:val="000000" w:themeColor="text1"/>
          <w:sz w:val="24"/>
          <w:szCs w:val="21"/>
          <w:highlight w:val="none"/>
          <w14:textFill>
            <w14:solidFill>
              <w14:schemeClr w14:val="tx1"/>
            </w14:solidFill>
          </w14:textFill>
        </w:rPr>
        <w:t>第二部分  通用条款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略</w:t>
      </w:r>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第三部分 专用合同条款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103" w:name="_Toc351203633"/>
      <w:r>
        <w:rPr>
          <w:rFonts w:hint="eastAsia" w:ascii="宋体" w:hAnsi="宋体" w:eastAsia="宋体" w:cs="宋体"/>
          <w:bCs/>
          <w:color w:val="000000" w:themeColor="text1"/>
          <w:sz w:val="24"/>
          <w:szCs w:val="21"/>
          <w:highlight w:val="none"/>
          <w14:textFill>
            <w14:solidFill>
              <w14:schemeClr w14:val="tx1"/>
            </w14:solidFill>
          </w14:textFill>
        </w:rPr>
        <w:t>1</w:t>
      </w:r>
      <w:bookmarkStart w:id="104" w:name="_Toc296346657"/>
      <w:bookmarkStart w:id="105" w:name="_Toc296890984"/>
      <w:bookmarkStart w:id="106" w:name="_Toc296347155"/>
      <w:bookmarkStart w:id="107" w:name="_Toc292559866"/>
      <w:bookmarkStart w:id="108" w:name="_Toc292559361"/>
      <w:bookmarkStart w:id="109" w:name="_Toc296944495"/>
      <w:bookmarkStart w:id="110" w:name="_Toc296503156"/>
      <w:bookmarkStart w:id="111" w:name="_Toc297120456"/>
      <w:bookmarkStart w:id="112" w:name="_Toc296891196"/>
      <w:bookmarkStart w:id="113" w:name="_Toc297048342"/>
      <w:r>
        <w:rPr>
          <w:rFonts w:hint="eastAsia" w:ascii="宋体" w:hAnsi="宋体" w:eastAsia="宋体" w:cs="宋体"/>
          <w:bCs/>
          <w:color w:val="000000" w:themeColor="text1"/>
          <w:sz w:val="24"/>
          <w:szCs w:val="21"/>
          <w:highlight w:val="none"/>
          <w14:textFill>
            <w14:solidFill>
              <w14:schemeClr w14:val="tx1"/>
            </w14:solidFill>
          </w14:textFill>
        </w:rPr>
        <w:t>. 一般约定</w:t>
      </w:r>
      <w:bookmarkEnd w:id="103"/>
    </w:p>
    <w:bookmarkEnd w:id="104"/>
    <w:bookmarkEnd w:id="105"/>
    <w:bookmarkEnd w:id="106"/>
    <w:bookmarkEnd w:id="107"/>
    <w:bookmarkEnd w:id="108"/>
    <w:bookmarkEnd w:id="109"/>
    <w:bookmarkEnd w:id="110"/>
    <w:bookmarkEnd w:id="111"/>
    <w:bookmarkEnd w:id="112"/>
    <w:bookmarkEnd w:id="11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 词语定义</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1.1.1合同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1.1.1.10其他合同文件包括：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1.1.2 合同当事人及其他相关方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1.1.2.4监理人：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名    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资质类别和等级：</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联系电话：</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通信地址：</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1.1.2.5 设计人：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名    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资质类别和等级：</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联系电话：</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通信地址：</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1.1.3 工程和设备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1.1.3.7 作为施工现场组成部分的其他场所包括：</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1.1.3.9 永久占地包括：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1.1.3.10 临时占地包括：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1.3法律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适用于合同的其他规范性文件：</w:t>
      </w:r>
      <w:r>
        <w:rPr>
          <w:rFonts w:hint="eastAsia" w:ascii="宋体" w:hAnsi="宋体" w:eastAsia="宋体" w:cs="宋体"/>
          <w:color w:val="000000" w:themeColor="text1"/>
          <w:sz w:val="24"/>
          <w:szCs w:val="21"/>
          <w:highlight w:val="none"/>
          <w:u w:val="singl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 标准和规范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1.4.1适用于工程的标准规范包括：</w:t>
      </w:r>
      <w:r>
        <w:rPr>
          <w:rFonts w:hint="eastAsia" w:ascii="宋体" w:hAnsi="宋体" w:eastAsia="宋体" w:cs="宋体"/>
          <w:color w:val="000000" w:themeColor="text1"/>
          <w:sz w:val="24"/>
          <w:szCs w:val="21"/>
          <w:highlight w:val="none"/>
          <w:u w:val="singl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1.4.2 发包人提供国外标准、规范的名称：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发包人提供国外标准、规范的份数：；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发包人提供国外标准、规范的名称：。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1.4.3发包人对工程的技术标准和功能要求的特殊要求：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 合同文件的优先顺序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合同文件组成及优先顺序为：</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 图纸和承包人文件</w:t>
      </w:r>
      <w:r>
        <w:rPr>
          <w:rFonts w:hint="eastAsia" w:ascii="宋体" w:hAnsi="宋体" w:eastAsia="宋体" w:cs="宋体"/>
          <w:color w:val="000000" w:themeColor="text1"/>
          <w:sz w:val="24"/>
          <w:szCs w:val="21"/>
          <w:highlight w:val="none"/>
          <w14:textFill>
            <w14:solidFill>
              <w14:schemeClr w14:val="tx1"/>
            </w14:solidFill>
          </w14:textFill>
        </w:rPr>
        <w:tab/>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1.6.1 图纸的提供</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1.6.4 承包人文件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需要由承包人提供的文件，包括：</w:t>
      </w:r>
      <w:r>
        <w:rPr>
          <w:rFonts w:hint="eastAsia" w:ascii="宋体" w:hAnsi="宋体" w:eastAsia="宋体" w:cs="宋体"/>
          <w:color w:val="000000" w:themeColor="text1"/>
          <w:sz w:val="24"/>
          <w:szCs w:val="21"/>
          <w:highlight w:val="none"/>
          <w:u w:val="singl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承包人提供的文件的期限为：</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承包人提供的文件的数量为：</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发包人审批承包人文件的期限：</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1.6.5 现场图纸准备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关于现场图纸准备的约定：</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1.7 联络</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1.7.1发包人和承包人应当在</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天内将与合同有关的通知、批准、证明、证书、指示、指令、要求、请求、同意、意见、确定和决定等书面函件送达对方当事人。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1.7.2 发包人接收文件的地点：</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发包人指定的接收人为：</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承包人接收文件的地点：</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承包人指定的接收人为：</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监理人接收文件的地点：</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监理人指定的接收人为：</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1.10 交通运输</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Start w:id="114" w:name="_Toc318581155"/>
      <w:bookmarkStart w:id="115" w:name="_Toc312677986"/>
      <w:bookmarkStart w:id="116" w:name="_Toc304295521"/>
      <w:bookmarkStart w:id="117" w:name="_Toc300934943"/>
      <w:bookmarkStart w:id="118" w:name="_Toc303539100"/>
      <w:r>
        <w:rPr>
          <w:rFonts w:hint="eastAsia" w:ascii="宋体" w:hAnsi="宋体" w:eastAsia="宋体" w:cs="宋体"/>
          <w:color w:val="000000" w:themeColor="text1"/>
          <w:sz w:val="24"/>
          <w:szCs w:val="21"/>
          <w:highlight w:val="none"/>
          <w14:textFill>
            <w14:solidFill>
              <w14:schemeClr w14:val="tx1"/>
            </w14:solidFill>
          </w14:textFill>
        </w:rPr>
        <w:t>.10.1 出入现场的权利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关于出入现场的权利的约定：</w:t>
      </w:r>
      <w:r>
        <w:rPr>
          <w:rFonts w:hint="eastAsia" w:ascii="宋体" w:hAnsi="宋体" w:eastAsia="宋体" w:cs="宋体"/>
          <w:color w:val="000000" w:themeColor="text1"/>
          <w:sz w:val="24"/>
          <w:szCs w:val="21"/>
          <w:highlight w:val="none"/>
          <w:u w:val="single"/>
          <w14:textFill>
            <w14:solidFill>
              <w14:schemeClr w14:val="tx1"/>
            </w14:solidFill>
          </w14:textFill>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bookmarkEnd w:id="114"/>
    <w:bookmarkEnd w:id="115"/>
    <w:bookmarkEnd w:id="116"/>
    <w:bookmarkEnd w:id="117"/>
    <w:bookmarkEnd w:id="11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Start w:id="119" w:name="_Toc318581156"/>
      <w:bookmarkStart w:id="120" w:name="_Toc303539101"/>
      <w:bookmarkStart w:id="121" w:name="_Toc300934944"/>
      <w:bookmarkStart w:id="122" w:name="_Toc312677987"/>
      <w:bookmarkStart w:id="123" w:name="_Toc304295522"/>
      <w:r>
        <w:rPr>
          <w:rFonts w:hint="eastAsia" w:ascii="宋体" w:hAnsi="宋体" w:eastAsia="宋体" w:cs="宋体"/>
          <w:color w:val="000000" w:themeColor="text1"/>
          <w:sz w:val="24"/>
          <w:szCs w:val="21"/>
          <w:highlight w:val="none"/>
          <w14:textFill>
            <w14:solidFill>
              <w14:schemeClr w14:val="tx1"/>
            </w14:solidFill>
          </w14:textFill>
        </w:rPr>
        <w:t>.10.3 场内交通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关于场外交通和场内交通的边界的约定：</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color w:val="000000" w:themeColor="text1"/>
          <w:sz w:val="24"/>
          <w:szCs w:val="21"/>
          <w:highlight w:val="none"/>
          <w:u w:val="single"/>
          <w14:textFill>
            <w14:solidFill>
              <w14:schemeClr w14:val="tx1"/>
            </w14:solidFill>
          </w14:textFill>
        </w:rPr>
        <w:t>             </w:t>
      </w:r>
      <w:r>
        <w:rPr>
          <w:rFonts w:hint="eastAsia" w:ascii="宋体" w:hAnsi="宋体" w:eastAsia="宋体" w:cs="宋体"/>
          <w:color w:val="000000" w:themeColor="text1"/>
          <w:sz w:val="24"/>
          <w:szCs w:val="21"/>
          <w:highlight w:val="none"/>
          <w14:textFill>
            <w14:solidFill>
              <w14:schemeClr w14:val="tx1"/>
            </w14:solidFill>
          </w14:textFill>
        </w:rPr>
        <w:t>。</w:t>
      </w:r>
      <w:bookmarkEnd w:id="119"/>
      <w:bookmarkEnd w:id="120"/>
      <w:bookmarkEnd w:id="121"/>
      <w:bookmarkEnd w:id="122"/>
      <w:bookmarkEnd w:id="123"/>
      <w:bookmarkStart w:id="124" w:name="_Toc31858115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1.10.4超大件和超重件的运输</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运输超大件或超重件所需的道路和桥梁临时加固改造费用和其他有关费用由承担。</w:t>
      </w:r>
    </w:p>
    <w:bookmarkEnd w:id="12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1.11 知识产权</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1"/>
          <w:highlight w:val="none"/>
          <w:u w:val="single"/>
          <w14:textFill>
            <w14:solidFill>
              <w14:schemeClr w14:val="tx1"/>
            </w14:solidFill>
          </w14:textFill>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关于发包人提供的上述文件的使用限制的要求：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1.11.2 关于承包人为实施工程所编制文件的著作权的归属：</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1"/>
          <w:highlight w:val="none"/>
          <w:u w:val="single"/>
          <w14:textFill>
            <w14:solidFill>
              <w14:schemeClr w14:val="tx1"/>
            </w14:solidFill>
          </w14:textFill>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1.11.4 承包人在施工过程中所采用的专利、专有技术、技术秘密的使用费的承担方式：</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1.13工程量清单错误的修正</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允许调整合同价格的工程量偏差范围：</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125" w:name="_Toc351203634"/>
      <w:r>
        <w:rPr>
          <w:rFonts w:hint="eastAsia" w:ascii="宋体" w:hAnsi="宋体" w:eastAsia="宋体" w:cs="宋体"/>
          <w:bCs/>
          <w:color w:val="000000" w:themeColor="text1"/>
          <w:sz w:val="24"/>
          <w:szCs w:val="21"/>
          <w:highlight w:val="none"/>
          <w14:textFill>
            <w14:solidFill>
              <w14:schemeClr w14:val="tx1"/>
            </w14:solidFill>
          </w14:textFill>
        </w:rPr>
        <w:t>2</w:t>
      </w:r>
      <w:bookmarkStart w:id="126" w:name="_Toc296890985"/>
      <w:bookmarkStart w:id="127" w:name="_Toc297048343"/>
      <w:bookmarkStart w:id="128" w:name="_Toc292559867"/>
      <w:bookmarkStart w:id="129" w:name="_Toc296503157"/>
      <w:bookmarkStart w:id="130" w:name="_Toc292559362"/>
      <w:bookmarkStart w:id="131" w:name="_Toc296347156"/>
      <w:bookmarkStart w:id="132" w:name="_Toc296891197"/>
      <w:bookmarkStart w:id="133" w:name="_Toc296346658"/>
      <w:bookmarkStart w:id="134" w:name="_Toc296944496"/>
      <w:bookmarkStart w:id="135" w:name="_Toc297120457"/>
      <w:r>
        <w:rPr>
          <w:rFonts w:hint="eastAsia" w:ascii="宋体" w:hAnsi="宋体" w:eastAsia="宋体" w:cs="宋体"/>
          <w:bCs/>
          <w:color w:val="000000" w:themeColor="text1"/>
          <w:sz w:val="24"/>
          <w:szCs w:val="21"/>
          <w:highlight w:val="none"/>
          <w14:textFill>
            <w14:solidFill>
              <w14:schemeClr w14:val="tx1"/>
            </w14:solidFill>
          </w14:textFill>
        </w:rPr>
        <w:t>. 发包人</w:t>
      </w:r>
      <w:bookmarkEnd w:id="125"/>
    </w:p>
    <w:bookmarkEnd w:id="126"/>
    <w:bookmarkEnd w:id="127"/>
    <w:bookmarkEnd w:id="128"/>
    <w:bookmarkEnd w:id="129"/>
    <w:bookmarkEnd w:id="130"/>
    <w:bookmarkEnd w:id="131"/>
    <w:bookmarkEnd w:id="132"/>
    <w:bookmarkEnd w:id="133"/>
    <w:bookmarkEnd w:id="134"/>
    <w:bookmarkEnd w:id="13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2.2 发包人代表</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发包人代表：</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姓    名：</w:t>
      </w:r>
      <w:r>
        <w:rPr>
          <w:rFonts w:hint="eastAsia" w:ascii="宋体" w:hAnsi="宋体" w:eastAsia="宋体" w:cs="宋体"/>
          <w:color w:val="000000" w:themeColor="text1"/>
          <w:sz w:val="24"/>
          <w:szCs w:val="21"/>
          <w:highlight w:val="none"/>
          <w:u w:val="single"/>
          <w14:textFill>
            <w14:solidFill>
              <w14:schemeClr w14:val="tx1"/>
            </w14:solidFill>
          </w14:textFill>
        </w:rPr>
        <w:t>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身份证号：</w:t>
      </w:r>
      <w:r>
        <w:rPr>
          <w:rFonts w:hint="eastAsia" w:ascii="宋体" w:hAnsi="宋体" w:eastAsia="宋体" w:cs="宋体"/>
          <w:color w:val="000000" w:themeColor="text1"/>
          <w:sz w:val="24"/>
          <w:szCs w:val="21"/>
          <w:highlight w:val="none"/>
          <w:u w:val="single"/>
          <w14:textFill>
            <w14:solidFill>
              <w14:schemeClr w14:val="tx1"/>
            </w14:solidFill>
          </w14:textFill>
        </w:rPr>
        <w:t>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职    务：</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联系电话：</w:t>
      </w:r>
      <w:r>
        <w:rPr>
          <w:rFonts w:hint="eastAsia" w:ascii="宋体" w:hAnsi="宋体" w:eastAsia="宋体" w:cs="宋体"/>
          <w:color w:val="000000" w:themeColor="text1"/>
          <w:sz w:val="24"/>
          <w:szCs w:val="21"/>
          <w:highlight w:val="none"/>
          <w:u w:val="single"/>
          <w14:textFill>
            <w14:solidFill>
              <w14:schemeClr w14:val="tx1"/>
            </w14:solidFill>
          </w14:textFill>
        </w:rPr>
        <w:t>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通信地址：</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发包人对发包人代表的授权范围如下：</w:t>
      </w:r>
      <w:r>
        <w:rPr>
          <w:rFonts w:hint="eastAsia" w:ascii="宋体" w:hAnsi="宋体" w:eastAsia="宋体" w:cs="宋体"/>
          <w:color w:val="000000" w:themeColor="text1"/>
          <w:sz w:val="24"/>
          <w:szCs w:val="21"/>
          <w:highlight w:val="none"/>
          <w:u w:val="single"/>
          <w14:textFill>
            <w14:solidFill>
              <w14:schemeClr w14:val="tx1"/>
            </w14:solidFill>
          </w14:textFill>
        </w:rPr>
        <w:t>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2.4 施工现场、施工条件和基础资料的提供</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2.4.1 提供施工现场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关于发包人移交施工现场的期限要求：</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2.4.2 提供施工条件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关于发包人应负责提供施工所需要的条件，包括：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2.5 资金来源证明及支付担保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发包人提供资金来源证明的期限要求：</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发包人是否提供支付担保：</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发包人提供支付担保的形式：</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136" w:name="_Toc351203635"/>
      <w:r>
        <w:rPr>
          <w:rFonts w:hint="eastAsia" w:ascii="宋体" w:hAnsi="宋体" w:eastAsia="宋体" w:cs="宋体"/>
          <w:bCs/>
          <w:color w:val="000000" w:themeColor="text1"/>
          <w:sz w:val="24"/>
          <w:szCs w:val="21"/>
          <w:highlight w:val="none"/>
          <w14:textFill>
            <w14:solidFill>
              <w14:schemeClr w14:val="tx1"/>
            </w14:solidFill>
          </w14:textFill>
        </w:rPr>
        <w:t>3</w:t>
      </w:r>
      <w:bookmarkStart w:id="137" w:name="_Toc296890986"/>
      <w:bookmarkStart w:id="138" w:name="_Toc296347157"/>
      <w:bookmarkStart w:id="139" w:name="_Toc296944497"/>
      <w:bookmarkStart w:id="140" w:name="_Toc292559363"/>
      <w:bookmarkStart w:id="141" w:name="_Toc296346659"/>
      <w:bookmarkStart w:id="142" w:name="_Toc296891198"/>
      <w:bookmarkStart w:id="143" w:name="_Toc292559868"/>
      <w:bookmarkStart w:id="144" w:name="_Toc297048344"/>
      <w:bookmarkStart w:id="145" w:name="_Toc297120458"/>
      <w:bookmarkStart w:id="146" w:name="_Toc296503158"/>
      <w:r>
        <w:rPr>
          <w:rFonts w:hint="eastAsia" w:ascii="宋体" w:hAnsi="宋体" w:eastAsia="宋体" w:cs="宋体"/>
          <w:bCs/>
          <w:color w:val="000000" w:themeColor="text1"/>
          <w:sz w:val="24"/>
          <w:szCs w:val="21"/>
          <w:highlight w:val="none"/>
          <w14:textFill>
            <w14:solidFill>
              <w14:schemeClr w14:val="tx1"/>
            </w14:solidFill>
          </w14:textFill>
        </w:rPr>
        <w:t>. 承包人</w:t>
      </w:r>
      <w:bookmarkEnd w:id="136"/>
    </w:p>
    <w:bookmarkEnd w:id="137"/>
    <w:bookmarkEnd w:id="138"/>
    <w:bookmarkEnd w:id="139"/>
    <w:bookmarkEnd w:id="140"/>
    <w:bookmarkEnd w:id="141"/>
    <w:bookmarkEnd w:id="142"/>
    <w:bookmarkEnd w:id="143"/>
    <w:bookmarkEnd w:id="144"/>
    <w:bookmarkEnd w:id="145"/>
    <w:bookmarkEnd w:id="14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3.1 承包人的一般义务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（9）承包人提交的竣工资料的内容：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承包人需要提交的竣工资料套数：。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承包人提交的竣工资料的费用承担：。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承包人提交的竣工资料移交时间：。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承包人提交的竣工资料形式要求：。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（10）承包人应履行的其他义务：</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3.2 项目经理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3.2.1 项目经理：</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姓    名：</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身份证号：</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建造师执业资格等级：</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建造师注册证书号：</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建造师执业印章号：</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安全生产考核合格证书号：</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联系电话：</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通信地址：</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承包人对项目经理的授权范围如下：</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关于项目经理每月在施工现场的时间要求：</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color w:val="000000" w:themeColor="text1"/>
          <w:sz w:val="24"/>
          <w:szCs w:val="21"/>
          <w:highlight w:val="none"/>
          <w:u w:val="single"/>
          <w14:textFill>
            <w14:solidFill>
              <w14:schemeClr w14:val="tx1"/>
            </w14:solidFill>
          </w14:textFill>
        </w:rPr>
        <w:t>          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项目经理未经批准，擅自离开施工现场的违约责任：</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3.2.3 承包人擅自更换项目经理的违约责任：</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240" w:firstLineChars="1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3.2.4 承包人无正当理由拒绝更换项目经理的违约责任：</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3.3 承包人人员</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3.3.1 承包人提交项目管理机构及施工现场管理人员安排报告的期限：</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3.3.3 承包人无正当理由拒绝撤换主要施工管理人员的违约责任：</w:t>
      </w:r>
      <w:r>
        <w:rPr>
          <w:rFonts w:hint="eastAsia" w:ascii="宋体" w:hAnsi="宋体" w:eastAsia="宋体" w:cs="宋体"/>
          <w:color w:val="000000" w:themeColor="text1"/>
          <w:sz w:val="24"/>
          <w:szCs w:val="21"/>
          <w:highlight w:val="none"/>
          <w:u w:val="single"/>
          <w14:textFill>
            <w14:solidFill>
              <w14:schemeClr w14:val="tx1"/>
            </w14:solidFill>
          </w14:textFill>
        </w:rPr>
        <w:t xml:space="preserve">  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3.3.4 承包人主要施工管理人员离开施工现场的批准要求：</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jc w:val="left"/>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承包人主要施工管理人员擅自离开施工现场的违约责任：</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w:t>
      </w:r>
      <w:bookmarkStart w:id="147" w:name="_Toc296346660"/>
      <w:bookmarkStart w:id="148" w:name="_Toc296890987"/>
      <w:bookmarkStart w:id="149" w:name="_Toc300934945"/>
      <w:bookmarkStart w:id="150" w:name="_Toc297048345"/>
      <w:bookmarkStart w:id="151" w:name="_Toc296347158"/>
      <w:bookmarkStart w:id="152" w:name="_Toc297120459"/>
      <w:bookmarkStart w:id="153" w:name="_Toc304295523"/>
      <w:bookmarkStart w:id="154" w:name="_Toc296944498"/>
      <w:bookmarkStart w:id="155" w:name="_Toc296891199"/>
      <w:bookmarkStart w:id="156" w:name="_Toc312677988"/>
      <w:bookmarkStart w:id="157" w:name="_Toc296503159"/>
      <w:bookmarkStart w:id="158" w:name="_Toc303539102"/>
      <w:bookmarkStart w:id="159" w:name="_Toc292559869"/>
      <w:bookmarkStart w:id="160" w:name="_Toc297123492"/>
      <w:bookmarkStart w:id="161" w:name="_Toc297216151"/>
      <w:bookmarkStart w:id="162" w:name="_Toc292559364"/>
      <w:r>
        <w:rPr>
          <w:rFonts w:hint="eastAsia" w:ascii="宋体" w:hAnsi="宋体" w:eastAsia="宋体" w:cs="宋体"/>
          <w:color w:val="000000" w:themeColor="text1"/>
          <w:sz w:val="24"/>
          <w:szCs w:val="21"/>
          <w:highlight w:val="none"/>
          <w14:textFill>
            <w14:solidFill>
              <w14:schemeClr w14:val="tx1"/>
            </w14:solidFill>
          </w14:textFill>
        </w:rPr>
        <w:t>.5 分包</w:t>
      </w:r>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w:t>
      </w:r>
      <w:bookmarkStart w:id="163" w:name="_Toc292559365"/>
      <w:bookmarkStart w:id="164" w:name="_Toc297123493"/>
      <w:bookmarkStart w:id="165" w:name="_Toc300934946"/>
      <w:bookmarkStart w:id="166" w:name="_Toc303539103"/>
      <w:bookmarkStart w:id="167" w:name="_Toc296944499"/>
      <w:bookmarkStart w:id="168" w:name="_Toc297216152"/>
      <w:bookmarkStart w:id="169" w:name="_Toc304295524"/>
      <w:bookmarkStart w:id="170" w:name="_Toc296347159"/>
      <w:bookmarkStart w:id="171" w:name="_Toc296503160"/>
      <w:bookmarkStart w:id="172" w:name="_Toc296346661"/>
      <w:bookmarkStart w:id="173" w:name="_Toc297048346"/>
      <w:bookmarkStart w:id="174" w:name="_Toc297120460"/>
      <w:bookmarkStart w:id="175" w:name="_Toc296890988"/>
      <w:bookmarkStart w:id="176" w:name="_Toc296891200"/>
      <w:bookmarkStart w:id="177" w:name="_Toc292559870"/>
      <w:bookmarkStart w:id="178" w:name="_Toc312677989"/>
      <w:bookmarkStart w:id="179" w:name="_Toc318581158"/>
      <w:r>
        <w:rPr>
          <w:rFonts w:hint="eastAsia" w:ascii="宋体" w:hAnsi="宋体" w:eastAsia="宋体" w:cs="宋体"/>
          <w:color w:val="000000" w:themeColor="text1"/>
          <w:sz w:val="24"/>
          <w:szCs w:val="21"/>
          <w:highlight w:val="none"/>
          <w14:textFill>
            <w14:solidFill>
              <w14:schemeClr w14:val="tx1"/>
            </w14:solidFill>
          </w14:textFill>
        </w:rPr>
        <w:t>.5.1 分包的一般约定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禁止分包的工程包括：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主体结构、关键性工作的范围：</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Start w:id="180" w:name="_Toc296891201"/>
      <w:bookmarkStart w:id="181" w:name="_Toc296944500"/>
      <w:bookmarkStart w:id="182" w:name="_Toc297120461"/>
      <w:bookmarkStart w:id="183" w:name="_Toc296347160"/>
      <w:bookmarkStart w:id="184" w:name="_Toc297216153"/>
      <w:bookmarkStart w:id="185" w:name="_Toc303539104"/>
      <w:bookmarkStart w:id="186" w:name="_Toc296890989"/>
      <w:bookmarkStart w:id="187" w:name="_Toc297048347"/>
      <w:bookmarkStart w:id="188" w:name="_Toc296346662"/>
      <w:bookmarkStart w:id="189" w:name="_Toc297123494"/>
      <w:bookmarkStart w:id="190" w:name="_Toc296503161"/>
      <w:bookmarkStart w:id="191" w:name="_Toc304295525"/>
      <w:bookmarkStart w:id="192" w:name="_Toc300934947"/>
      <w:r>
        <w:rPr>
          <w:rFonts w:hint="eastAsia" w:ascii="宋体" w:hAnsi="宋体" w:eastAsia="宋体" w:cs="宋体"/>
          <w:color w:val="000000" w:themeColor="text1"/>
          <w:sz w:val="24"/>
          <w:szCs w:val="21"/>
          <w:highlight w:val="none"/>
          <w:u w:val="single"/>
          <w:lang w:eastAsia="zh-CN"/>
          <w14:textFill>
            <w14:solidFill>
              <w14:schemeClr w14:val="tx1"/>
            </w14:solidFill>
          </w14:textFill>
        </w:rPr>
        <w:t>。</w:t>
      </w:r>
    </w:p>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w:t>
      </w:r>
      <w:bookmarkStart w:id="193" w:name="_Toc312677990"/>
      <w:bookmarkStart w:id="194" w:name="_Toc318581159"/>
      <w:r>
        <w:rPr>
          <w:rFonts w:hint="eastAsia" w:ascii="宋体" w:hAnsi="宋体" w:eastAsia="宋体" w:cs="宋体"/>
          <w:color w:val="000000" w:themeColor="text1"/>
          <w:sz w:val="24"/>
          <w:szCs w:val="21"/>
          <w:highlight w:val="none"/>
          <w14:textFill>
            <w14:solidFill>
              <w14:schemeClr w14:val="tx1"/>
            </w14:solidFill>
          </w14:textFill>
        </w:rPr>
        <w:t>.5.2分包的确定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允许分包的专业工程包括：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其他关于分包的约定：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3.5.4 分包合同价款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关于分包合同价款支付的约定：</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w:t>
      </w:r>
    </w:p>
    <w:bookmarkEnd w:id="193"/>
    <w:bookmarkEnd w:id="19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3.6 工程照管与成品、半成品保护</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承包人负责照管工程及工程相关的材料、工程设备的起始时间：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3.7 履约担保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承包人是否提供履约担保：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承包人提供履约担保的形式、金额及期限的：</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195" w:name="_Toc351203636"/>
      <w:r>
        <w:rPr>
          <w:rFonts w:hint="eastAsia" w:ascii="宋体" w:hAnsi="宋体" w:eastAsia="宋体" w:cs="宋体"/>
          <w:bCs/>
          <w:color w:val="000000" w:themeColor="text1"/>
          <w:sz w:val="24"/>
          <w:szCs w:val="21"/>
          <w:highlight w:val="none"/>
          <w14:textFill>
            <w14:solidFill>
              <w14:schemeClr w14:val="tx1"/>
            </w14:solidFill>
          </w14:textFill>
        </w:rPr>
        <w:t>4</w:t>
      </w:r>
      <w:bookmarkStart w:id="196" w:name="_Toc296890990"/>
      <w:bookmarkStart w:id="197" w:name="_Toc297048348"/>
      <w:bookmarkStart w:id="198" w:name="_Toc296503162"/>
      <w:bookmarkStart w:id="199" w:name="_Toc297120462"/>
      <w:bookmarkStart w:id="200" w:name="_Toc296347161"/>
      <w:bookmarkStart w:id="201" w:name="_Toc296346663"/>
      <w:bookmarkStart w:id="202" w:name="_Toc267251413"/>
      <w:bookmarkStart w:id="203" w:name="_Toc292559871"/>
      <w:bookmarkStart w:id="204" w:name="_Toc296944501"/>
      <w:bookmarkStart w:id="205" w:name="_Toc296891202"/>
      <w:bookmarkStart w:id="206" w:name="_Toc292559366"/>
      <w:r>
        <w:rPr>
          <w:rFonts w:hint="eastAsia" w:ascii="宋体" w:hAnsi="宋体" w:eastAsia="宋体" w:cs="宋体"/>
          <w:bCs/>
          <w:color w:val="000000" w:themeColor="text1"/>
          <w:sz w:val="24"/>
          <w:szCs w:val="21"/>
          <w:highlight w:val="none"/>
          <w14:textFill>
            <w14:solidFill>
              <w14:schemeClr w14:val="tx1"/>
            </w14:solidFill>
          </w14:textFill>
        </w:rPr>
        <w:t>. 监</w:t>
      </w:r>
      <w:bookmarkEnd w:id="196"/>
      <w:bookmarkEnd w:id="197"/>
      <w:bookmarkEnd w:id="198"/>
      <w:bookmarkEnd w:id="199"/>
      <w:bookmarkEnd w:id="200"/>
      <w:bookmarkEnd w:id="201"/>
      <w:bookmarkEnd w:id="202"/>
      <w:bookmarkEnd w:id="203"/>
      <w:bookmarkEnd w:id="204"/>
      <w:bookmarkEnd w:id="205"/>
      <w:bookmarkEnd w:id="206"/>
      <w:r>
        <w:rPr>
          <w:rFonts w:hint="eastAsia" w:ascii="宋体" w:hAnsi="宋体" w:eastAsia="宋体" w:cs="宋体"/>
          <w:bCs/>
          <w:color w:val="000000" w:themeColor="text1"/>
          <w:sz w:val="24"/>
          <w:szCs w:val="21"/>
          <w:highlight w:val="none"/>
          <w14:textFill>
            <w14:solidFill>
              <w14:schemeClr w14:val="tx1"/>
            </w14:solidFill>
          </w14:textFill>
        </w:rPr>
        <w:t>理人</w:t>
      </w:r>
      <w:bookmarkEnd w:id="195"/>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4.1监理人的一般规定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关于监理人的监理内容：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关于监理人的监理权限：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关于监理人在施工现场的办公场所、生活场所的提供和费用承担的约定：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4.2 监理人员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总监理工程师：</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姓    名：</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职    务：</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监理工程师执业资格证书号：</w:t>
      </w:r>
      <w:r>
        <w:rPr>
          <w:rFonts w:hint="eastAsia" w:ascii="宋体" w:hAnsi="宋体" w:eastAsia="宋体" w:cs="宋体"/>
          <w:color w:val="000000" w:themeColor="text1"/>
          <w:sz w:val="24"/>
          <w:szCs w:val="21"/>
          <w:highlight w:val="none"/>
          <w:u w:val="single"/>
          <w14:textFill>
            <w14:solidFill>
              <w14:schemeClr w14:val="tx1"/>
            </w14:solidFill>
          </w14:textFill>
        </w:rPr>
        <w:t>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联系电话：</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电子信箱：</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通信地址：</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关于监理人的其他约定：</w:t>
      </w:r>
      <w:r>
        <w:rPr>
          <w:rFonts w:hint="eastAsia" w:ascii="宋体" w:hAnsi="宋体" w:eastAsia="宋体" w:cs="宋体"/>
          <w:color w:val="000000" w:themeColor="text1"/>
          <w:sz w:val="24"/>
          <w:szCs w:val="21"/>
          <w:highlight w:val="none"/>
          <w:u w:val="single"/>
          <w14:textFill>
            <w14:solidFill>
              <w14:schemeClr w14:val="tx1"/>
            </w14:solidFill>
          </w14:textFill>
        </w:rPr>
        <w:t>   </w:t>
      </w:r>
      <w:r>
        <w:rPr>
          <w:rFonts w:hint="eastAsia" w:ascii="宋体" w:hAnsi="宋体" w:eastAsia="宋体" w:cs="宋体"/>
          <w:color w:val="000000" w:themeColor="text1"/>
          <w:sz w:val="24"/>
          <w:szCs w:val="21"/>
          <w:highlight w:val="none"/>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4.4 商定或确定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207" w:name="_Toc267251418"/>
      <w:r>
        <w:rPr>
          <w:rFonts w:hint="eastAsia" w:ascii="宋体" w:hAnsi="宋体" w:eastAsia="宋体" w:cs="宋体"/>
          <w:color w:val="000000" w:themeColor="text1"/>
          <w:sz w:val="24"/>
          <w:szCs w:val="21"/>
          <w:highlight w:val="none"/>
          <w14:textFill>
            <w14:solidFill>
              <w14:schemeClr w14:val="tx1"/>
            </w14:solidFill>
          </w14:textFill>
        </w:rPr>
        <w:t>在发包人和承包人不能通过协商达成一致意见时，发包人授权监理人对以下事项进行确定：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w:t>
      </w:r>
      <w:r>
        <w:rPr>
          <w:rFonts w:hint="eastAsia" w:ascii="宋体" w:hAnsi="宋体" w:eastAsia="宋体" w:cs="宋体"/>
          <w:color w:val="000000" w:themeColor="text1"/>
          <w:sz w:val="24"/>
          <w:szCs w:val="21"/>
          <w:highlight w:val="none"/>
          <w:lang w:eastAsia="zh-CN"/>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208" w:name="_Toc351203637"/>
      <w:r>
        <w:rPr>
          <w:rFonts w:hint="eastAsia" w:ascii="宋体" w:hAnsi="宋体" w:eastAsia="宋体" w:cs="宋体"/>
          <w:bCs/>
          <w:color w:val="000000" w:themeColor="text1"/>
          <w:sz w:val="24"/>
          <w:szCs w:val="21"/>
          <w:highlight w:val="none"/>
          <w14:textFill>
            <w14:solidFill>
              <w14:schemeClr w14:val="tx1"/>
            </w14:solidFill>
          </w14:textFill>
        </w:rPr>
        <w:t>5</w:t>
      </w:r>
      <w:bookmarkEnd w:id="207"/>
      <w:bookmarkStart w:id="209" w:name="_Toc297048349"/>
      <w:bookmarkStart w:id="210" w:name="_Toc296890991"/>
      <w:bookmarkStart w:id="211" w:name="_Toc296347162"/>
      <w:bookmarkStart w:id="212" w:name="_Toc297120463"/>
      <w:bookmarkStart w:id="213" w:name="_Toc292559367"/>
      <w:bookmarkStart w:id="214" w:name="_Toc296891203"/>
      <w:bookmarkStart w:id="215" w:name="_Toc292559872"/>
      <w:bookmarkStart w:id="216" w:name="_Toc296503163"/>
      <w:bookmarkStart w:id="217" w:name="_Toc296346664"/>
      <w:bookmarkStart w:id="218" w:name="_Toc296944502"/>
      <w:r>
        <w:rPr>
          <w:rFonts w:hint="eastAsia" w:ascii="宋体" w:hAnsi="宋体" w:eastAsia="宋体" w:cs="宋体"/>
          <w:bCs/>
          <w:color w:val="000000" w:themeColor="text1"/>
          <w:sz w:val="24"/>
          <w:szCs w:val="21"/>
          <w:highlight w:val="none"/>
          <w14:textFill>
            <w14:solidFill>
              <w14:schemeClr w14:val="tx1"/>
            </w14:solidFill>
          </w14:textFill>
        </w:rPr>
        <w:t>. 工程质量</w:t>
      </w:r>
      <w:bookmarkEnd w:id="208"/>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5.1 质量要求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w:t>
      </w:r>
      <w:bookmarkStart w:id="219" w:name="_Toc318581164"/>
      <w:bookmarkStart w:id="220" w:name="_Toc297216155"/>
      <w:bookmarkStart w:id="221" w:name="_Toc300934949"/>
      <w:bookmarkStart w:id="222" w:name="_Toc312677997"/>
      <w:bookmarkStart w:id="223" w:name="_Toc303539106"/>
      <w:bookmarkStart w:id="224" w:name="_Toc304295527"/>
      <w:bookmarkStart w:id="225" w:name="_Toc297123496"/>
      <w:r>
        <w:rPr>
          <w:rFonts w:hint="eastAsia" w:ascii="宋体" w:hAnsi="宋体" w:eastAsia="宋体" w:cs="宋体"/>
          <w:color w:val="000000" w:themeColor="text1"/>
          <w:sz w:val="24"/>
          <w:szCs w:val="21"/>
          <w:highlight w:val="none"/>
          <w14:textFill>
            <w14:solidFill>
              <w14:schemeClr w14:val="tx1"/>
            </w14:solidFill>
          </w14:textFill>
        </w:rPr>
        <w:t>.1.1 特殊质量标准和要求：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关于工程奖项的约定：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5.3 隐蔽工程检查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5.3.2承包人提前通知监理人隐蔽工程检查的期限的约定：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监理人不能按时进行检查时，应提前小时提交书面延期要求。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关于延期最长不得超过：小时。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226" w:name="_Toc351203638"/>
      <w:r>
        <w:rPr>
          <w:rFonts w:hint="eastAsia" w:ascii="宋体" w:hAnsi="宋体" w:eastAsia="宋体" w:cs="宋体"/>
          <w:bCs/>
          <w:color w:val="000000" w:themeColor="text1"/>
          <w:sz w:val="24"/>
          <w:szCs w:val="21"/>
          <w:highlight w:val="none"/>
          <w14:textFill>
            <w14:solidFill>
              <w14:schemeClr w14:val="tx1"/>
            </w14:solidFill>
          </w14:textFill>
        </w:rPr>
        <w:t>6. 安全文明施工与环境保护</w:t>
      </w:r>
      <w:bookmarkEnd w:id="226"/>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6.1安全文明施工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6.1.1 项目安全生产的达标目标及相应事项的约定：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6.1.4 关于治安保卫的特别约定：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关于编制施工场地治安管理计划的约定</w:t>
      </w:r>
      <w:r>
        <w:rPr>
          <w:rFonts w:hint="eastAsia" w:ascii="宋体" w:hAnsi="宋体" w:eastAsia="宋体" w:cs="宋体"/>
          <w:color w:val="000000" w:themeColor="text1"/>
          <w:sz w:val="24"/>
          <w:szCs w:val="21"/>
          <w:highlight w:val="none"/>
          <w:lang w:eastAsia="zh-CN"/>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6.1.5 文明施工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合同当事人对文明施工的要求：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6.1.6 关于安全文明施工费支付比例和支付期限的约定：</w:t>
      </w:r>
    </w:p>
    <w:bookmarkEnd w:id="219"/>
    <w:bookmarkEnd w:id="220"/>
    <w:bookmarkEnd w:id="221"/>
    <w:bookmarkEnd w:id="222"/>
    <w:bookmarkEnd w:id="223"/>
    <w:bookmarkEnd w:id="224"/>
    <w:bookmarkEnd w:id="22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227" w:name="_Toc351203639"/>
      <w:r>
        <w:rPr>
          <w:rFonts w:hint="eastAsia" w:ascii="宋体" w:hAnsi="宋体" w:eastAsia="宋体" w:cs="宋体"/>
          <w:bCs/>
          <w:color w:val="000000" w:themeColor="text1"/>
          <w:sz w:val="24"/>
          <w:szCs w:val="21"/>
          <w:highlight w:val="none"/>
          <w14:textFill>
            <w14:solidFill>
              <w14:schemeClr w14:val="tx1"/>
            </w14:solidFill>
          </w14:textFill>
        </w:rPr>
        <w:t>7. 工期和进度</w:t>
      </w:r>
      <w:bookmarkEnd w:id="22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7.1 施工组织设计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7.1.1 合同当事人约定的施工组织设计应包括的其他内容：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7.1.2 施工组织设计的提交和修改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承包人提交详细施工组织设计的期限的约定：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发包人和监理人在收到详细的施工组织设计后确认或提出修改意见的期限：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w:t>
      </w:r>
      <w:bookmarkStart w:id="228" w:name="_Toc312678005"/>
      <w:bookmarkStart w:id="229" w:name="_Toc300934966"/>
      <w:bookmarkStart w:id="230" w:name="_Toc297216173"/>
      <w:bookmarkStart w:id="231" w:name="_Toc312677479"/>
      <w:bookmarkStart w:id="232" w:name="_Toc303539123"/>
      <w:bookmarkStart w:id="233" w:name="_Toc297123514"/>
      <w:bookmarkStart w:id="234" w:name="_Toc304295541"/>
      <w:r>
        <w:rPr>
          <w:rFonts w:hint="eastAsia" w:ascii="宋体" w:hAnsi="宋体" w:eastAsia="宋体" w:cs="宋体"/>
          <w:color w:val="000000" w:themeColor="text1"/>
          <w:sz w:val="24"/>
          <w:szCs w:val="21"/>
          <w:highlight w:val="none"/>
          <w14:textFill>
            <w14:solidFill>
              <w14:schemeClr w14:val="tx1"/>
            </w14:solidFill>
          </w14:textFill>
        </w:rPr>
        <w:t>.2 施工进度计划</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7.2.2 施工进度计划的修订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发包人和监理人在收到修订的施工进度计划后确认或提出修改意见的期限：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7.3 开工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7.3.1 开工准备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关于承包人提交工程开工报审表的期限：。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关于发包人应完成的其他开工准备工作及期限：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关于承包人应完成的其他开工准备工作及期限：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7.3.2开工通知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因发包人原因造成监理人未能在计划开工日期之日起天内发出开工通知的，承包人有权提出价格调整要求，或者解除合同。</w:t>
      </w:r>
    </w:p>
    <w:bookmarkEnd w:id="228"/>
    <w:bookmarkEnd w:id="229"/>
    <w:bookmarkEnd w:id="230"/>
    <w:bookmarkEnd w:id="231"/>
    <w:bookmarkEnd w:id="232"/>
    <w:bookmarkEnd w:id="233"/>
    <w:bookmarkEnd w:id="23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7.4 测量放线</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7.4.1发包人通过监理人向承包人提供测量基准点、基准线和水准点及其书面资料的期限：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w:t>
      </w:r>
      <w:bookmarkStart w:id="235" w:name="_Toc297216175"/>
      <w:bookmarkStart w:id="236" w:name="_Toc300934968"/>
      <w:bookmarkStart w:id="237" w:name="_Toc303539125"/>
      <w:bookmarkStart w:id="238" w:name="_Toc297123516"/>
      <w:bookmarkStart w:id="239" w:name="_Toc312677484"/>
      <w:bookmarkStart w:id="240" w:name="_Toc312678010"/>
      <w:bookmarkStart w:id="241" w:name="_Toc304295546"/>
      <w:r>
        <w:rPr>
          <w:rFonts w:hint="eastAsia" w:ascii="宋体" w:hAnsi="宋体" w:eastAsia="宋体" w:cs="宋体"/>
          <w:color w:val="000000" w:themeColor="text1"/>
          <w:sz w:val="24"/>
          <w:szCs w:val="21"/>
          <w:highlight w:val="none"/>
          <w14:textFill>
            <w14:solidFill>
              <w14:schemeClr w14:val="tx1"/>
            </w14:solidFill>
          </w14:textFill>
        </w:rPr>
        <w:t>.5 工期延误</w:t>
      </w:r>
    </w:p>
    <w:bookmarkEnd w:id="235"/>
    <w:bookmarkEnd w:id="236"/>
    <w:bookmarkEnd w:id="237"/>
    <w:bookmarkEnd w:id="238"/>
    <w:bookmarkEnd w:id="239"/>
    <w:bookmarkEnd w:id="240"/>
    <w:bookmarkEnd w:id="24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7.5.1 因发包人原因导致工期延误</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（7）因发包人原因导致工期延误的其他情形：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w:t>
      </w:r>
      <w:bookmarkStart w:id="242" w:name="_Toc318581169"/>
      <w:bookmarkStart w:id="243" w:name="_Toc312678012"/>
      <w:bookmarkStart w:id="244" w:name="_Toc312677486"/>
      <w:bookmarkStart w:id="245" w:name="_Toc304295548"/>
      <w:bookmarkStart w:id="246" w:name="_Toc300934970"/>
      <w:bookmarkStart w:id="247" w:name="_Toc297123518"/>
      <w:bookmarkStart w:id="248" w:name="_Toc297216177"/>
      <w:bookmarkStart w:id="249" w:name="_Toc303539127"/>
      <w:r>
        <w:rPr>
          <w:rFonts w:hint="eastAsia" w:ascii="宋体" w:hAnsi="宋体" w:eastAsia="宋体" w:cs="宋体"/>
          <w:color w:val="000000" w:themeColor="text1"/>
          <w:sz w:val="24"/>
          <w:szCs w:val="21"/>
          <w:highlight w:val="none"/>
          <w14:textFill>
            <w14:solidFill>
              <w14:schemeClr w14:val="tx1"/>
            </w14:solidFill>
          </w14:textFill>
        </w:rPr>
        <w:t>.5.2 因承包人原因导致工期延误</w:t>
      </w:r>
    </w:p>
    <w:bookmarkEnd w:id="242"/>
    <w:bookmarkEnd w:id="243"/>
    <w:bookmarkEnd w:id="24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因</w:t>
      </w:r>
      <w:bookmarkStart w:id="250" w:name="_Toc312677487"/>
      <w:bookmarkStart w:id="251" w:name="_Toc318581170"/>
      <w:bookmarkStart w:id="252" w:name="_Toc312678013"/>
      <w:r>
        <w:rPr>
          <w:rFonts w:hint="eastAsia" w:ascii="宋体" w:hAnsi="宋体" w:eastAsia="宋体" w:cs="宋体"/>
          <w:color w:val="000000" w:themeColor="text1"/>
          <w:sz w:val="24"/>
          <w:szCs w:val="21"/>
          <w:highlight w:val="none"/>
          <w14:textFill>
            <w14:solidFill>
              <w14:schemeClr w14:val="tx1"/>
            </w14:solidFill>
          </w14:textFill>
        </w:rPr>
        <w:t>承包人原因造成工期延误，逾期竣工违约金的计算方法为：</w:t>
      </w:r>
    </w:p>
    <w:bookmarkEnd w:id="245"/>
    <w:bookmarkEnd w:id="246"/>
    <w:bookmarkEnd w:id="247"/>
    <w:bookmarkEnd w:id="248"/>
    <w:bookmarkEnd w:id="249"/>
    <w:bookmarkEnd w:id="250"/>
    <w:bookmarkEnd w:id="251"/>
    <w:bookmarkEnd w:id="25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因承包人原因造成工期延误，逾</w:t>
      </w:r>
      <w:bookmarkStart w:id="253" w:name="_Toc318581171"/>
      <w:bookmarkStart w:id="254" w:name="_Toc312678014"/>
      <w:r>
        <w:rPr>
          <w:rFonts w:hint="eastAsia" w:ascii="宋体" w:hAnsi="宋体" w:eastAsia="宋体" w:cs="宋体"/>
          <w:color w:val="000000" w:themeColor="text1"/>
          <w:sz w:val="24"/>
          <w:szCs w:val="21"/>
          <w:highlight w:val="none"/>
          <w14:textFill>
            <w14:solidFill>
              <w14:schemeClr w14:val="tx1"/>
            </w14:solidFill>
          </w14:textFill>
        </w:rPr>
        <w:t>期竣工违约金的上限：</w:t>
      </w:r>
    </w:p>
    <w:bookmarkEnd w:id="253"/>
    <w:bookmarkEnd w:id="25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w:t>
      </w:r>
      <w:bookmarkStart w:id="255" w:name="_Toc303539128"/>
      <w:bookmarkStart w:id="256" w:name="_Toc312678015"/>
      <w:bookmarkStart w:id="257" w:name="_Toc297216178"/>
      <w:bookmarkStart w:id="258" w:name="_Toc304295549"/>
      <w:bookmarkStart w:id="259" w:name="_Toc297123519"/>
      <w:bookmarkStart w:id="260" w:name="_Toc300934971"/>
      <w:r>
        <w:rPr>
          <w:rFonts w:hint="eastAsia" w:ascii="宋体" w:hAnsi="宋体" w:eastAsia="宋体" w:cs="宋体"/>
          <w:color w:val="000000" w:themeColor="text1"/>
          <w:sz w:val="24"/>
          <w:szCs w:val="21"/>
          <w:highlight w:val="none"/>
          <w14:textFill>
            <w14:solidFill>
              <w14:schemeClr w14:val="tx1"/>
            </w14:solidFill>
          </w14:textFill>
        </w:rPr>
        <w:t>.6 不</w:t>
      </w:r>
      <w:bookmarkEnd w:id="255"/>
      <w:bookmarkEnd w:id="256"/>
      <w:bookmarkEnd w:id="257"/>
      <w:bookmarkEnd w:id="258"/>
      <w:bookmarkEnd w:id="259"/>
      <w:bookmarkEnd w:id="260"/>
      <w:r>
        <w:rPr>
          <w:rFonts w:hint="eastAsia" w:ascii="宋体" w:hAnsi="宋体" w:eastAsia="宋体" w:cs="宋体"/>
          <w:color w:val="000000" w:themeColor="text1"/>
          <w:sz w:val="24"/>
          <w:szCs w:val="21"/>
          <w:highlight w:val="none"/>
          <w14:textFill>
            <w14:solidFill>
              <w14:schemeClr w14:val="tx1"/>
            </w14:solidFill>
          </w14:textFill>
        </w:rPr>
        <w:t>利物质条件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bookmarkStart w:id="261" w:name="_Toc297123520"/>
      <w:bookmarkStart w:id="262" w:name="_Toc312678016"/>
      <w:bookmarkStart w:id="263" w:name="_Toc303539129"/>
      <w:bookmarkStart w:id="264" w:name="_Toc318581172"/>
      <w:bookmarkStart w:id="265" w:name="_Toc304295550"/>
      <w:bookmarkStart w:id="266" w:name="_Toc300934972"/>
      <w:bookmarkStart w:id="267" w:name="_Toc297216179"/>
      <w:r>
        <w:rPr>
          <w:rFonts w:hint="eastAsia" w:ascii="宋体" w:hAnsi="宋体" w:eastAsia="宋体" w:cs="宋体"/>
          <w:color w:val="000000" w:themeColor="text1"/>
          <w:sz w:val="24"/>
          <w:szCs w:val="21"/>
          <w:highlight w:val="none"/>
          <w14:textFill>
            <w14:solidFill>
              <w14:schemeClr w14:val="tx1"/>
            </w14:solidFill>
          </w14:textFill>
        </w:rPr>
        <w:t>不利物质条件的其他情形和有关约定：</w:t>
      </w:r>
    </w:p>
    <w:bookmarkEnd w:id="261"/>
    <w:bookmarkEnd w:id="262"/>
    <w:bookmarkEnd w:id="263"/>
    <w:bookmarkEnd w:id="264"/>
    <w:bookmarkEnd w:id="265"/>
    <w:bookmarkEnd w:id="266"/>
    <w:bookmarkEnd w:id="267"/>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w:t>
      </w:r>
      <w:bookmarkStart w:id="268" w:name="_Toc300934973"/>
      <w:bookmarkStart w:id="269" w:name="_Toc312678017"/>
      <w:bookmarkStart w:id="270" w:name="_Toc303539130"/>
      <w:bookmarkStart w:id="271" w:name="_Toc297123521"/>
      <w:bookmarkStart w:id="272" w:name="_Toc297216180"/>
      <w:bookmarkStart w:id="273" w:name="_Toc304295551"/>
      <w:r>
        <w:rPr>
          <w:rFonts w:hint="eastAsia" w:ascii="宋体" w:hAnsi="宋体" w:eastAsia="宋体" w:cs="宋体"/>
          <w:color w:val="000000" w:themeColor="text1"/>
          <w:sz w:val="24"/>
          <w:szCs w:val="21"/>
          <w:highlight w:val="none"/>
          <w14:textFill>
            <w14:solidFill>
              <w14:schemeClr w14:val="tx1"/>
            </w14:solidFill>
          </w14:textFill>
        </w:rPr>
        <w:t>.7异常恶劣的气候条件</w:t>
      </w:r>
    </w:p>
    <w:bookmarkEnd w:id="268"/>
    <w:bookmarkEnd w:id="269"/>
    <w:bookmarkEnd w:id="270"/>
    <w:bookmarkEnd w:id="271"/>
    <w:bookmarkEnd w:id="272"/>
    <w:bookmarkEnd w:id="27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发包人和承包人同意以下情形视为异常恶劣的气候条件：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7.9 提前竣工的奖励</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7.9.2提前竣工的奖励：</w:t>
      </w:r>
      <w:bookmarkStart w:id="274" w:name="_Toc35120364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8. 材料与设备</w:t>
      </w:r>
      <w:bookmarkEnd w:id="274"/>
    </w:p>
    <w:bookmarkEnd w:id="209"/>
    <w:bookmarkEnd w:id="210"/>
    <w:bookmarkEnd w:id="211"/>
    <w:bookmarkEnd w:id="212"/>
    <w:bookmarkEnd w:id="213"/>
    <w:bookmarkEnd w:id="214"/>
    <w:bookmarkEnd w:id="215"/>
    <w:bookmarkEnd w:id="216"/>
    <w:bookmarkEnd w:id="217"/>
    <w:bookmarkEnd w:id="21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w:t>
      </w:r>
      <w:bookmarkStart w:id="275" w:name="_Toc297120467"/>
      <w:bookmarkStart w:id="276" w:name="_Toc312678019"/>
      <w:bookmarkStart w:id="277" w:name="_Toc292559877"/>
      <w:bookmarkStart w:id="278" w:name="_Toc303539136"/>
      <w:bookmarkStart w:id="279" w:name="_Toc297216186"/>
      <w:bookmarkStart w:id="280" w:name="_Toc300934979"/>
      <w:bookmarkStart w:id="281" w:name="_Toc296944506"/>
      <w:bookmarkStart w:id="282" w:name="_Toc297123527"/>
      <w:bookmarkStart w:id="283" w:name="_Toc296891207"/>
      <w:bookmarkStart w:id="284" w:name="_Toc280868654"/>
      <w:bookmarkStart w:id="285" w:name="_Toc296890995"/>
      <w:bookmarkStart w:id="286" w:name="_Toc297048353"/>
      <w:bookmarkStart w:id="287" w:name="_Toc312677493"/>
      <w:bookmarkStart w:id="288" w:name="_Toc296503167"/>
      <w:bookmarkStart w:id="289" w:name="_Toc296346668"/>
      <w:bookmarkStart w:id="290" w:name="_Toc296347166"/>
      <w:bookmarkStart w:id="291" w:name="_Toc304295556"/>
      <w:bookmarkStart w:id="292" w:name="_Toc292559372"/>
      <w:bookmarkStart w:id="293" w:name="_Toc280868655"/>
      <w:bookmarkStart w:id="294" w:name="_Toc280868656"/>
      <w:bookmarkStart w:id="295" w:name="_Toc267251424"/>
      <w:r>
        <w:rPr>
          <w:rFonts w:hint="eastAsia" w:ascii="宋体" w:hAnsi="宋体" w:eastAsia="宋体" w:cs="宋体"/>
          <w:color w:val="000000" w:themeColor="text1"/>
          <w:sz w:val="24"/>
          <w:szCs w:val="21"/>
          <w:highlight w:val="none"/>
          <w14:textFill>
            <w14:solidFill>
              <w14:schemeClr w14:val="tx1"/>
            </w14:solidFill>
          </w14:textFill>
        </w:rPr>
        <w:t>.4材料与工程设备的保管与使用</w:t>
      </w:r>
    </w:p>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w:t>
      </w:r>
      <w:bookmarkStart w:id="296" w:name="_Toc292559373"/>
      <w:bookmarkStart w:id="297" w:name="_Toc292559878"/>
      <w:bookmarkStart w:id="298" w:name="_Toc297048354"/>
      <w:bookmarkStart w:id="299" w:name="_Toc312678020"/>
      <w:bookmarkStart w:id="300" w:name="_Toc312677494"/>
      <w:bookmarkStart w:id="301" w:name="_Toc297123528"/>
      <w:bookmarkStart w:id="302" w:name="_Toc296944507"/>
      <w:bookmarkStart w:id="303" w:name="_Toc296890996"/>
      <w:bookmarkStart w:id="304" w:name="_Toc297216187"/>
      <w:bookmarkStart w:id="305" w:name="_Toc300934980"/>
      <w:bookmarkStart w:id="306" w:name="_Toc296347167"/>
      <w:bookmarkStart w:id="307" w:name="_Toc303539137"/>
      <w:bookmarkStart w:id="308" w:name="_Toc304295557"/>
      <w:bookmarkStart w:id="309" w:name="_Toc296503168"/>
      <w:bookmarkStart w:id="310" w:name="_Toc297120468"/>
      <w:bookmarkStart w:id="311" w:name="_Toc296346669"/>
      <w:bookmarkStart w:id="312" w:name="_Toc296891208"/>
      <w:bookmarkStart w:id="313" w:name="_Toc318581173"/>
      <w:r>
        <w:rPr>
          <w:rFonts w:hint="eastAsia" w:ascii="宋体" w:hAnsi="宋体" w:eastAsia="宋体" w:cs="宋体"/>
          <w:color w:val="000000" w:themeColor="text1"/>
          <w:sz w:val="24"/>
          <w:szCs w:val="21"/>
          <w:highlight w:val="none"/>
          <w14:textFill>
            <w14:solidFill>
              <w14:schemeClr w14:val="tx1"/>
            </w14:solidFill>
          </w14:textFill>
        </w:rPr>
        <w:t>.4.1发包人供应的材料设备的保管费用的承担：</w:t>
      </w:r>
      <w:bookmarkEnd w:id="296"/>
      <w:bookmarkEnd w:id="29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8.6 样品</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8.6.1</w:t>
      </w:r>
      <w:r>
        <w:rPr>
          <w:rFonts w:hint="eastAsia" w:ascii="宋体" w:hAnsi="宋体" w:eastAsia="宋体" w:cs="宋体"/>
          <w:color w:val="000000" w:themeColor="text1"/>
          <w:sz w:val="24"/>
          <w:szCs w:val="21"/>
          <w:highlight w:val="none"/>
          <w14:textFill>
            <w14:solidFill>
              <w14:schemeClr w14:val="tx1"/>
            </w14:solidFill>
          </w14:textFill>
        </w:rPr>
        <w:tab/>
      </w:r>
      <w:r>
        <w:rPr>
          <w:rFonts w:hint="eastAsia" w:ascii="宋体" w:hAnsi="宋体" w:eastAsia="宋体" w:cs="宋体"/>
          <w:color w:val="000000" w:themeColor="text1"/>
          <w:sz w:val="24"/>
          <w:szCs w:val="21"/>
          <w:highlight w:val="none"/>
          <w14:textFill>
            <w14:solidFill>
              <w14:schemeClr w14:val="tx1"/>
            </w14:solidFill>
          </w14:textFill>
        </w:rPr>
        <w:t>样品的报送与封存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需要承包人报送样品的材料或工程设备，样品的种类、名称、规格、数量要求：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8.8 施工设备和临时设施</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8.8.1 承包人提供的施工设备和临时设施</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关于修建临时设施费用承担的约定：</w:t>
      </w:r>
    </w:p>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314" w:name="_Toc351203641"/>
      <w:r>
        <w:rPr>
          <w:rFonts w:hint="eastAsia" w:ascii="宋体" w:hAnsi="宋体" w:eastAsia="宋体" w:cs="宋体"/>
          <w:bCs/>
          <w:color w:val="000000" w:themeColor="text1"/>
          <w:sz w:val="24"/>
          <w:szCs w:val="21"/>
          <w:highlight w:val="none"/>
          <w14:textFill>
            <w14:solidFill>
              <w14:schemeClr w14:val="tx1"/>
            </w14:solidFill>
          </w14:textFill>
        </w:rPr>
        <w:t>9</w:t>
      </w:r>
      <w:bookmarkEnd w:id="293"/>
      <w:bookmarkEnd w:id="294"/>
      <w:bookmarkEnd w:id="295"/>
      <w:bookmarkStart w:id="315" w:name="_Toc304295559"/>
      <w:bookmarkStart w:id="316" w:name="_Toc312677495"/>
      <w:bookmarkStart w:id="317" w:name="_Toc297123533"/>
      <w:bookmarkStart w:id="318" w:name="_Toc297216192"/>
      <w:bookmarkStart w:id="319" w:name="_Toc300934982"/>
      <w:bookmarkStart w:id="320" w:name="_Toc303539139"/>
      <w:bookmarkStart w:id="321" w:name="_Toc312678021"/>
      <w:bookmarkStart w:id="322" w:name="_Toc267251427"/>
      <w:bookmarkStart w:id="323" w:name="_Toc296891001"/>
      <w:bookmarkStart w:id="324" w:name="_Toc296503173"/>
      <w:bookmarkStart w:id="325" w:name="_Toc296347172"/>
      <w:bookmarkStart w:id="326" w:name="_Toc296346674"/>
      <w:bookmarkStart w:id="327" w:name="_Toc296944512"/>
      <w:bookmarkStart w:id="328" w:name="_Toc297120473"/>
      <w:bookmarkStart w:id="329" w:name="_Toc292559378"/>
      <w:bookmarkStart w:id="330" w:name="_Toc267251428"/>
      <w:bookmarkStart w:id="331" w:name="_Toc297048359"/>
      <w:bookmarkStart w:id="332" w:name="_Toc292559883"/>
      <w:bookmarkStart w:id="333" w:name="_Toc296891213"/>
      <w:r>
        <w:rPr>
          <w:rFonts w:hint="eastAsia" w:ascii="宋体" w:hAnsi="宋体" w:eastAsia="宋体" w:cs="宋体"/>
          <w:bCs/>
          <w:color w:val="000000" w:themeColor="text1"/>
          <w:sz w:val="24"/>
          <w:szCs w:val="21"/>
          <w:highlight w:val="none"/>
          <w14:textFill>
            <w14:solidFill>
              <w14:schemeClr w14:val="tx1"/>
            </w14:solidFill>
          </w14:textFill>
        </w:rPr>
        <w:t>. 试验与检验</w:t>
      </w:r>
      <w:bookmarkEnd w:id="314"/>
    </w:p>
    <w:bookmarkEnd w:id="315"/>
    <w:bookmarkEnd w:id="316"/>
    <w:bookmarkEnd w:id="317"/>
    <w:bookmarkEnd w:id="318"/>
    <w:bookmarkEnd w:id="319"/>
    <w:bookmarkEnd w:id="320"/>
    <w:bookmarkEnd w:id="32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9</w:t>
      </w:r>
      <w:bookmarkStart w:id="334" w:name="_Toc303539140"/>
      <w:bookmarkStart w:id="335" w:name="_Toc300934983"/>
      <w:bookmarkStart w:id="336" w:name="_Toc312678022"/>
      <w:bookmarkStart w:id="337" w:name="_Toc297123534"/>
      <w:bookmarkStart w:id="338" w:name="_Toc297216193"/>
      <w:bookmarkStart w:id="339" w:name="_Toc312677496"/>
      <w:bookmarkStart w:id="340" w:name="_Toc304295560"/>
      <w:r>
        <w:rPr>
          <w:rFonts w:hint="eastAsia" w:ascii="宋体" w:hAnsi="宋体" w:eastAsia="宋体" w:cs="宋体"/>
          <w:color w:val="000000" w:themeColor="text1"/>
          <w:sz w:val="24"/>
          <w:szCs w:val="21"/>
          <w:highlight w:val="none"/>
          <w14:textFill>
            <w14:solidFill>
              <w14:schemeClr w14:val="tx1"/>
            </w14:solidFill>
          </w14:textFill>
        </w:rPr>
        <w:t>.1试验设备与试验人员</w:t>
      </w:r>
    </w:p>
    <w:bookmarkEnd w:id="334"/>
    <w:bookmarkEnd w:id="335"/>
    <w:bookmarkEnd w:id="336"/>
    <w:bookmarkEnd w:id="337"/>
    <w:bookmarkEnd w:id="338"/>
    <w:bookmarkEnd w:id="339"/>
    <w:bookmarkEnd w:id="34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9</w:t>
      </w:r>
      <w:bookmarkStart w:id="341" w:name="_Toc300934984"/>
      <w:bookmarkStart w:id="342" w:name="_Toc312678023"/>
      <w:bookmarkStart w:id="343" w:name="_Toc312677497"/>
      <w:bookmarkStart w:id="344" w:name="_Toc303539141"/>
      <w:bookmarkStart w:id="345" w:name="_Toc297216194"/>
      <w:bookmarkStart w:id="346" w:name="_Toc304295561"/>
      <w:bookmarkStart w:id="347" w:name="_Toc297123535"/>
      <w:bookmarkStart w:id="348" w:name="_Toc318581174"/>
      <w:r>
        <w:rPr>
          <w:rFonts w:hint="eastAsia" w:ascii="宋体" w:hAnsi="宋体" w:eastAsia="宋体" w:cs="宋体"/>
          <w:color w:val="000000" w:themeColor="text1"/>
          <w:sz w:val="24"/>
          <w:szCs w:val="21"/>
          <w:highlight w:val="none"/>
          <w14:textFill>
            <w14:solidFill>
              <w14:schemeClr w14:val="tx1"/>
            </w14:solidFill>
          </w14:textFill>
        </w:rPr>
        <w:t>.1.2 试验设备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施工现场需要配置的试验场所：</w:t>
      </w:r>
      <w:bookmarkEnd w:id="341"/>
      <w:bookmarkEnd w:id="342"/>
      <w:bookmarkEnd w:id="343"/>
      <w:bookmarkEnd w:id="344"/>
      <w:bookmarkEnd w:id="345"/>
      <w:bookmarkEnd w:id="346"/>
      <w:bookmarkEnd w:id="347"/>
      <w:bookmarkStart w:id="349" w:name="_Toc304295562"/>
      <w:bookmarkStart w:id="350" w:name="_Toc303539142"/>
      <w:bookmarkStart w:id="351" w:name="_Toc300934985"/>
      <w:bookmarkStart w:id="352" w:name="_Toc297216195"/>
      <w:bookmarkStart w:id="353" w:name="_Toc297123536"/>
      <w:bookmarkStart w:id="354" w:name="_Toc312677498"/>
      <w:bookmarkStart w:id="355" w:name="_Toc312678024"/>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施工现场需要配备的试验设备：</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施工现场需要具备的其他试验条件：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9.4 现场工艺试验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现场工艺试验的有关约定：</w:t>
      </w:r>
    </w:p>
    <w:bookmarkEnd w:id="348"/>
    <w:bookmarkEnd w:id="349"/>
    <w:bookmarkEnd w:id="350"/>
    <w:bookmarkEnd w:id="351"/>
    <w:bookmarkEnd w:id="352"/>
    <w:bookmarkEnd w:id="353"/>
    <w:bookmarkEnd w:id="354"/>
    <w:bookmarkEnd w:id="35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356" w:name="_Toc351203642"/>
      <w:r>
        <w:rPr>
          <w:rFonts w:hint="eastAsia" w:ascii="宋体" w:hAnsi="宋体" w:eastAsia="宋体" w:cs="宋体"/>
          <w:bCs/>
          <w:color w:val="000000" w:themeColor="text1"/>
          <w:sz w:val="24"/>
          <w:szCs w:val="21"/>
          <w:highlight w:val="none"/>
          <w14:textFill>
            <w14:solidFill>
              <w14:schemeClr w14:val="tx1"/>
            </w14:solidFill>
          </w14:textFill>
        </w:rPr>
        <w:t>1</w:t>
      </w:r>
      <w:bookmarkEnd w:id="322"/>
      <w:bookmarkEnd w:id="323"/>
      <w:bookmarkEnd w:id="324"/>
      <w:bookmarkEnd w:id="325"/>
      <w:bookmarkEnd w:id="326"/>
      <w:bookmarkEnd w:id="327"/>
      <w:bookmarkEnd w:id="328"/>
      <w:bookmarkEnd w:id="329"/>
      <w:bookmarkEnd w:id="330"/>
      <w:bookmarkEnd w:id="331"/>
      <w:bookmarkEnd w:id="332"/>
      <w:bookmarkEnd w:id="333"/>
      <w:bookmarkStart w:id="357" w:name="_Toc296891021"/>
      <w:bookmarkStart w:id="358" w:name="_Toc296891233"/>
      <w:bookmarkStart w:id="359" w:name="_Toc297216199"/>
      <w:bookmarkStart w:id="360" w:name="_Toc297123540"/>
      <w:bookmarkStart w:id="361" w:name="_Toc292559903"/>
      <w:bookmarkStart w:id="362" w:name="_Toc300934989"/>
      <w:bookmarkStart w:id="363" w:name="_Toc297048379"/>
      <w:bookmarkStart w:id="364" w:name="_Toc296944532"/>
      <w:bookmarkStart w:id="365" w:name="_Toc297120493"/>
      <w:bookmarkStart w:id="366" w:name="_Toc296503193"/>
      <w:bookmarkStart w:id="367" w:name="_Toc303539146"/>
      <w:bookmarkStart w:id="368" w:name="_Toc296346694"/>
      <w:bookmarkStart w:id="369" w:name="_Toc292559398"/>
      <w:bookmarkStart w:id="370" w:name="_Toc304295566"/>
      <w:bookmarkStart w:id="371" w:name="_Toc296347192"/>
      <w:bookmarkStart w:id="372" w:name="_Toc312678025"/>
      <w:bookmarkStart w:id="373" w:name="_Toc312677499"/>
      <w:bookmarkStart w:id="374" w:name="_Toc267251435"/>
      <w:bookmarkStart w:id="375" w:name="_Toc267251433"/>
      <w:bookmarkStart w:id="376" w:name="_Toc267251437"/>
      <w:bookmarkStart w:id="377" w:name="_Toc267251440"/>
      <w:bookmarkStart w:id="378" w:name="_Toc267251439"/>
      <w:bookmarkStart w:id="379" w:name="_Toc267251441"/>
      <w:bookmarkStart w:id="380" w:name="_Toc267251442"/>
      <w:r>
        <w:rPr>
          <w:rFonts w:hint="eastAsia" w:ascii="宋体" w:hAnsi="宋体" w:eastAsia="宋体" w:cs="宋体"/>
          <w:bCs/>
          <w:color w:val="000000" w:themeColor="text1"/>
          <w:sz w:val="24"/>
          <w:szCs w:val="21"/>
          <w:highlight w:val="none"/>
          <w14:textFill>
            <w14:solidFill>
              <w14:schemeClr w14:val="tx1"/>
            </w14:solidFill>
          </w14:textFill>
        </w:rPr>
        <w:t>0. 变更</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bookmarkEnd w:id="372"/>
    <w:bookmarkEnd w:id="37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Start w:id="381" w:name="_Toc296503194"/>
      <w:bookmarkStart w:id="382" w:name="_Toc296944533"/>
      <w:bookmarkStart w:id="383" w:name="_Toc292559904"/>
      <w:bookmarkStart w:id="384" w:name="_Toc296891022"/>
      <w:bookmarkStart w:id="385" w:name="_Toc297216200"/>
      <w:bookmarkStart w:id="386" w:name="_Toc303539147"/>
      <w:bookmarkStart w:id="387" w:name="_Toc296346695"/>
      <w:bookmarkStart w:id="388" w:name="_Toc296891234"/>
      <w:bookmarkStart w:id="389" w:name="_Toc300934990"/>
      <w:bookmarkStart w:id="390" w:name="_Toc292559399"/>
      <w:bookmarkStart w:id="391" w:name="_Toc297048380"/>
      <w:bookmarkStart w:id="392" w:name="_Toc297123541"/>
      <w:bookmarkStart w:id="393" w:name="_Toc312678026"/>
      <w:bookmarkStart w:id="394" w:name="_Toc297120494"/>
      <w:bookmarkStart w:id="395" w:name="_Toc312677500"/>
      <w:bookmarkStart w:id="396" w:name="_Toc296347193"/>
      <w:bookmarkStart w:id="397" w:name="_Toc304295567"/>
      <w:r>
        <w:rPr>
          <w:rFonts w:hint="eastAsia" w:ascii="宋体" w:hAnsi="宋体" w:eastAsia="宋体" w:cs="宋体"/>
          <w:color w:val="000000" w:themeColor="text1"/>
          <w:sz w:val="24"/>
          <w:szCs w:val="21"/>
          <w:highlight w:val="none"/>
          <w14:textFill>
            <w14:solidFill>
              <w14:schemeClr w14:val="tx1"/>
            </w14:solidFill>
          </w14:textFill>
        </w:rPr>
        <w:t>0.1变更的范围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关于变更的范围的约定：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10.4 变更估价</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10.4.1 变更估价原则</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关于变更估价的约定: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Start w:id="398" w:name="_Toc296944536"/>
      <w:bookmarkStart w:id="399" w:name="_Toc296346698"/>
      <w:bookmarkStart w:id="400" w:name="_Toc296503197"/>
      <w:bookmarkStart w:id="401" w:name="_Toc296347196"/>
      <w:bookmarkStart w:id="402" w:name="_Toc297123544"/>
      <w:bookmarkStart w:id="403" w:name="_Toc303539150"/>
      <w:bookmarkStart w:id="404" w:name="_Toc292559907"/>
      <w:bookmarkStart w:id="405" w:name="_Toc297120497"/>
      <w:bookmarkStart w:id="406" w:name="_Toc297216203"/>
      <w:bookmarkStart w:id="407" w:name="_Toc296891237"/>
      <w:bookmarkStart w:id="408" w:name="_Toc292559402"/>
      <w:bookmarkStart w:id="409" w:name="_Toc297048383"/>
      <w:bookmarkStart w:id="410" w:name="_Toc296891025"/>
      <w:bookmarkStart w:id="411" w:name="_Toc300934993"/>
      <w:bookmarkStart w:id="412" w:name="_Toc312678029"/>
      <w:bookmarkStart w:id="413" w:name="_Toc312677503"/>
      <w:bookmarkStart w:id="414" w:name="_Toc304295570"/>
      <w:r>
        <w:rPr>
          <w:rFonts w:hint="eastAsia" w:ascii="宋体" w:hAnsi="宋体" w:eastAsia="宋体" w:cs="宋体"/>
          <w:color w:val="000000" w:themeColor="text1"/>
          <w:sz w:val="24"/>
          <w:szCs w:val="21"/>
          <w:highlight w:val="none"/>
          <w14:textFill>
            <w14:solidFill>
              <w14:schemeClr w14:val="tx1"/>
            </w14:solidFill>
          </w14:textFill>
        </w:rPr>
        <w:t>0.5承</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Start w:id="415" w:name="_Toc297216204"/>
      <w:bookmarkStart w:id="416" w:name="_Toc296891243"/>
      <w:bookmarkStart w:id="417" w:name="_Toc297123545"/>
      <w:bookmarkStart w:id="418" w:name="_Toc292559408"/>
      <w:bookmarkStart w:id="419" w:name="_Toc296347202"/>
      <w:bookmarkStart w:id="420" w:name="_Toc296346704"/>
      <w:bookmarkStart w:id="421" w:name="_Toc297120503"/>
      <w:bookmarkStart w:id="422" w:name="_Toc297048389"/>
      <w:bookmarkStart w:id="423" w:name="_Toc296891031"/>
      <w:bookmarkStart w:id="424" w:name="_Toc300934994"/>
      <w:bookmarkStart w:id="425" w:name="_Toc296944542"/>
      <w:bookmarkStart w:id="426" w:name="_Toc303539151"/>
      <w:bookmarkStart w:id="427" w:name="_Toc296503203"/>
      <w:bookmarkStart w:id="428" w:name="_Toc292559913"/>
      <w:r>
        <w:rPr>
          <w:rFonts w:hint="eastAsia" w:ascii="宋体" w:hAnsi="宋体" w:eastAsia="宋体" w:cs="宋体"/>
          <w:color w:val="000000" w:themeColor="text1"/>
          <w:sz w:val="24"/>
          <w:szCs w:val="21"/>
          <w:highlight w:val="none"/>
          <w14:textFill>
            <w14:solidFill>
              <w14:schemeClr w14:val="tx1"/>
            </w14:solidFill>
          </w14:textFill>
        </w:rPr>
        <w:t>包人的合理化建议</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监理人审查承包人合理化建议的期限：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发包人审批承包人合理化建议的期限：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w:t>
      </w:r>
      <w:bookmarkStart w:id="429" w:name="_Toc312678030"/>
      <w:bookmarkStart w:id="430" w:name="_Toc297123546"/>
      <w:bookmarkStart w:id="431" w:name="_Toc296891032"/>
      <w:bookmarkStart w:id="432" w:name="_Toc296346705"/>
      <w:bookmarkStart w:id="433" w:name="_Toc312677504"/>
      <w:bookmarkStart w:id="434" w:name="_Toc297048390"/>
      <w:bookmarkStart w:id="435" w:name="_Toc292559409"/>
      <w:bookmarkStart w:id="436" w:name="_Toc296503204"/>
      <w:bookmarkStart w:id="437" w:name="_Toc297120504"/>
      <w:bookmarkStart w:id="438" w:name="_Toc300934995"/>
      <w:bookmarkStart w:id="439" w:name="_Toc296891244"/>
      <w:bookmarkStart w:id="440" w:name="_Toc318581175"/>
      <w:bookmarkStart w:id="441" w:name="_Toc296944543"/>
      <w:bookmarkStart w:id="442" w:name="_Toc304295571"/>
      <w:bookmarkStart w:id="443" w:name="_Toc297216205"/>
      <w:bookmarkStart w:id="444" w:name="_Toc303539152"/>
      <w:bookmarkStart w:id="445" w:name="_Toc296347203"/>
      <w:bookmarkStart w:id="446" w:name="_Toc292559914"/>
      <w:r>
        <w:rPr>
          <w:rFonts w:hint="eastAsia" w:ascii="宋体" w:hAnsi="宋体" w:eastAsia="宋体" w:cs="宋体"/>
          <w:color w:val="000000" w:themeColor="text1"/>
          <w:sz w:val="24"/>
          <w:szCs w:val="21"/>
          <w:highlight w:val="none"/>
          <w14:textFill>
            <w14:solidFill>
              <w14:schemeClr w14:val="tx1"/>
            </w14:solidFill>
          </w14:textFill>
        </w:rPr>
        <w:t>包人提出的合理化建议降低了合同价格或者提高了工程经济效益的奖励的方法和金额为：</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Start w:id="447" w:name="_Toc296503199"/>
      <w:bookmarkStart w:id="448" w:name="_Toc312677507"/>
      <w:bookmarkStart w:id="449" w:name="_Toc304295574"/>
      <w:bookmarkStart w:id="450" w:name="_Toc292559404"/>
      <w:bookmarkStart w:id="451" w:name="_Toc296346700"/>
      <w:bookmarkStart w:id="452" w:name="_Toc297216207"/>
      <w:bookmarkStart w:id="453" w:name="_Toc296891239"/>
      <w:bookmarkStart w:id="454" w:name="_Toc297123548"/>
      <w:bookmarkStart w:id="455" w:name="_Toc292559909"/>
      <w:bookmarkStart w:id="456" w:name="_Toc300934997"/>
      <w:bookmarkStart w:id="457" w:name="_Toc296347198"/>
      <w:bookmarkStart w:id="458" w:name="_Toc297048385"/>
      <w:bookmarkStart w:id="459" w:name="_Toc296944538"/>
      <w:bookmarkStart w:id="460" w:name="_Toc296891027"/>
      <w:bookmarkStart w:id="461" w:name="_Toc297120499"/>
      <w:bookmarkStart w:id="462" w:name="_Toc303539154"/>
      <w:bookmarkStart w:id="463" w:name="_Toc312678033"/>
      <w:r>
        <w:rPr>
          <w:rFonts w:hint="eastAsia" w:ascii="宋体" w:hAnsi="宋体" w:eastAsia="宋体" w:cs="宋体"/>
          <w:color w:val="000000" w:themeColor="text1"/>
          <w:sz w:val="24"/>
          <w:szCs w:val="21"/>
          <w:highlight w:val="none"/>
          <w14:textFill>
            <w14:solidFill>
              <w14:schemeClr w14:val="tx1"/>
            </w14:solidFill>
          </w14:textFill>
        </w:rPr>
        <w:t>0.7 暂估价</w:t>
      </w:r>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暂</w:t>
      </w:r>
      <w:bookmarkStart w:id="464" w:name="_Toc312677508"/>
      <w:bookmarkStart w:id="465" w:name="_Toc318581176"/>
      <w:bookmarkStart w:id="466" w:name="_Toc312678034"/>
      <w:r>
        <w:rPr>
          <w:rFonts w:hint="eastAsia" w:ascii="宋体" w:hAnsi="宋体" w:eastAsia="宋体" w:cs="宋体"/>
          <w:color w:val="000000" w:themeColor="text1"/>
          <w:sz w:val="24"/>
          <w:szCs w:val="21"/>
          <w:highlight w:val="none"/>
          <w14:textFill>
            <w14:solidFill>
              <w14:schemeClr w14:val="tx1"/>
            </w14:solidFill>
          </w14:textFill>
        </w:rPr>
        <w:t>估价材料和工程设备的明细详见附件11：《暂估价一览表》。</w:t>
      </w:r>
    </w:p>
    <w:bookmarkEnd w:id="464"/>
    <w:bookmarkEnd w:id="465"/>
    <w:bookmarkEnd w:id="46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Start w:id="467" w:name="_Toc318581177"/>
      <w:bookmarkStart w:id="468" w:name="_Toc312678035"/>
      <w:bookmarkStart w:id="469" w:name="_Toc312677509"/>
      <w:r>
        <w:rPr>
          <w:rFonts w:hint="eastAsia" w:ascii="宋体" w:hAnsi="宋体" w:eastAsia="宋体" w:cs="宋体"/>
          <w:color w:val="000000" w:themeColor="text1"/>
          <w:sz w:val="24"/>
          <w:szCs w:val="21"/>
          <w:highlight w:val="none"/>
          <w14:textFill>
            <w14:solidFill>
              <w14:schemeClr w14:val="tx1"/>
            </w14:solidFill>
          </w14:textFill>
        </w:rPr>
        <w:t>0.7.1 依法必须招标的暂估价项目</w:t>
      </w:r>
    </w:p>
    <w:bookmarkEnd w:id="467"/>
    <w:bookmarkEnd w:id="468"/>
    <w:bookmarkEnd w:id="469"/>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对于依法必须招标的暂估价项目的确认和批准采取第种方式确定。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10.7.2 不属于依法必须招标的暂估价项目</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对于不属于依法必须招标的暂估价项目的确认和批准采取第 种方式确定。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第3种方式：承包人直接实施的暂估价项目</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承包人直接实施的暂估价项目的约定：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10.8 暂列金额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合同当事人关于暂列金额使用的约定：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470" w:name="_Toc351203643"/>
      <w:r>
        <w:rPr>
          <w:rFonts w:hint="eastAsia" w:ascii="宋体" w:hAnsi="宋体" w:eastAsia="宋体" w:cs="宋体"/>
          <w:bCs/>
          <w:color w:val="000000" w:themeColor="text1"/>
          <w:sz w:val="24"/>
          <w:szCs w:val="21"/>
          <w:highlight w:val="none"/>
          <w14:textFill>
            <w14:solidFill>
              <w14:schemeClr w14:val="tx1"/>
            </w14:solidFill>
          </w14:textFill>
        </w:rPr>
        <w:t>11. 价格调整</w:t>
      </w:r>
      <w:bookmarkEnd w:id="470"/>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471" w:name="_Toc297120501"/>
      <w:bookmarkStart w:id="472" w:name="_Toc296944540"/>
      <w:bookmarkStart w:id="473" w:name="_Toc296891241"/>
      <w:bookmarkStart w:id="474" w:name="_Toc304295577"/>
      <w:bookmarkStart w:id="475" w:name="_Toc292559911"/>
      <w:bookmarkStart w:id="476" w:name="_Toc297048387"/>
      <w:bookmarkStart w:id="477" w:name="_Toc296891029"/>
      <w:bookmarkStart w:id="478" w:name="_Toc297216209"/>
      <w:bookmarkStart w:id="479" w:name="_Toc312678039"/>
      <w:bookmarkStart w:id="480" w:name="_Toc296347200"/>
      <w:bookmarkStart w:id="481" w:name="_Toc297123550"/>
      <w:bookmarkStart w:id="482" w:name="_Toc300935000"/>
      <w:bookmarkStart w:id="483" w:name="_Toc292559406"/>
      <w:bookmarkStart w:id="484" w:name="_Toc296346702"/>
      <w:bookmarkStart w:id="485" w:name="_Toc296503201"/>
      <w:bookmarkStart w:id="486" w:name="_Toc303539157"/>
      <w:r>
        <w:rPr>
          <w:rFonts w:hint="eastAsia" w:ascii="宋体" w:hAnsi="宋体" w:eastAsia="宋体" w:cs="宋体"/>
          <w:color w:val="000000" w:themeColor="text1"/>
          <w:sz w:val="24"/>
          <w:szCs w:val="21"/>
          <w:highlight w:val="none"/>
          <w14:textFill>
            <w14:solidFill>
              <w14:schemeClr w14:val="tx1"/>
            </w14:solidFill>
          </w14:textFill>
        </w:rPr>
        <w:t>11.1 市场价格波动引起的调整</w:t>
      </w:r>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市场价格波动是否调整合同价格的约定：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因市场价格波动调整合同价格，采用以下第种方式对合同价格进行调整：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第1种方式：采用价格指数进行价格调整。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关于各可调因子、定值和变值权重，以及基本价格指数及其来源的约定：；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第2种方式：采用造价信息进行价格调整。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（2）关于基准价格的约定：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③承包人在已标价工程量清单或预算书中载明的材料单价等于基准单价的：专用合同条款合同履行期间材料单价涨跌幅以基准单价为基础超过±%时，其超过部分据实调整。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第3种方式：其他价格调整方式：</w:t>
      </w:r>
    </w:p>
    <w:bookmarkEnd w:id="374"/>
    <w:bookmarkEnd w:id="375"/>
    <w:bookmarkEnd w:id="376"/>
    <w:bookmarkEnd w:id="377"/>
    <w:bookmarkEnd w:id="378"/>
    <w:bookmarkEnd w:id="379"/>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487" w:name="_Toc296503205"/>
      <w:bookmarkStart w:id="488" w:name="_Toc297048391"/>
      <w:bookmarkStart w:id="489" w:name="_Toc292559915"/>
      <w:bookmarkStart w:id="490" w:name="_Toc296891033"/>
      <w:bookmarkStart w:id="491" w:name="_Toc296347204"/>
      <w:bookmarkStart w:id="492" w:name="_Toc296891245"/>
      <w:bookmarkStart w:id="493" w:name="_Toc297120505"/>
      <w:bookmarkStart w:id="494" w:name="_Toc296944544"/>
      <w:bookmarkStart w:id="495" w:name="_Toc292559410"/>
      <w:bookmarkStart w:id="496" w:name="_Toc296346706"/>
      <w:bookmarkStart w:id="497" w:name="_Toc351203644"/>
      <w:bookmarkStart w:id="498" w:name="_Toc297123552"/>
      <w:bookmarkStart w:id="499" w:name="_Toc300935002"/>
      <w:bookmarkStart w:id="500" w:name="_Toc297216211"/>
      <w:bookmarkStart w:id="501" w:name="_Toc312678040"/>
      <w:bookmarkStart w:id="502" w:name="_Toc304295579"/>
      <w:bookmarkStart w:id="503" w:name="_Toc303539159"/>
      <w:r>
        <w:rPr>
          <w:rFonts w:hint="eastAsia" w:ascii="宋体" w:hAnsi="宋体" w:eastAsia="宋体" w:cs="宋体"/>
          <w:bCs/>
          <w:color w:val="000000" w:themeColor="text1"/>
          <w:sz w:val="24"/>
          <w:szCs w:val="21"/>
          <w:highlight w:val="none"/>
          <w14:textFill>
            <w14:solidFill>
              <w14:schemeClr w14:val="tx1"/>
            </w14:solidFill>
          </w14:textFill>
        </w:rPr>
        <w:t xml:space="preserve">12. </w:t>
      </w:r>
      <w:bookmarkEnd w:id="487"/>
      <w:bookmarkEnd w:id="488"/>
      <w:bookmarkEnd w:id="489"/>
      <w:bookmarkEnd w:id="490"/>
      <w:bookmarkEnd w:id="491"/>
      <w:bookmarkEnd w:id="492"/>
      <w:bookmarkEnd w:id="493"/>
      <w:bookmarkEnd w:id="494"/>
      <w:bookmarkEnd w:id="495"/>
      <w:bookmarkEnd w:id="496"/>
      <w:r>
        <w:rPr>
          <w:rFonts w:hint="eastAsia" w:ascii="宋体" w:hAnsi="宋体" w:eastAsia="宋体" w:cs="宋体"/>
          <w:bCs/>
          <w:color w:val="000000" w:themeColor="text1"/>
          <w:sz w:val="24"/>
          <w:szCs w:val="21"/>
          <w:highlight w:val="none"/>
          <w14:textFill>
            <w14:solidFill>
              <w14:schemeClr w14:val="tx1"/>
            </w14:solidFill>
          </w14:textFill>
        </w:rPr>
        <w:t>合同价格、计量与支付</w:t>
      </w:r>
      <w:bookmarkEnd w:id="497"/>
    </w:p>
    <w:bookmarkEnd w:id="498"/>
    <w:bookmarkEnd w:id="499"/>
    <w:bookmarkEnd w:id="500"/>
    <w:bookmarkEnd w:id="501"/>
    <w:bookmarkEnd w:id="502"/>
    <w:bookmarkEnd w:id="50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504" w:name="_Toc292559916"/>
      <w:bookmarkStart w:id="505" w:name="_Toc267251461"/>
      <w:bookmarkStart w:id="506" w:name="_Toc292559411"/>
      <w:bookmarkStart w:id="507" w:name="_Toc296891246"/>
      <w:bookmarkStart w:id="508" w:name="_Toc297048392"/>
      <w:bookmarkStart w:id="509" w:name="_Toc296503206"/>
      <w:bookmarkStart w:id="510" w:name="_Toc296944545"/>
      <w:bookmarkStart w:id="511" w:name="_Toc296347205"/>
      <w:bookmarkStart w:id="512" w:name="_Toc296891034"/>
      <w:bookmarkStart w:id="513" w:name="_Toc296346707"/>
      <w:bookmarkStart w:id="514" w:name="_Toc297120506"/>
      <w:bookmarkStart w:id="515" w:name="_Toc304295580"/>
      <w:bookmarkStart w:id="516" w:name="_Toc303539160"/>
      <w:bookmarkStart w:id="517" w:name="_Toc297123553"/>
      <w:bookmarkStart w:id="518" w:name="_Toc300935003"/>
      <w:bookmarkStart w:id="519" w:name="_Toc312678041"/>
      <w:bookmarkStart w:id="520" w:name="_Toc297216212"/>
      <w:r>
        <w:rPr>
          <w:rFonts w:hint="eastAsia" w:ascii="宋体" w:hAnsi="宋体" w:eastAsia="宋体" w:cs="宋体"/>
          <w:color w:val="000000" w:themeColor="text1"/>
          <w:sz w:val="24"/>
          <w:szCs w:val="21"/>
          <w:highlight w:val="none"/>
          <w14:textFill>
            <w14:solidFill>
              <w14:schemeClr w14:val="tx1"/>
            </w14:solidFill>
          </w14:textFill>
        </w:rPr>
        <w:t>12.1 合</w:t>
      </w:r>
      <w:bookmarkEnd w:id="504"/>
      <w:bookmarkEnd w:id="505"/>
      <w:bookmarkEnd w:id="506"/>
      <w:r>
        <w:rPr>
          <w:rFonts w:hint="eastAsia" w:ascii="宋体" w:hAnsi="宋体" w:eastAsia="宋体" w:cs="宋体"/>
          <w:color w:val="000000" w:themeColor="text1"/>
          <w:sz w:val="24"/>
          <w:szCs w:val="21"/>
          <w:highlight w:val="none"/>
          <w14:textFill>
            <w14:solidFill>
              <w14:schemeClr w14:val="tx1"/>
            </w14:solidFill>
          </w14:textFill>
        </w:rPr>
        <w:t>同价</w:t>
      </w:r>
      <w:bookmarkEnd w:id="507"/>
      <w:bookmarkEnd w:id="508"/>
      <w:bookmarkEnd w:id="509"/>
      <w:bookmarkEnd w:id="510"/>
      <w:bookmarkEnd w:id="511"/>
      <w:bookmarkEnd w:id="512"/>
      <w:bookmarkEnd w:id="513"/>
      <w:bookmarkEnd w:id="514"/>
      <w:r>
        <w:rPr>
          <w:rFonts w:hint="eastAsia" w:ascii="宋体" w:hAnsi="宋体" w:eastAsia="宋体" w:cs="宋体"/>
          <w:color w:val="000000" w:themeColor="text1"/>
          <w:sz w:val="24"/>
          <w:szCs w:val="21"/>
          <w:highlight w:val="none"/>
          <w14:textFill>
            <w14:solidFill>
              <w14:schemeClr w14:val="tx1"/>
            </w14:solidFill>
          </w14:textFill>
        </w:rPr>
        <w:t>格形式</w:t>
      </w:r>
    </w:p>
    <w:bookmarkEnd w:id="515"/>
    <w:bookmarkEnd w:id="516"/>
    <w:bookmarkEnd w:id="517"/>
    <w:bookmarkEnd w:id="518"/>
    <w:bookmarkEnd w:id="519"/>
    <w:bookmarkEnd w:id="52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1、单价合同。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综合单价包含的风险范围：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风险费用的计算方法：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风险范围以外合同价格的调整方法：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2、总价合同。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总价包含的风险范围：</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风险费用的计算方法：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风险范围以外合同价格的调整方法：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3、其他价格方式：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521" w:name="_Toc297123554"/>
      <w:bookmarkStart w:id="522" w:name="_Toc304295581"/>
      <w:bookmarkStart w:id="523" w:name="_Toc297216213"/>
      <w:bookmarkStart w:id="524" w:name="_Toc312678042"/>
      <w:bookmarkStart w:id="525" w:name="_Toc300935004"/>
      <w:bookmarkStart w:id="526" w:name="_Toc303539161"/>
      <w:bookmarkStart w:id="527" w:name="_Toc296346708"/>
      <w:bookmarkStart w:id="528" w:name="_Toc297048393"/>
      <w:bookmarkStart w:id="529" w:name="_Toc296891035"/>
      <w:bookmarkStart w:id="530" w:name="_Toc296891247"/>
      <w:bookmarkStart w:id="531" w:name="_Toc296944546"/>
      <w:bookmarkStart w:id="532" w:name="_Toc297120507"/>
      <w:bookmarkStart w:id="533" w:name="_Toc296347206"/>
      <w:bookmarkStart w:id="534" w:name="_Toc292559917"/>
      <w:bookmarkStart w:id="535" w:name="_Toc296503207"/>
      <w:bookmarkStart w:id="536" w:name="_Toc292559412"/>
      <w:r>
        <w:rPr>
          <w:rFonts w:hint="eastAsia" w:ascii="宋体" w:hAnsi="宋体" w:eastAsia="宋体" w:cs="宋体"/>
          <w:color w:val="000000" w:themeColor="text1"/>
          <w:sz w:val="24"/>
          <w:szCs w:val="21"/>
          <w:highlight w:val="none"/>
          <w14:textFill>
            <w14:solidFill>
              <w14:schemeClr w14:val="tx1"/>
            </w14:solidFill>
          </w14:textFill>
        </w:rPr>
        <w:t>12.2 预付款</w:t>
      </w:r>
    </w:p>
    <w:bookmarkEnd w:id="521"/>
    <w:bookmarkEnd w:id="522"/>
    <w:bookmarkEnd w:id="523"/>
    <w:bookmarkEnd w:id="524"/>
    <w:bookmarkEnd w:id="525"/>
    <w:bookmarkEnd w:id="52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12.2.1 预付款的支付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预付款支付比例或金额：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预付款支付期限：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预付款扣回的方式：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12.2.2 预付款担保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承包人提交预付款担保的期限：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预付款担保的形式为：</w:t>
      </w:r>
    </w:p>
    <w:bookmarkEnd w:id="527"/>
    <w:bookmarkEnd w:id="528"/>
    <w:bookmarkEnd w:id="529"/>
    <w:bookmarkEnd w:id="530"/>
    <w:bookmarkEnd w:id="531"/>
    <w:bookmarkEnd w:id="532"/>
    <w:bookmarkEnd w:id="533"/>
    <w:bookmarkEnd w:id="534"/>
    <w:bookmarkEnd w:id="535"/>
    <w:bookmarkEnd w:id="53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 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12.3.1 计量原则</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工程量计算规则：</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12.3.2 计量周期</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关于计量周期的约定：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12.3.3 单价合同的计量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关于单价合同计量的约定：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12.3.4 总价合同的计量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关于总价合同计量的约定：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12.3.5总价合同采用支付分解表计量支付的，是否适用第12.3.4 项〔总价合同的计量〕约定进行计量：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12.3.6 其他价格形式合同的计量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其他价格形式的计量方式和程序：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12.4 工程进度款支付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537" w:name="_Toc297048397"/>
      <w:bookmarkStart w:id="538" w:name="_Toc303539163"/>
      <w:bookmarkStart w:id="539" w:name="_Toc296347210"/>
      <w:bookmarkStart w:id="540" w:name="_Toc296944550"/>
      <w:bookmarkStart w:id="541" w:name="_Toc300935006"/>
      <w:bookmarkStart w:id="542" w:name="_Toc297216215"/>
      <w:bookmarkStart w:id="543" w:name="_Toc292559416"/>
      <w:bookmarkStart w:id="544" w:name="_Toc296346712"/>
      <w:bookmarkStart w:id="545" w:name="_Toc297123556"/>
      <w:bookmarkStart w:id="546" w:name="_Toc297120511"/>
      <w:bookmarkStart w:id="547" w:name="_Toc296891039"/>
      <w:bookmarkStart w:id="548" w:name="_Toc292559921"/>
      <w:bookmarkStart w:id="549" w:name="_Toc296891251"/>
      <w:bookmarkStart w:id="550" w:name="_Toc296503211"/>
      <w:r>
        <w:rPr>
          <w:rFonts w:hint="eastAsia" w:ascii="宋体" w:hAnsi="宋体" w:eastAsia="宋体" w:cs="宋体"/>
          <w:color w:val="000000" w:themeColor="text1"/>
          <w:sz w:val="24"/>
          <w:szCs w:val="21"/>
          <w:highlight w:val="none"/>
          <w14:textFill>
            <w14:solidFill>
              <w14:schemeClr w14:val="tx1"/>
            </w14:solidFill>
          </w14:textFill>
        </w:rPr>
        <w:t>12.4.1 付款周期</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关于付款周期的约定：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12.4.2 进度付款申请单的编制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关于进度付款申请单编制的约定：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Fonts w:hint="eastAsia" w:ascii="宋体" w:hAnsi="宋体" w:eastAsia="宋体" w:cs="宋体"/>
          <w:color w:val="000000" w:themeColor="text1"/>
          <w:sz w:val="24"/>
          <w:szCs w:val="21"/>
          <w:highlight w:val="none"/>
          <w14:textFill>
            <w14:solidFill>
              <w14:schemeClr w14:val="tx1"/>
            </w14:solidFill>
          </w14:textFill>
        </w:rPr>
        <w:t>2.4.3 进度付款申请单的提交</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（1）单价合同进度付款申请单提交的约定：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（2）总价合同进度付款申请单提交的约定：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（3）其他价格形式合同进度付款申请单提交的约定：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12.4.4 进度款审核和支付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（1）监理人审查并报送发包人的期限：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发包人完成审批并签发进度款支付证书的期限：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（2）发包人支付进度款的期限</w:t>
      </w:r>
      <w:r>
        <w:rPr>
          <w:rFonts w:hint="eastAsia" w:ascii="宋体" w:hAnsi="宋体" w:eastAsia="宋体" w:cs="宋体"/>
          <w:color w:val="000000" w:themeColor="text1"/>
          <w:sz w:val="24"/>
          <w:szCs w:val="21"/>
          <w:highlight w:val="none"/>
          <w:lang w:eastAsia="zh-CN"/>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发包人逾期支付进度款的违约金的计算方式：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12.4.6 支付分解表的编制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2、总价合同支付分解表的编制与审批：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3、单价合同的总价项目支付分解表的编制与审批：</w:t>
      </w:r>
    </w:p>
    <w:bookmarkEnd w:id="38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551" w:name="_Toc351203645"/>
      <w:bookmarkStart w:id="552" w:name="_Toc296503219"/>
      <w:bookmarkStart w:id="553" w:name="_Toc297048405"/>
      <w:bookmarkStart w:id="554" w:name="_Toc292559424"/>
      <w:bookmarkStart w:id="555" w:name="_Toc304295593"/>
      <w:bookmarkStart w:id="556" w:name="_Toc296347218"/>
      <w:bookmarkStart w:id="557" w:name="_Toc296891047"/>
      <w:bookmarkStart w:id="558" w:name="_Toc300935015"/>
      <w:bookmarkStart w:id="559" w:name="_Toc297120519"/>
      <w:bookmarkStart w:id="560" w:name="_Toc296944558"/>
      <w:bookmarkStart w:id="561" w:name="_Toc297216223"/>
      <w:bookmarkStart w:id="562" w:name="_Toc312678053"/>
      <w:bookmarkStart w:id="563" w:name="_Toc303539172"/>
      <w:bookmarkStart w:id="564" w:name="_Toc292559929"/>
      <w:bookmarkStart w:id="565" w:name="_Toc297123564"/>
      <w:bookmarkStart w:id="566" w:name="_Toc296891259"/>
      <w:bookmarkStart w:id="567" w:name="_Toc296346720"/>
      <w:r>
        <w:rPr>
          <w:rFonts w:hint="eastAsia" w:ascii="宋体" w:hAnsi="宋体" w:eastAsia="宋体" w:cs="宋体"/>
          <w:bCs/>
          <w:color w:val="000000" w:themeColor="text1"/>
          <w:sz w:val="24"/>
          <w:szCs w:val="21"/>
          <w:highlight w:val="none"/>
          <w14:textFill>
            <w14:solidFill>
              <w14:schemeClr w14:val="tx1"/>
            </w14:solidFill>
          </w14:textFill>
        </w:rPr>
        <w:t>13.验收和工程试车</w:t>
      </w:r>
      <w:bookmarkEnd w:id="551"/>
    </w:p>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13.1 分部分项工程验收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13.1.2监理人不能按时进行验收时，应提前小时提交书面延期要求。</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关于延期最长不得超过：小时。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568" w:name="_Toc296347222"/>
      <w:bookmarkStart w:id="569" w:name="_Toc292559428"/>
      <w:bookmarkStart w:id="570" w:name="_Toc312678056"/>
      <w:bookmarkStart w:id="571" w:name="_Toc296891051"/>
      <w:bookmarkStart w:id="572" w:name="_Toc300935016"/>
      <w:bookmarkStart w:id="573" w:name="_Toc296891263"/>
      <w:bookmarkStart w:id="574" w:name="_Toc297123565"/>
      <w:bookmarkStart w:id="575" w:name="_Toc296944562"/>
      <w:bookmarkStart w:id="576" w:name="_Toc292559933"/>
      <w:bookmarkStart w:id="577" w:name="_Toc297216224"/>
      <w:bookmarkStart w:id="578" w:name="_Toc304295596"/>
      <w:bookmarkStart w:id="579" w:name="_Toc303539173"/>
      <w:bookmarkStart w:id="580" w:name="_Toc296503223"/>
      <w:bookmarkStart w:id="581" w:name="_Toc297048409"/>
      <w:bookmarkStart w:id="582" w:name="_Toc297120523"/>
      <w:bookmarkStart w:id="583" w:name="_Toc296346724"/>
      <w:bookmarkStart w:id="584" w:name="_Toc267251474"/>
      <w:bookmarkStart w:id="585" w:name="_Toc267251475"/>
      <w:bookmarkStart w:id="586" w:name="_Toc267251472"/>
      <w:bookmarkStart w:id="587" w:name="_Toc267251476"/>
      <w:bookmarkStart w:id="588" w:name="_Toc267251471"/>
      <w:bookmarkStart w:id="589" w:name="_Toc267251470"/>
      <w:bookmarkStart w:id="590" w:name="_Toc267251473"/>
      <w:r>
        <w:rPr>
          <w:rFonts w:hint="eastAsia" w:ascii="宋体" w:hAnsi="宋体" w:eastAsia="宋体" w:cs="宋体"/>
          <w:color w:val="000000" w:themeColor="text1"/>
          <w:sz w:val="24"/>
          <w:szCs w:val="21"/>
          <w:highlight w:val="none"/>
          <w14:textFill>
            <w14:solidFill>
              <w14:schemeClr w14:val="tx1"/>
            </w14:solidFill>
          </w14:textFill>
        </w:rPr>
        <w:t>13.2 竣工验收</w:t>
      </w:r>
    </w:p>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bookmarkStart w:id="591" w:name="_Toc280868704"/>
      <w:bookmarkStart w:id="592" w:name="_Toc280868705"/>
      <w:bookmarkStart w:id="593" w:name="_Toc280868706"/>
      <w:bookmarkStart w:id="594" w:name="_Toc280868707"/>
      <w:bookmarkStart w:id="595" w:name="_Toc280868708"/>
      <w:bookmarkStart w:id="596" w:name="_Toc280868709"/>
      <w:r>
        <w:rPr>
          <w:rFonts w:hint="eastAsia" w:ascii="宋体" w:hAnsi="宋体" w:eastAsia="宋体" w:cs="宋体"/>
          <w:color w:val="000000" w:themeColor="text1"/>
          <w:sz w:val="24"/>
          <w:szCs w:val="21"/>
          <w:highlight w:val="none"/>
          <w14:textFill>
            <w14:solidFill>
              <w14:schemeClr w14:val="tx1"/>
            </w14:solidFill>
          </w14:textFill>
        </w:rPr>
        <w:t>13.2.2竣工验收程序</w:t>
      </w:r>
    </w:p>
    <w:bookmarkEnd w:id="59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关于竣工验收程序的约定：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发包人不按照本项约定组织竣工验收、颁发工程接收证书的违约金的计算方法：</w:t>
      </w:r>
    </w:p>
    <w:bookmarkEnd w:id="59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13.2.5移交、接收全部与部分工程</w:t>
      </w:r>
    </w:p>
    <w:bookmarkEnd w:id="593"/>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承包人向发包人移交工程的期限：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发包人未按本合同约定接收全部或部分工程的，违约金的计算方法为：</w:t>
      </w:r>
    </w:p>
    <w:bookmarkEnd w:id="594"/>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承包人未按时移交工程的，违约金的计算方法为：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13.3 工程试车</w:t>
      </w:r>
    </w:p>
    <w:bookmarkEnd w:id="595"/>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13.3.1 试车程序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工程试车内容：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（1）单机无负荷试车费用由承担；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（2）无负荷联动试车费用由承担。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13.3.3 投料试车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关于投料试车相关事项的约定：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13.6 竣工退场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13.6.1 竣工退场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承包人完成竣工退场的期限：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597" w:name="_Toc351203646"/>
      <w:r>
        <w:rPr>
          <w:rFonts w:hint="eastAsia" w:ascii="宋体" w:hAnsi="宋体" w:eastAsia="宋体" w:cs="宋体"/>
          <w:bCs/>
          <w:color w:val="000000" w:themeColor="text1"/>
          <w:sz w:val="24"/>
          <w:szCs w:val="21"/>
          <w:highlight w:val="none"/>
          <w14:textFill>
            <w14:solidFill>
              <w14:schemeClr w14:val="tx1"/>
            </w14:solidFill>
          </w14:textFill>
        </w:rPr>
        <w:t>14. 竣工结算</w:t>
      </w:r>
      <w:bookmarkEnd w:id="597"/>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14.1 竣工结算申请</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承包人提交竣工结算申请单的期限：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竣工结算申请单应包括的内容：</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14.2 竣工结算审核</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发包人审批竣工付款申请单的期限：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发包人完成竣工付款的期限：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关于竣工付款证书异议部分复核的方式和程序：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14.4 最终结清</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14.4.1 最终结清申请单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承包人提交最终结清申请单的份数：</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承包人提交最终结算申请单的期限：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14.4.2 最终结清证书和支付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（1）发包人完成最终结清申请单的审批并颁发最终结清证书的期限：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（2）发包人完成支付的期限：</w:t>
      </w:r>
    </w:p>
    <w:bookmarkEnd w:id="584"/>
    <w:bookmarkEnd w:id="585"/>
    <w:bookmarkEnd w:id="586"/>
    <w:bookmarkEnd w:id="587"/>
    <w:bookmarkEnd w:id="588"/>
    <w:bookmarkEnd w:id="589"/>
    <w:bookmarkEnd w:id="590"/>
    <w:bookmarkEnd w:id="59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598" w:name="_Toc351203647"/>
      <w:bookmarkStart w:id="599" w:name="_Toc267251483"/>
      <w:bookmarkStart w:id="600" w:name="_Toc267251484"/>
      <w:bookmarkStart w:id="601" w:name="_Toc267251482"/>
      <w:bookmarkStart w:id="602" w:name="_Toc267251485"/>
      <w:bookmarkStart w:id="603" w:name="_Toc267251489"/>
      <w:bookmarkStart w:id="604" w:name="_Toc267251488"/>
      <w:bookmarkStart w:id="605" w:name="_Toc267251490"/>
      <w:bookmarkStart w:id="606" w:name="_Toc267251486"/>
      <w:bookmarkStart w:id="607" w:name="_Toc267251492"/>
      <w:bookmarkStart w:id="608" w:name="_Toc267251494"/>
      <w:bookmarkStart w:id="609" w:name="_Toc267251501"/>
      <w:bookmarkStart w:id="610" w:name="_Toc267251496"/>
      <w:bookmarkStart w:id="611" w:name="_Toc267251495"/>
      <w:bookmarkStart w:id="612" w:name="_Toc267251493"/>
      <w:bookmarkStart w:id="613" w:name="_Toc267251503"/>
      <w:bookmarkStart w:id="614" w:name="_Toc267251499"/>
      <w:bookmarkStart w:id="615" w:name="_Toc267251502"/>
      <w:bookmarkStart w:id="616" w:name="_Toc267251498"/>
      <w:bookmarkStart w:id="617" w:name="_Toc267251491"/>
      <w:bookmarkStart w:id="618" w:name="_Toc267251497"/>
      <w:bookmarkStart w:id="619" w:name="_Toc267251504"/>
      <w:bookmarkStart w:id="620" w:name="_Toc267251506"/>
      <w:bookmarkStart w:id="621" w:name="_Toc267251507"/>
      <w:bookmarkStart w:id="622" w:name="_Toc267251508"/>
      <w:bookmarkStart w:id="623" w:name="_Toc267251514"/>
      <w:bookmarkStart w:id="624" w:name="_Toc267251515"/>
      <w:bookmarkStart w:id="625" w:name="_Toc267251510"/>
      <w:bookmarkStart w:id="626" w:name="_Toc267251511"/>
      <w:bookmarkStart w:id="627" w:name="_Toc267251509"/>
      <w:bookmarkStart w:id="628" w:name="_Toc267251513"/>
      <w:r>
        <w:rPr>
          <w:rFonts w:hint="eastAsia" w:ascii="宋体" w:hAnsi="宋体" w:eastAsia="宋体" w:cs="宋体"/>
          <w:bCs/>
          <w:color w:val="000000" w:themeColor="text1"/>
          <w:sz w:val="24"/>
          <w:szCs w:val="21"/>
          <w:highlight w:val="none"/>
          <w14:textFill>
            <w14:solidFill>
              <w14:schemeClr w14:val="tx1"/>
            </w14:solidFill>
          </w14:textFill>
        </w:rPr>
        <w:t>15. 缺陷责任期与保修</w:t>
      </w:r>
      <w:bookmarkEnd w:id="598"/>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15.2缺陷责任期</w:t>
      </w:r>
      <w:bookmarkEnd w:id="59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缺陷责任期的具体期限：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15.3 质量保证金</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关于是否扣留质量保证金的约定：。在工程项目竣工前，承包人按专用合同条款第3.7条提供履约担保的，发包人不得同时预留工程质量保证金</w:t>
      </w:r>
      <w:r>
        <w:rPr>
          <w:rFonts w:hint="eastAsia" w:ascii="宋体" w:hAnsi="宋体" w:eastAsia="宋体" w:cs="宋体"/>
          <w:color w:val="000000" w:themeColor="text1"/>
          <w:sz w:val="24"/>
          <w:szCs w:val="21"/>
          <w:highlight w:val="none"/>
          <w:lang w:eastAsia="zh-CN"/>
          <w14:textFill>
            <w14:solidFill>
              <w14:schemeClr w14:val="tx1"/>
            </w14:solidFill>
          </w14:textFill>
        </w:rPr>
        <w:t>。</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15.3.1 承包人提供质量保证金的方式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质量保证金采用以下第种方式：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（1）质量保证金保函，保证金额为：；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（2）%的工程款；</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（3）其他方式:。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15.3.2 质量保证金的扣留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质量保证金的扣留采取以下第种方式：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（1）在支付工程进度款时逐次扣留，在此情形下，质量保证金的计算基数不包括预付款的支付、扣回以及价格调整的金额；</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（2）工程竣工结算时一次性扣留质量保证金；</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（3）其他扣留方式: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关于质量保证金的补充约定：</w:t>
      </w:r>
    </w:p>
    <w:bookmarkEnd w:id="600"/>
    <w:bookmarkEnd w:id="60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15.4保修</w:t>
      </w:r>
    </w:p>
    <w:bookmarkEnd w:id="602"/>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15.4.1 保修责任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工程保修期为：</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15.4.3 修复通知</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承包人收到保修通知并到达工程现场的合理时间：</w:t>
      </w:r>
    </w:p>
    <w:bookmarkEnd w:id="603"/>
    <w:bookmarkEnd w:id="604"/>
    <w:bookmarkEnd w:id="605"/>
    <w:bookmarkEnd w:id="606"/>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629" w:name="_Toc351203648"/>
      <w:bookmarkStart w:id="630" w:name="_Toc280868717"/>
      <w:bookmarkStart w:id="631" w:name="_Toc280868718"/>
      <w:r>
        <w:rPr>
          <w:rFonts w:hint="eastAsia" w:ascii="宋体" w:hAnsi="宋体" w:eastAsia="宋体" w:cs="宋体"/>
          <w:bCs/>
          <w:color w:val="000000" w:themeColor="text1"/>
          <w:sz w:val="24"/>
          <w:szCs w:val="21"/>
          <w:highlight w:val="none"/>
          <w14:textFill>
            <w14:solidFill>
              <w14:schemeClr w14:val="tx1"/>
            </w14:solidFill>
          </w14:textFill>
        </w:rPr>
        <w:t>16. 违约</w:t>
      </w:r>
      <w:bookmarkEnd w:id="629"/>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16.1 发包人违约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16.1.1发包人违约的情形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发包人违约的其他情形：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16.1.2 发包人违约的责任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发包人违约责任的承担方式和计算方法：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（1）因发包人原因未能在计划开工日期前7天内下达开工通知的违约责任：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（2）因发包人原因未能按合同约定支付合同价款的违约责任：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（3）发包人违反第10.1款〔变更的范围〕第（2）项约定，自行实施被取消的工作或转由他人实施的违约责任：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（5）因发包人违反合同约定造成暂停施工的违约责任：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（6）发包人无正当理由没有在约定期限内发出复工指示，导致承包人无法复工的违约责任：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（7）其他：</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16.1.3 因发包人违约解除合同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承包人按16.1.1项〔发包人违约的情形〕约定暂停施工满天后发包人仍不纠正其违约行为并致使合同目的不能实现的，承包人有权解除合同。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16.2 承包人违约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16.2.1 承包人违约的情形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承包人违约的其他情形：</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16.2.2承包人违约的责任</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承包人违约责任的承担方式和计算方法：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16.2.3 因承包人违约解除合同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关于承包人违约解除合同的特别约定：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发包人继续使用承包人在施工现场的材料、设备、临时工程、承包人文件和由承包人或以其名义编制的其他文件的费用承担方式：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632" w:name="_Toc351203649"/>
      <w:r>
        <w:rPr>
          <w:rFonts w:hint="eastAsia" w:ascii="宋体" w:hAnsi="宋体" w:eastAsia="宋体" w:cs="宋体"/>
          <w:bCs/>
          <w:color w:val="000000" w:themeColor="text1"/>
          <w:sz w:val="24"/>
          <w:szCs w:val="21"/>
          <w:highlight w:val="none"/>
          <w14:textFill>
            <w14:solidFill>
              <w14:schemeClr w14:val="tx1"/>
            </w14:solidFill>
          </w14:textFill>
        </w:rPr>
        <w:t>17. 不可抗力</w:t>
      </w:r>
      <w:bookmarkEnd w:id="630"/>
      <w:bookmarkEnd w:id="63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17.1 不可抗力的确认</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除通用合同条款约定的不可抗力事件之外，视为不可抗力的其他情形： </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17.4 因不可抗力解除合同</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合同解除后，发包人应在商定或确定发包人应支付款项后天内完成款项的支付。</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633" w:name="_Toc351203650"/>
      <w:r>
        <w:rPr>
          <w:rFonts w:hint="eastAsia" w:ascii="宋体" w:hAnsi="宋体" w:eastAsia="宋体" w:cs="宋体"/>
          <w:bCs/>
          <w:color w:val="000000" w:themeColor="text1"/>
          <w:sz w:val="24"/>
          <w:szCs w:val="21"/>
          <w:highlight w:val="none"/>
          <w14:textFill>
            <w14:solidFill>
              <w14:schemeClr w14:val="tx1"/>
            </w14:solidFill>
          </w14:textFill>
        </w:rPr>
        <w:t>18. 保险</w:t>
      </w:r>
      <w:bookmarkEnd w:id="633"/>
    </w:p>
    <w:bookmarkEnd w:id="631"/>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18.1 工程保险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关于工程保险的特别约定：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18.3 其他保险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关于其他保险的约定：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承包人是否应为其施工设备等办理财产保险：</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18.7 通知义务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关于变更保险合同时的通知义务的约定：</w:t>
      </w:r>
    </w:p>
    <w:bookmarkEnd w:id="607"/>
    <w:bookmarkEnd w:id="608"/>
    <w:bookmarkEnd w:id="609"/>
    <w:bookmarkEnd w:id="610"/>
    <w:bookmarkEnd w:id="611"/>
    <w:bookmarkEnd w:id="612"/>
    <w:bookmarkEnd w:id="613"/>
    <w:bookmarkEnd w:id="614"/>
    <w:bookmarkEnd w:id="615"/>
    <w:bookmarkEnd w:id="616"/>
    <w:bookmarkEnd w:id="617"/>
    <w:bookmarkEnd w:id="618"/>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bCs/>
          <w:color w:val="000000" w:themeColor="text1"/>
          <w:sz w:val="24"/>
          <w:szCs w:val="21"/>
          <w:highlight w:val="none"/>
          <w14:textFill>
            <w14:solidFill>
              <w14:schemeClr w14:val="tx1"/>
            </w14:solidFill>
          </w14:textFill>
        </w:rPr>
      </w:pPr>
      <w:bookmarkStart w:id="634" w:name="_Toc351203651"/>
      <w:r>
        <w:rPr>
          <w:rFonts w:hint="eastAsia" w:ascii="宋体" w:hAnsi="宋体" w:eastAsia="宋体" w:cs="宋体"/>
          <w:bCs/>
          <w:color w:val="000000" w:themeColor="text1"/>
          <w:sz w:val="24"/>
          <w:szCs w:val="21"/>
          <w:highlight w:val="none"/>
          <w14:textFill>
            <w14:solidFill>
              <w14:schemeClr w14:val="tx1"/>
            </w14:solidFill>
          </w14:textFill>
        </w:rPr>
        <w:t>20. 争议解决</w:t>
      </w:r>
      <w:bookmarkEnd w:id="634"/>
    </w:p>
    <w:bookmarkEnd w:id="619"/>
    <w:bookmarkEnd w:id="620"/>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20.3 争</w:t>
      </w:r>
      <w:bookmarkEnd w:id="621"/>
      <w:r>
        <w:rPr>
          <w:rFonts w:hint="eastAsia" w:ascii="宋体" w:hAnsi="宋体" w:eastAsia="宋体" w:cs="宋体"/>
          <w:color w:val="000000" w:themeColor="text1"/>
          <w:sz w:val="24"/>
          <w:szCs w:val="21"/>
          <w:highlight w:val="none"/>
          <w14:textFill>
            <w14:solidFill>
              <w14:schemeClr w14:val="tx1"/>
            </w14:solidFill>
          </w14:textFill>
        </w:rPr>
        <w:t>议评审</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合同当事人是否同意将工程争议提交争议评审小组决定：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20.3.1 争议评审小组的确定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争议评审小组成员的确定：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选定争议评审员的期限：</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争议评审小组成员的报酬承担方式：</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其他事项的约定：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20.3.2 争议评审小组的决定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合同当事人关于本项的约定：</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20.4仲裁或诉讼</w:t>
      </w:r>
      <w:bookmarkEnd w:id="622"/>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因合同及合同有关事项发生的争议，按下列第种方式解决：</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（1）向仲裁委员会申请仲裁；</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（2）向人民法院起诉。</w:t>
      </w:r>
      <w:bookmarkEnd w:id="623"/>
      <w:bookmarkEnd w:id="624"/>
      <w:bookmarkEnd w:id="625"/>
      <w:bookmarkEnd w:id="626"/>
      <w:bookmarkEnd w:id="627"/>
      <w:bookmarkEnd w:id="628"/>
      <w:bookmarkStart w:id="635" w:name="_Toc351203652"/>
    </w:p>
    <w:p>
      <w:pPr>
        <w:pageBreakBefore w:val="0"/>
        <w:kinsoku/>
        <w:wordWrap/>
        <w:overflowPunct/>
        <w:topLinePunct w:val="0"/>
        <w:bidi w:val="0"/>
        <w:adjustRightInd w:val="0"/>
        <w:spacing w:line="360" w:lineRule="auto"/>
        <w:ind w:firstLine="482" w:firstLineChars="200"/>
        <w:textAlignment w:val="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附件</w:t>
      </w:r>
      <w:bookmarkEnd w:id="635"/>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协议书附件：</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附件1：工程质量保修书</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附件2：主要建设工程文件目录</w:t>
      </w:r>
    </w:p>
    <w:p>
      <w:pPr>
        <w:pageBreakBefore w:val="0"/>
        <w:kinsoku/>
        <w:wordWrap/>
        <w:overflowPunct/>
        <w:topLinePunct w:val="0"/>
        <w:bidi w:val="0"/>
        <w:adjustRightInd w:val="0"/>
        <w:spacing w:line="360" w:lineRule="auto"/>
        <w:ind w:firstLine="480" w:firstLineChars="200"/>
        <w:textAlignment w:val="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附件3：承包人用于本工程施工的机械设备表</w: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附件4：承包人主要施工管理人员表</w:t>
      </w:r>
    </w:p>
    <w:p>
      <w:pPr>
        <w:pStyle w:val="10"/>
        <w:pageBreakBefore w:val="0"/>
        <w:kinsoku/>
        <w:wordWrap/>
        <w:overflowPunct/>
        <w:topLinePunct w:val="0"/>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sectPr>
          <w:headerReference r:id="rId7" w:type="first"/>
          <w:endnotePr>
            <w:numFmt w:val="decimal"/>
          </w:endnotePr>
          <w:pgSz w:w="11907" w:h="16840"/>
          <w:pgMar w:top="1440" w:right="1576" w:bottom="1440" w:left="1576" w:header="907" w:footer="654" w:gutter="0"/>
          <w:pgNumType w:fmt="decimal"/>
          <w:cols w:space="720" w:num="1"/>
          <w:titlePg/>
        </w:sectPr>
      </w:pPr>
    </w:p>
    <w:p>
      <w:pPr>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pStyle w:val="3"/>
        <w:pageBreakBefore w:val="0"/>
        <w:kinsoku/>
        <w:wordWrap/>
        <w:overflowPunct/>
        <w:topLinePunct w:val="0"/>
        <w:bidi w:val="0"/>
        <w:spacing w:before="0" w:after="0" w:line="360" w:lineRule="auto"/>
        <w:ind w:firstLine="1446" w:firstLineChars="400"/>
        <w:jc w:val="both"/>
        <w:textAlignment w:val="auto"/>
        <w:rPr>
          <w:rFonts w:hint="eastAsia" w:ascii="宋体" w:hAnsi="宋体" w:eastAsia="宋体" w:cs="宋体"/>
          <w:color w:val="000000" w:themeColor="text1"/>
          <w:sz w:val="36"/>
          <w:szCs w:val="36"/>
          <w14:textFill>
            <w14:solidFill>
              <w14:schemeClr w14:val="tx1"/>
            </w14:solidFill>
          </w14:textFill>
        </w:rPr>
      </w:pPr>
      <w:bookmarkStart w:id="636" w:name="_Toc24211"/>
      <w:r>
        <w:rPr>
          <w:rFonts w:hint="eastAsia" w:ascii="宋体" w:hAnsi="宋体" w:eastAsia="宋体" w:cs="宋体"/>
          <w:color w:val="000000" w:themeColor="text1"/>
          <w:sz w:val="36"/>
          <w:szCs w:val="36"/>
          <w14:textFill>
            <w14:solidFill>
              <w14:schemeClr w14:val="tx1"/>
            </w14:solidFill>
          </w14:textFill>
        </w:rPr>
        <w:t>第</w:t>
      </w:r>
      <w:r>
        <w:rPr>
          <w:rFonts w:hint="eastAsia" w:ascii="宋体" w:hAnsi="宋体" w:eastAsia="宋体" w:cs="宋体"/>
          <w:color w:val="000000" w:themeColor="text1"/>
          <w:sz w:val="36"/>
          <w:szCs w:val="36"/>
          <w:lang w:eastAsia="zh-CN"/>
          <w14:textFill>
            <w14:solidFill>
              <w14:schemeClr w14:val="tx1"/>
            </w14:solidFill>
          </w14:textFill>
        </w:rPr>
        <w:t>六</w:t>
      </w:r>
      <w:r>
        <w:rPr>
          <w:rFonts w:hint="eastAsia" w:ascii="宋体" w:hAnsi="宋体" w:eastAsia="宋体" w:cs="宋体"/>
          <w:color w:val="000000" w:themeColor="text1"/>
          <w:sz w:val="36"/>
          <w:szCs w:val="36"/>
          <w14:textFill>
            <w14:solidFill>
              <w14:schemeClr w14:val="tx1"/>
            </w14:solidFill>
          </w14:textFill>
        </w:rPr>
        <w:t>部分  竞争性磋商响应文件格式</w:t>
      </w:r>
      <w:bookmarkEnd w:id="88"/>
      <w:bookmarkEnd w:id="89"/>
      <w:bookmarkEnd w:id="636"/>
    </w:p>
    <w:p>
      <w:pPr>
        <w:pageBreakBefore w:val="0"/>
        <w:kinsoku/>
        <w:wordWrap/>
        <w:overflowPunct/>
        <w:topLinePunct w:val="0"/>
        <w:bidi w:val="0"/>
        <w:spacing w:line="360" w:lineRule="auto"/>
        <w:ind w:firstLine="562" w:firstLineChars="200"/>
        <w:jc w:val="center"/>
        <w:textAlignment w:val="auto"/>
        <w:rPr>
          <w:rFonts w:hint="eastAsia" w:ascii="宋体" w:hAnsi="宋体" w:eastAsia="宋体" w:cs="宋体"/>
          <w:b/>
          <w:color w:val="000000" w:themeColor="text1"/>
          <w:sz w:val="28"/>
          <w:szCs w:val="28"/>
          <w14:textFill>
            <w14:solidFill>
              <w14:schemeClr w14:val="tx1"/>
            </w14:solidFill>
          </w14:textFill>
        </w:rPr>
      </w:pPr>
    </w:p>
    <w:p>
      <w:pPr>
        <w:bidi w:val="0"/>
        <w:spacing w:line="360" w:lineRule="auto"/>
        <w:jc w:val="center"/>
        <w:rPr>
          <w:rFonts w:hint="eastAsia"/>
          <w:b/>
          <w:bCs/>
          <w:color w:val="000000" w:themeColor="text1"/>
          <w:sz w:val="24"/>
          <w:szCs w:val="24"/>
          <w14:textFill>
            <w14:solidFill>
              <w14:schemeClr w14:val="tx1"/>
            </w14:solidFill>
          </w14:textFill>
        </w:rPr>
      </w:pPr>
      <w:bookmarkStart w:id="637" w:name="_Toc22256"/>
      <w:r>
        <w:rPr>
          <w:rFonts w:hint="eastAsia"/>
          <w:b/>
          <w:bCs/>
          <w:color w:val="000000" w:themeColor="text1"/>
          <w:sz w:val="24"/>
          <w:szCs w:val="24"/>
          <w14:textFill>
            <w14:solidFill>
              <w14:schemeClr w14:val="tx1"/>
            </w14:solidFill>
          </w14:textFill>
        </w:rPr>
        <w:t>竞争性磋商响应文件编制说明</w:t>
      </w:r>
      <w:bookmarkEnd w:id="637"/>
    </w:p>
    <w:p>
      <w:pPr>
        <w:pageBreakBefore w:val="0"/>
        <w:widowControl/>
        <w:kinsoku/>
        <w:wordWrap/>
        <w:overflowPunct/>
        <w:topLinePunct w:val="0"/>
        <w:bidi w:val="0"/>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竞争性磋商响应文件应当使用竞争性磋商文件规定的全部格式（表格可以按同样格式扩展）编写，除明确允许供应商可以自行编写的外，供应商不得以“竞争性磋商响应文件格式”规定之外的方式填写相关内容。</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竞争性磋商响应文件的编制应按照样本格式提供的内容，做出逐一明确的答复；供应商认为有必要，还可以做其它补充说明。</w:t>
      </w:r>
    </w:p>
    <w:p>
      <w:pPr>
        <w:pageBreakBefore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供应商必须按照竞争性磋商文件的规定和要求由法定代表人或被授权人签字（或盖章），签字盖章的地方必须签字盖章，并加盖骑缝章（鲜章），副本可以是正本的复印件。纸质竞争性磋商响应文件均须A4纸双面或单面打印，分别各自装订成册</w:t>
      </w:r>
      <w:r>
        <w:rPr>
          <w:rFonts w:hint="eastAsia" w:ascii="宋体" w:hAnsi="宋体" w:eastAsia="宋体" w:cs="宋体"/>
          <w:color w:val="000000" w:themeColor="text1"/>
          <w:sz w:val="24"/>
          <w:szCs w:val="24"/>
          <w:highlight w:val="none"/>
          <w14:textFill>
            <w14:solidFill>
              <w14:schemeClr w14:val="tx1"/>
            </w14:solidFill>
          </w14:textFill>
        </w:rPr>
        <w:t>并编制目录和页码。</w:t>
      </w:r>
    </w:p>
    <w:p>
      <w:pPr>
        <w:pageBreakBefore w:val="0"/>
        <w:kinsoku/>
        <w:wordWrap/>
        <w:overflowPunct/>
        <w:topLinePunct w:val="0"/>
        <w:bidi w:val="0"/>
        <w:spacing w:line="360" w:lineRule="auto"/>
        <w:ind w:firstLine="1134"/>
        <w:textAlignment w:val="auto"/>
        <w:rPr>
          <w:rFonts w:hint="eastAsia" w:ascii="宋体" w:hAnsi="宋体" w:eastAsia="宋体" w:cs="宋体"/>
          <w:color w:val="000000" w:themeColor="text1"/>
          <w:sz w:val="24"/>
          <w:szCs w:val="24"/>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4"/>
          <w:szCs w:val="24"/>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8"/>
          <w:szCs w:val="28"/>
          <w14:textFill>
            <w14:solidFill>
              <w14:schemeClr w14:val="tx1"/>
            </w14:solidFill>
          </w14:textFill>
        </w:rPr>
      </w:pPr>
    </w:p>
    <w:p>
      <w:pPr>
        <w:pStyle w:val="14"/>
        <w:rPr>
          <w:rFonts w:hint="eastAsia" w:ascii="宋体" w:hAnsi="宋体" w:eastAsia="宋体" w:cs="宋体"/>
          <w:color w:val="000000" w:themeColor="text1"/>
          <w:sz w:val="28"/>
          <w:szCs w:val="28"/>
          <w14:textFill>
            <w14:solidFill>
              <w14:schemeClr w14:val="tx1"/>
            </w14:solidFill>
          </w14:textFill>
        </w:rPr>
      </w:pPr>
    </w:p>
    <w:p>
      <w:pPr>
        <w:pStyle w:val="14"/>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560"/>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560"/>
        <w:jc w:val="right"/>
        <w:textAlignment w:val="auto"/>
        <w:rPr>
          <w:rFonts w:hint="eastAsia" w:ascii="宋体" w:hAnsi="宋体" w:eastAsia="宋体" w:cs="宋体"/>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right="560"/>
        <w:textAlignment w:val="auto"/>
        <w:rPr>
          <w:rFonts w:hint="eastAsia" w:ascii="宋体" w:hAnsi="宋体" w:eastAsia="宋体" w:cs="宋体"/>
          <w:color w:val="000000" w:themeColor="text1"/>
          <w:sz w:val="28"/>
          <w:szCs w:val="28"/>
          <w14:textFill>
            <w14:solidFill>
              <w14:schemeClr w14:val="tx1"/>
            </w14:solidFill>
          </w14:textFill>
        </w:rPr>
      </w:pPr>
    </w:p>
    <w:p>
      <w:pPr>
        <w:pStyle w:val="12"/>
        <w:rPr>
          <w:rFonts w:hint="eastAsia" w:ascii="宋体" w:hAnsi="宋体" w:eastAsia="宋体" w:cs="宋体"/>
          <w:color w:val="000000" w:themeColor="text1"/>
          <w:sz w:val="28"/>
          <w:szCs w:val="28"/>
          <w14:textFill>
            <w14:solidFill>
              <w14:schemeClr w14:val="tx1"/>
            </w14:solidFill>
          </w14:textFill>
        </w:rPr>
      </w:pPr>
    </w:p>
    <w:p>
      <w:pPr>
        <w:pStyle w:val="12"/>
        <w:rPr>
          <w:rFonts w:hint="eastAsia" w:ascii="宋体" w:hAnsi="宋体" w:eastAsia="宋体" w:cs="宋体"/>
          <w:color w:val="000000" w:themeColor="text1"/>
          <w:sz w:val="28"/>
          <w:szCs w:val="28"/>
          <w14:textFill>
            <w14:solidFill>
              <w14:schemeClr w14:val="tx1"/>
            </w14:solidFill>
          </w14:textFill>
        </w:rPr>
      </w:pPr>
    </w:p>
    <w:p>
      <w:pPr>
        <w:keepNext w:val="0"/>
        <w:keepLines w:val="0"/>
        <w:pageBreakBefore w:val="0"/>
        <w:widowControl w:val="0"/>
        <w:kinsoku/>
        <w:overflowPunct/>
        <w:topLinePunct w:val="0"/>
        <w:autoSpaceDE/>
        <w:autoSpaceDN/>
        <w:bidi w:val="0"/>
        <w:adjustRightInd/>
        <w:snapToGrid/>
        <w:spacing w:line="360" w:lineRule="auto"/>
        <w:jc w:val="right"/>
        <w:textAlignment w:val="auto"/>
        <w:rPr>
          <w:rFonts w:hint="eastAsia" w:ascii="宋体" w:hAnsi="宋体" w:eastAsia="宋体" w:cs="宋体"/>
          <w:b/>
          <w:color w:val="000000" w:themeColor="text1"/>
          <w:kern w:val="2"/>
          <w:sz w:val="36"/>
          <w:szCs w:val="36"/>
          <w:highlight w:val="none"/>
          <w:lang w:eastAsia="zh-CN"/>
          <w14:textFill>
            <w14:solidFill>
              <w14:schemeClr w14:val="tx1"/>
            </w14:solidFill>
          </w14:textFill>
        </w:rPr>
      </w:pPr>
      <w:bookmarkStart w:id="638" w:name="_Toc1428"/>
      <w:r>
        <w:rPr>
          <w:rFonts w:hint="eastAsia" w:ascii="宋体" w:hAnsi="宋体" w:eastAsia="宋体" w:cs="宋体"/>
          <w:b/>
          <w:color w:val="000000" w:themeColor="text1"/>
          <w:kern w:val="2"/>
          <w:sz w:val="36"/>
          <w:szCs w:val="36"/>
          <w:highlight w:val="none"/>
          <w:lang w:val="en-US" w:eastAsia="zh-CN" w:bidi="ar-SA"/>
          <w14:textFill>
            <w14:solidFill>
              <w14:schemeClr w14:val="tx1"/>
            </w14:solidFill>
          </w14:textFill>
        </w:rPr>
        <w:t>正/副本</w:t>
      </w:r>
      <w:bookmarkEnd w:id="638"/>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b/>
          <w:color w:val="000000" w:themeColor="text1"/>
          <w:kern w:val="2"/>
          <w:sz w:val="36"/>
          <w:szCs w:val="36"/>
          <w:highlight w:val="none"/>
          <w:lang w:eastAsia="zh-CN"/>
          <w14:textFill>
            <w14:solidFill>
              <w14:schemeClr w14:val="tx1"/>
            </w14:solidFill>
          </w14:textFill>
        </w:rPr>
      </w:pPr>
    </w:p>
    <w:p>
      <w:pPr>
        <w:pageBreakBefore w:val="0"/>
        <w:kinsoku/>
        <w:wordWrap/>
        <w:overflowPunct/>
        <w:topLinePunct w:val="0"/>
        <w:bidi w:val="0"/>
        <w:spacing w:line="360" w:lineRule="auto"/>
        <w:jc w:val="left"/>
        <w:textAlignment w:val="auto"/>
        <w:rPr>
          <w:rFonts w:hint="eastAsia" w:ascii="宋体" w:hAnsi="宋体" w:eastAsia="宋体" w:cs="宋体"/>
          <w:b/>
          <w:color w:val="000000" w:themeColor="text1"/>
          <w:kern w:val="2"/>
          <w:sz w:val="36"/>
          <w:szCs w:val="36"/>
          <w:highlight w:val="none"/>
          <w:lang w:eastAsia="zh-CN"/>
          <w14:textFill>
            <w14:solidFill>
              <w14:schemeClr w14:val="tx1"/>
            </w14:solidFill>
          </w14:textFill>
        </w:rPr>
      </w:pPr>
      <w:r>
        <w:rPr>
          <w:rFonts w:hint="eastAsia" w:ascii="宋体" w:hAnsi="宋体" w:eastAsia="宋体" w:cs="宋体"/>
          <w:b/>
          <w:color w:val="000000" w:themeColor="text1"/>
          <w:kern w:val="2"/>
          <w:sz w:val="36"/>
          <w:szCs w:val="36"/>
          <w:highlight w:val="none"/>
          <w:lang w:eastAsia="zh-CN"/>
          <w14:textFill>
            <w14:solidFill>
              <w14:schemeClr w14:val="tx1"/>
            </w14:solidFill>
          </w14:textFill>
        </w:rPr>
        <w:t>项目编号:SXZCZB2026-ZCCS-0728</w:t>
      </w:r>
    </w:p>
    <w:p>
      <w:pPr>
        <w:pageBreakBefore w:val="0"/>
        <w:kinsoku/>
        <w:wordWrap/>
        <w:overflowPunct/>
        <w:topLinePunct w:val="0"/>
        <w:bidi w:val="0"/>
        <w:spacing w:line="360" w:lineRule="auto"/>
        <w:jc w:val="left"/>
        <w:textAlignment w:val="auto"/>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kern w:val="2"/>
          <w:sz w:val="36"/>
          <w:szCs w:val="36"/>
          <w:highlight w:val="none"/>
          <w:lang w:eastAsia="zh-CN"/>
          <w14:textFill>
            <w14:solidFill>
              <w14:schemeClr w14:val="tx1"/>
            </w14:solidFill>
          </w14:textFill>
        </w:rPr>
        <w:t>项目名称：安康职业技术学院6号7号8号学生公寓楼提升改造项目</w:t>
      </w:r>
    </w:p>
    <w:p>
      <w:pPr>
        <w:pageBreakBefore w:val="0"/>
        <w:kinsoku/>
        <w:wordWrap/>
        <w:overflowPunct/>
        <w:topLinePunct w:val="0"/>
        <w:bidi w:val="0"/>
        <w:spacing w:line="360" w:lineRule="auto"/>
        <w:jc w:val="center"/>
        <w:textAlignment w:val="auto"/>
        <w:rPr>
          <w:rFonts w:hint="eastAsia" w:ascii="宋体" w:hAnsi="宋体" w:eastAsia="宋体" w:cs="宋体"/>
          <w:b/>
          <w:color w:val="000000" w:themeColor="text1"/>
          <w:sz w:val="44"/>
          <w:szCs w:val="44"/>
          <w14:textFill>
            <w14:solidFill>
              <w14:schemeClr w14:val="tx1"/>
            </w14:solidFill>
          </w14:textFill>
        </w:rPr>
      </w:pPr>
    </w:p>
    <w:p>
      <w:pPr>
        <w:pStyle w:val="10"/>
        <w:rPr>
          <w:rFonts w:hint="eastAsia" w:ascii="宋体" w:hAnsi="宋体" w:eastAsia="宋体" w:cs="宋体"/>
          <w:b/>
          <w:color w:val="000000" w:themeColor="text1"/>
          <w:sz w:val="44"/>
          <w:szCs w:val="44"/>
          <w14:textFill>
            <w14:solidFill>
              <w14:schemeClr w14:val="tx1"/>
            </w14:solidFill>
          </w14:textFill>
        </w:rPr>
      </w:pPr>
    </w:p>
    <w:p>
      <w:pPr>
        <w:pageBreakBefore w:val="0"/>
        <w:kinsoku/>
        <w:wordWrap/>
        <w:overflowPunct/>
        <w:topLinePunct w:val="0"/>
        <w:bidi w:val="0"/>
        <w:spacing w:line="360" w:lineRule="auto"/>
        <w:jc w:val="both"/>
        <w:textAlignment w:val="auto"/>
        <w:rPr>
          <w:rFonts w:hint="eastAsia" w:ascii="宋体" w:hAnsi="宋体" w:eastAsia="宋体" w:cs="宋体"/>
          <w:b/>
          <w:color w:val="000000" w:themeColor="text1"/>
          <w:sz w:val="44"/>
          <w:szCs w:val="44"/>
          <w14:textFill>
            <w14:solidFill>
              <w14:schemeClr w14:val="tx1"/>
            </w14:solidFill>
          </w14:textFill>
        </w:rPr>
      </w:pPr>
    </w:p>
    <w:p>
      <w:pPr>
        <w:pageBreakBefore w:val="0"/>
        <w:kinsoku/>
        <w:wordWrap/>
        <w:overflowPunct/>
        <w:topLinePunct w:val="0"/>
        <w:bidi w:val="0"/>
        <w:spacing w:line="360" w:lineRule="auto"/>
        <w:jc w:val="center"/>
        <w:textAlignment w:val="auto"/>
        <w:rPr>
          <w:rFonts w:hint="eastAsia" w:ascii="宋体" w:hAnsi="宋体" w:eastAsia="宋体" w:cs="宋体"/>
          <w:b/>
          <w:color w:val="000000" w:themeColor="text1"/>
          <w:sz w:val="52"/>
          <w:szCs w:val="52"/>
          <w14:textFill>
            <w14:solidFill>
              <w14:schemeClr w14:val="tx1"/>
            </w14:solidFill>
          </w14:textFill>
        </w:rPr>
      </w:pPr>
      <w:bookmarkStart w:id="639" w:name="_Toc1551_WPSOffice_Level1"/>
      <w:bookmarkEnd w:id="639"/>
      <w:bookmarkStart w:id="640" w:name="_Toc146_WPSOffice_Level1"/>
      <w:bookmarkEnd w:id="640"/>
      <w:bookmarkStart w:id="641" w:name="_Toc22878_WPSOffice_Level1"/>
      <w:r>
        <w:rPr>
          <w:rFonts w:hint="eastAsia" w:ascii="宋体" w:hAnsi="宋体" w:eastAsia="宋体" w:cs="宋体"/>
          <w:b/>
          <w:bCs/>
          <w:color w:val="000000" w:themeColor="text1"/>
          <w:spacing w:val="20"/>
          <w:kern w:val="0"/>
          <w:sz w:val="72"/>
          <w:szCs w:val="72"/>
          <w:highlight w:val="none"/>
          <w14:textFill>
            <w14:solidFill>
              <w14:schemeClr w14:val="tx1"/>
            </w14:solidFill>
          </w14:textFill>
        </w:rPr>
        <w:t>竞争性磋商响应文件</w:t>
      </w:r>
      <w:bookmarkEnd w:id="641"/>
    </w:p>
    <w:p>
      <w:pPr>
        <w:pageBreakBefore w:val="0"/>
        <w:kinsoku/>
        <w:wordWrap/>
        <w:overflowPunct/>
        <w:topLinePunct w:val="0"/>
        <w:bidi w:val="0"/>
        <w:spacing w:line="360" w:lineRule="auto"/>
        <w:textAlignment w:val="auto"/>
        <w:rPr>
          <w:rFonts w:hint="eastAsia" w:ascii="宋体" w:hAnsi="宋体" w:eastAsia="宋体" w:cs="宋体"/>
          <w:b/>
          <w:color w:val="000000" w:themeColor="text1"/>
          <w:sz w:val="44"/>
          <w:szCs w:val="44"/>
          <w14:textFill>
            <w14:solidFill>
              <w14:schemeClr w14:val="tx1"/>
            </w14:solidFill>
          </w14:textFill>
        </w:rPr>
      </w:pPr>
    </w:p>
    <w:p>
      <w:pPr>
        <w:pStyle w:val="10"/>
        <w:rPr>
          <w:rFonts w:hint="eastAsia" w:ascii="宋体" w:hAnsi="宋体" w:eastAsia="宋体" w:cs="宋体"/>
          <w:b/>
          <w:color w:val="000000" w:themeColor="text1"/>
          <w:sz w:val="44"/>
          <w:szCs w:val="44"/>
          <w14:textFill>
            <w14:solidFill>
              <w14:schemeClr w14:val="tx1"/>
            </w14:solidFill>
          </w14:textFill>
        </w:rPr>
      </w:pPr>
    </w:p>
    <w:p>
      <w:pPr>
        <w:rPr>
          <w:rFonts w:hint="eastAsia" w:ascii="宋体" w:hAnsi="宋体" w:eastAsia="宋体" w:cs="宋体"/>
          <w:b/>
          <w:color w:val="000000" w:themeColor="text1"/>
          <w:sz w:val="44"/>
          <w:szCs w:val="44"/>
          <w14:textFill>
            <w14:solidFill>
              <w14:schemeClr w14:val="tx1"/>
            </w14:solidFill>
          </w14:textFill>
        </w:rPr>
      </w:pPr>
    </w:p>
    <w:p>
      <w:pPr>
        <w:pStyle w:val="12"/>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ageBreakBefore w:val="0"/>
        <w:kinsoku/>
        <w:wordWrap/>
        <w:overflowPunct/>
        <w:topLinePunct w:val="0"/>
        <w:bidi w:val="0"/>
        <w:spacing w:line="360" w:lineRule="auto"/>
        <w:textAlignment w:val="auto"/>
        <w:rPr>
          <w:rFonts w:hint="eastAsia" w:ascii="宋体" w:hAnsi="宋体" w:eastAsia="宋体" w:cs="宋体"/>
          <w:b/>
          <w:color w:val="000000" w:themeColor="text1"/>
          <w:sz w:val="44"/>
          <w:szCs w:val="44"/>
          <w14:textFill>
            <w14:solidFill>
              <w14:schemeClr w14:val="tx1"/>
            </w14:solidFill>
          </w14:textFill>
        </w:rPr>
      </w:pPr>
    </w:p>
    <w:p>
      <w:pPr>
        <w:pageBreakBefore w:val="0"/>
        <w:kinsoku/>
        <w:wordWrap/>
        <w:overflowPunct/>
        <w:topLinePunct w:val="0"/>
        <w:bidi w:val="0"/>
        <w:spacing w:line="360" w:lineRule="auto"/>
        <w:ind w:firstLine="1807"/>
        <w:textAlignment w:val="auto"/>
        <w:rPr>
          <w:rFonts w:hint="eastAsia" w:ascii="宋体" w:hAnsi="宋体" w:eastAsia="宋体" w:cs="宋体"/>
          <w:b/>
          <w:bCs/>
          <w:color w:val="000000" w:themeColor="text1"/>
          <w:sz w:val="30"/>
          <w:szCs w:val="30"/>
          <w:u w:val="single"/>
          <w14:textFill>
            <w14:solidFill>
              <w14:schemeClr w14:val="tx1"/>
            </w14:solidFill>
          </w14:textFill>
        </w:rPr>
      </w:pPr>
      <w:bookmarkStart w:id="642" w:name="_Toc3285_WPSOffice_Level1"/>
      <w:bookmarkEnd w:id="642"/>
      <w:bookmarkStart w:id="643" w:name="_Toc27635_WPSOffice_Level1"/>
      <w:bookmarkEnd w:id="643"/>
      <w:bookmarkStart w:id="644" w:name="_Toc32461_WPSOffice_Level1"/>
      <w:r>
        <w:rPr>
          <w:rFonts w:hint="eastAsia" w:ascii="宋体" w:hAnsi="宋体" w:eastAsia="宋体" w:cs="宋体"/>
          <w:b/>
          <w:color w:val="000000" w:themeColor="text1"/>
          <w:sz w:val="30"/>
          <w:szCs w:val="30"/>
          <w14:textFill>
            <w14:solidFill>
              <w14:schemeClr w14:val="tx1"/>
            </w14:solidFill>
          </w14:textFill>
        </w:rPr>
        <w:t>供</w:t>
      </w:r>
      <w:r>
        <w:rPr>
          <w:rFonts w:hint="eastAsia" w:ascii="宋体" w:hAnsi="宋体" w:eastAsia="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应</w:t>
      </w:r>
      <w:r>
        <w:rPr>
          <w:rFonts w:hint="eastAsia" w:ascii="宋体" w:hAnsi="宋体" w:eastAsia="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商：</w:t>
      </w:r>
      <w:bookmarkEnd w:id="644"/>
    </w:p>
    <w:p>
      <w:pPr>
        <w:pageBreakBefore w:val="0"/>
        <w:kinsoku/>
        <w:wordWrap/>
        <w:overflowPunct/>
        <w:topLinePunct w:val="0"/>
        <w:bidi w:val="0"/>
        <w:spacing w:line="360" w:lineRule="auto"/>
        <w:ind w:firstLine="1780"/>
        <w:textAlignment w:val="auto"/>
        <w:rPr>
          <w:rFonts w:hint="eastAsia" w:ascii="宋体" w:hAnsi="宋体" w:eastAsia="宋体" w:cs="宋体"/>
          <w:b/>
          <w:bCs/>
          <w:color w:val="000000" w:themeColor="text1"/>
          <w:sz w:val="30"/>
          <w:szCs w:val="30"/>
          <w:u w:val="single"/>
          <w14:textFill>
            <w14:solidFill>
              <w14:schemeClr w14:val="tx1"/>
            </w14:solidFill>
          </w14:textFill>
        </w:rPr>
      </w:pPr>
      <w:bookmarkStart w:id="645" w:name="_Toc25187_WPSOffice_Level1"/>
      <w:bookmarkEnd w:id="645"/>
      <w:bookmarkStart w:id="646" w:name="_Toc5980_WPSOffice_Level1"/>
      <w:bookmarkEnd w:id="646"/>
      <w:bookmarkStart w:id="647" w:name="_Toc538_WPSOffice_Level1"/>
      <w:r>
        <w:rPr>
          <w:rFonts w:hint="eastAsia" w:ascii="宋体" w:hAnsi="宋体" w:eastAsia="宋体" w:cs="宋体"/>
          <w:b/>
          <w:color w:val="000000" w:themeColor="text1"/>
          <w:sz w:val="30"/>
          <w:szCs w:val="30"/>
          <w14:textFill>
            <w14:solidFill>
              <w14:schemeClr w14:val="tx1"/>
            </w14:solidFill>
          </w14:textFill>
        </w:rPr>
        <w:t>法定代表人或被授权人（签字或盖章）：</w:t>
      </w:r>
      <w:bookmarkEnd w:id="647"/>
    </w:p>
    <w:p>
      <w:pPr>
        <w:pageBreakBefore w:val="0"/>
        <w:kinsoku/>
        <w:wordWrap/>
        <w:overflowPunct/>
        <w:topLinePunct w:val="0"/>
        <w:bidi w:val="0"/>
        <w:spacing w:line="360" w:lineRule="auto"/>
        <w:ind w:firstLine="1780"/>
        <w:textAlignment w:val="auto"/>
        <w:rPr>
          <w:rFonts w:hint="eastAsia" w:ascii="宋体" w:hAnsi="宋体" w:eastAsia="宋体" w:cs="宋体"/>
          <w:b/>
          <w:color w:val="000000" w:themeColor="text1"/>
          <w:sz w:val="44"/>
          <w:szCs w:val="44"/>
          <w:u w:val="single"/>
          <w14:textFill>
            <w14:solidFill>
              <w14:schemeClr w14:val="tx1"/>
            </w14:solidFill>
          </w14:textFill>
        </w:rPr>
      </w:pPr>
      <w:bookmarkStart w:id="648" w:name="_Toc1764_WPSOffice_Level1"/>
      <w:bookmarkEnd w:id="648"/>
      <w:bookmarkStart w:id="649" w:name="_Toc19927_WPSOffice_Level1"/>
      <w:bookmarkEnd w:id="649"/>
      <w:bookmarkStart w:id="650" w:name="_Toc18129_WPSOffice_Level1"/>
      <w:r>
        <w:rPr>
          <w:rFonts w:hint="eastAsia" w:ascii="宋体" w:hAnsi="宋体" w:eastAsia="宋体" w:cs="宋体"/>
          <w:b/>
          <w:color w:val="000000" w:themeColor="text1"/>
          <w:sz w:val="30"/>
          <w:szCs w:val="30"/>
          <w14:textFill>
            <w14:solidFill>
              <w14:schemeClr w14:val="tx1"/>
            </w14:solidFill>
          </w14:textFill>
        </w:rPr>
        <w:t>时</w:t>
      </w:r>
      <w:r>
        <w:rPr>
          <w:rFonts w:hint="eastAsia" w:ascii="宋体" w:hAnsi="宋体" w:eastAsia="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间：</w:t>
      </w:r>
      <w:bookmarkEnd w:id="650"/>
    </w:p>
    <w:p>
      <w:pPr>
        <w:pageBreakBefore w:val="0"/>
        <w:kinsoku/>
        <w:wordWrap/>
        <w:overflowPunct/>
        <w:topLinePunct w:val="0"/>
        <w:bidi w:val="0"/>
        <w:spacing w:line="360" w:lineRule="auto"/>
        <w:ind w:firstLine="2353"/>
        <w:textAlignment w:val="auto"/>
        <w:rPr>
          <w:rFonts w:hint="eastAsia" w:ascii="宋体" w:hAnsi="宋体" w:eastAsia="宋体" w:cs="宋体"/>
          <w:b/>
          <w:color w:val="000000" w:themeColor="text1"/>
          <w:sz w:val="28"/>
          <w:szCs w:val="28"/>
          <w14:textFill>
            <w14:solidFill>
              <w14:schemeClr w14:val="tx1"/>
            </w14:solidFill>
          </w14:textFill>
        </w:rPr>
      </w:pPr>
    </w:p>
    <w:p>
      <w:pPr>
        <w:pageBreakBefore w:val="0"/>
        <w:kinsoku/>
        <w:wordWrap/>
        <w:overflowPunct/>
        <w:topLinePunct w:val="0"/>
        <w:bidi w:val="0"/>
        <w:spacing w:line="360" w:lineRule="auto"/>
        <w:ind w:firstLine="2353"/>
        <w:textAlignment w:val="auto"/>
        <w:rPr>
          <w:rFonts w:hint="eastAsia" w:ascii="宋体" w:hAnsi="宋体" w:eastAsia="宋体" w:cs="宋体"/>
          <w:b/>
          <w:color w:val="000000" w:themeColor="text1"/>
          <w:sz w:val="28"/>
          <w:szCs w:val="28"/>
          <w14:textFill>
            <w14:solidFill>
              <w14:schemeClr w14:val="tx1"/>
            </w14:solidFill>
          </w14:textFill>
        </w:rPr>
      </w:pPr>
    </w:p>
    <w:p>
      <w:pPr>
        <w:pStyle w:val="10"/>
        <w:pageBreakBefore w:val="0"/>
        <w:kinsoku/>
        <w:wordWrap/>
        <w:overflowPunct/>
        <w:topLinePunct w:val="0"/>
        <w:bidi w:val="0"/>
        <w:spacing w:line="360" w:lineRule="auto"/>
        <w:textAlignment w:val="auto"/>
        <w:rPr>
          <w:rFonts w:hint="eastAsia" w:ascii="宋体" w:hAnsi="宋体" w:eastAsia="宋体" w:cs="宋体"/>
          <w:color w:val="000000" w:themeColor="text1"/>
          <w14:textFill>
            <w14:solidFill>
              <w14:schemeClr w14:val="tx1"/>
            </w14:solidFill>
          </w14:textFill>
        </w:rPr>
      </w:pPr>
    </w:p>
    <w:p>
      <w:pPr>
        <w:bidi w:val="0"/>
        <w:jc w:val="center"/>
        <w:rPr>
          <w:rFonts w:hint="eastAsia"/>
          <w:b/>
          <w:bCs/>
          <w:color w:val="000000" w:themeColor="text1"/>
          <w:sz w:val="44"/>
          <w:szCs w:val="44"/>
          <w14:textFill>
            <w14:solidFill>
              <w14:schemeClr w14:val="tx1"/>
            </w14:solidFill>
          </w14:textFill>
        </w:rPr>
      </w:pPr>
      <w:bookmarkStart w:id="651" w:name="_Toc11603_WPSOffice_Level1"/>
      <w:bookmarkEnd w:id="651"/>
      <w:bookmarkStart w:id="652" w:name="_Toc20596_WPSOffice_Level1"/>
      <w:bookmarkEnd w:id="652"/>
      <w:bookmarkStart w:id="653" w:name="_Toc14900_WPSOffice_Level1"/>
      <w:bookmarkEnd w:id="653"/>
      <w:bookmarkStart w:id="654" w:name="_Toc6186"/>
      <w:bookmarkStart w:id="655" w:name="_Toc32339_WPSOffice_Level1"/>
      <w:bookmarkStart w:id="656" w:name="_Toc4020_WPSOffice_Level1"/>
      <w:bookmarkStart w:id="657" w:name="_Toc28760"/>
      <w:bookmarkStart w:id="658" w:name="_Toc8327_WPSOffice_Level1"/>
      <w:bookmarkStart w:id="659" w:name="_Toc32262_WPSOffice_Level1"/>
      <w:bookmarkStart w:id="660" w:name="_Toc30089_WPSOffice_Level1"/>
      <w:bookmarkStart w:id="661" w:name="_Toc6348"/>
      <w:bookmarkStart w:id="662" w:name="_Toc16964_WPSOffice_Level1"/>
      <w:r>
        <w:rPr>
          <w:rFonts w:hint="eastAsia"/>
          <w:b/>
          <w:bCs/>
          <w:color w:val="000000" w:themeColor="text1"/>
          <w:sz w:val="44"/>
          <w:szCs w:val="44"/>
          <w14:textFill>
            <w14:solidFill>
              <w14:schemeClr w14:val="tx1"/>
            </w14:solidFill>
          </w14:textFill>
        </w:rPr>
        <w:t>目  录</w:t>
      </w:r>
      <w:bookmarkEnd w:id="654"/>
      <w:bookmarkEnd w:id="655"/>
      <w:bookmarkEnd w:id="656"/>
      <w:bookmarkEnd w:id="657"/>
      <w:bookmarkEnd w:id="658"/>
      <w:bookmarkEnd w:id="659"/>
      <w:bookmarkEnd w:id="660"/>
      <w:bookmarkEnd w:id="661"/>
      <w:bookmarkEnd w:id="662"/>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磋商函（格式）</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磋商报价一览表（格式）</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商务条款响应偏离表（格式）</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法定代表人资格证明书及法定代表人授权委托书（格式）</w:t>
      </w:r>
    </w:p>
    <w:p>
      <w:pPr>
        <w:pageBreakBefore w:val="0"/>
        <w:overflowPunct/>
        <w:topLinePunct w:val="0"/>
        <w:bidi w:val="0"/>
        <w:spacing w:line="360" w:lineRule="auto"/>
        <w:ind w:left="1260" w:leftChars="60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lang w:eastAsia="zh-CN"/>
          <w14:textFill>
            <w14:solidFill>
              <w14:schemeClr w14:val="tx1"/>
            </w14:solidFill>
          </w14:textFill>
        </w:rPr>
        <w:t>资格证明文件</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施工组织设计</w:t>
      </w:r>
      <w:r>
        <w:rPr>
          <w:rFonts w:hint="eastAsia" w:ascii="宋体" w:hAnsi="宋体" w:eastAsia="宋体" w:cs="宋体"/>
          <w:color w:val="000000" w:themeColor="text1"/>
          <w:sz w:val="28"/>
          <w:szCs w:val="28"/>
          <w:highlight w:val="none"/>
          <w:lang w:val="en-US" w:eastAsia="zh-CN"/>
          <w14:textFill>
            <w14:solidFill>
              <w14:schemeClr w14:val="tx1"/>
            </w14:solidFill>
          </w14:textFill>
        </w:rPr>
        <w:t>（根据施工内容及评分标准自拟）</w:t>
      </w:r>
    </w:p>
    <w:p>
      <w:pPr>
        <w:pageBreakBefore w:val="0"/>
        <w:overflowPunct/>
        <w:topLinePunct w:val="0"/>
        <w:bidi w:val="0"/>
        <w:spacing w:line="360" w:lineRule="auto"/>
        <w:ind w:left="1260" w:leftChars="60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z w:val="28"/>
          <w:szCs w:val="28"/>
          <w:highlight w:val="none"/>
          <w:lang w:eastAsia="zh-CN"/>
          <w14:textFill>
            <w14:solidFill>
              <w14:schemeClr w14:val="tx1"/>
            </w14:solidFill>
          </w14:textFill>
        </w:rPr>
        <w:t>业绩</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8.</w:t>
      </w:r>
      <w:r>
        <w:rPr>
          <w:rFonts w:hint="eastAsia" w:ascii="宋体" w:hAnsi="宋体" w:eastAsia="宋体" w:cs="宋体"/>
          <w:color w:val="000000" w:themeColor="text1"/>
          <w:sz w:val="28"/>
          <w:szCs w:val="28"/>
          <w:highlight w:val="none"/>
          <w14:textFill>
            <w14:solidFill>
              <w14:schemeClr w14:val="tx1"/>
            </w14:solidFill>
          </w14:textFill>
        </w:rPr>
        <w:t>供应商认为有必要补充说明的事宜</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9.</w:t>
      </w:r>
      <w:r>
        <w:rPr>
          <w:rFonts w:hint="eastAsia" w:ascii="宋体" w:hAnsi="宋体" w:eastAsia="宋体" w:cs="宋体"/>
          <w:color w:val="000000" w:themeColor="text1"/>
          <w:sz w:val="28"/>
          <w:szCs w:val="28"/>
          <w:highlight w:val="none"/>
          <w14:textFill>
            <w14:solidFill>
              <w14:schemeClr w14:val="tx1"/>
            </w14:solidFill>
          </w14:textFill>
        </w:rPr>
        <w:t>磋商声明书</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lang w:val="en-US" w:eastAsia="zh-CN"/>
          <w14:textFill>
            <w14:solidFill>
              <w14:schemeClr w14:val="tx1"/>
            </w14:solidFill>
          </w14:textFill>
        </w:rPr>
        <w:t>0.</w:t>
      </w:r>
      <w:r>
        <w:rPr>
          <w:rFonts w:hint="eastAsia" w:ascii="宋体" w:hAnsi="宋体" w:eastAsia="宋体" w:cs="宋体"/>
          <w:color w:val="000000" w:themeColor="text1"/>
          <w:sz w:val="28"/>
          <w:szCs w:val="28"/>
          <w:highlight w:val="none"/>
          <w14:textFill>
            <w14:solidFill>
              <w14:schemeClr w14:val="tx1"/>
            </w14:solidFill>
          </w14:textFill>
        </w:rPr>
        <w:t>《拒绝政府采购领域商业贿赂承诺书》（格式）</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11.《中小企业声明函》</w:t>
      </w:r>
    </w:p>
    <w:p>
      <w:pPr>
        <w:pageBreakBefore w:val="0"/>
        <w:overflowPunct/>
        <w:topLinePunct w:val="0"/>
        <w:bidi w:val="0"/>
        <w:spacing w:line="360" w:lineRule="auto"/>
        <w:ind w:left="1260" w:leftChars="60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12.《残疾人福利性单位声明函》</w:t>
      </w:r>
    </w:p>
    <w:p>
      <w:pPr>
        <w:pageBreakBefore w:val="0"/>
        <w:overflowPunct/>
        <w:topLinePunct w:val="0"/>
        <w:bidi w:val="0"/>
        <w:spacing w:line="360" w:lineRule="auto"/>
        <w:ind w:left="1260" w:leftChars="600"/>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13.《监狱企业证明函》（若有）</w:t>
      </w:r>
    </w:p>
    <w:p>
      <w:pPr>
        <w:pageBreakBefore w:val="0"/>
        <w:kinsoku/>
        <w:wordWrap/>
        <w:overflowPunct/>
        <w:topLinePunct w:val="0"/>
        <w:bidi w:val="0"/>
        <w:spacing w:line="360" w:lineRule="auto"/>
        <w:ind w:firstLine="1124" w:firstLineChars="400"/>
        <w:jc w:val="left"/>
        <w:textAlignment w:val="auto"/>
        <w:rPr>
          <w:rFonts w:hint="eastAsia" w:ascii="宋体" w:hAnsi="宋体" w:eastAsia="宋体" w:cs="宋体"/>
          <w:b/>
          <w:bCs/>
          <w:color w:val="000000" w:themeColor="text1"/>
          <w:sz w:val="28"/>
          <w:szCs w:val="28"/>
          <w:highlight w:val="none"/>
          <w14:textFill>
            <w14:solidFill>
              <w14:schemeClr w14:val="tx1"/>
            </w14:solidFill>
          </w14:textFill>
        </w:rPr>
      </w:pPr>
    </w:p>
    <w:p>
      <w:pPr>
        <w:pageBreakBefore w:val="0"/>
        <w:kinsoku/>
        <w:wordWrap/>
        <w:overflowPunct/>
        <w:topLinePunct w:val="0"/>
        <w:bidi w:val="0"/>
        <w:spacing w:line="360" w:lineRule="auto"/>
        <w:ind w:firstLine="1124" w:firstLineChars="400"/>
        <w:jc w:val="left"/>
        <w:textAlignment w:val="auto"/>
        <w:rPr>
          <w:rFonts w:hint="eastAsia" w:ascii="宋体" w:hAnsi="宋体" w:eastAsia="宋体" w:cs="宋体"/>
          <w:b/>
          <w:bCs/>
          <w:color w:val="000000" w:themeColor="text1"/>
          <w:sz w:val="28"/>
          <w:szCs w:val="28"/>
          <w:highlight w:val="none"/>
          <w14:textFill>
            <w14:solidFill>
              <w14:schemeClr w14:val="tx1"/>
            </w14:solidFill>
          </w14:textFill>
        </w:rPr>
      </w:pPr>
    </w:p>
    <w:p>
      <w:pPr>
        <w:pageBreakBefore w:val="0"/>
        <w:kinsoku/>
        <w:wordWrap/>
        <w:overflowPunct/>
        <w:topLinePunct w:val="0"/>
        <w:bidi w:val="0"/>
        <w:spacing w:line="360" w:lineRule="auto"/>
        <w:ind w:firstLine="1124" w:firstLineChars="400"/>
        <w:jc w:val="left"/>
        <w:textAlignment w:val="auto"/>
        <w:rPr>
          <w:rFonts w:hint="eastAsia" w:ascii="宋体" w:hAnsi="宋体" w:eastAsia="宋体" w:cs="宋体"/>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备注：目录需添加连续页码</w:t>
      </w:r>
    </w:p>
    <w:p>
      <w:pPr>
        <w:pageBreakBefore w:val="0"/>
        <w:kinsoku/>
        <w:wordWrap/>
        <w:overflowPunct/>
        <w:topLinePunct w:val="0"/>
        <w:bidi w:val="0"/>
        <w:spacing w:line="360" w:lineRule="auto"/>
        <w:textAlignment w:val="auto"/>
        <w:rPr>
          <w:rFonts w:hint="eastAsia" w:ascii="宋体" w:hAnsi="宋体" w:eastAsia="宋体" w:cs="宋体"/>
          <w:color w:val="000000" w:themeColor="text1"/>
          <w:sz w:val="28"/>
          <w:szCs w:val="28"/>
          <w:highlight w:val="none"/>
          <w14:textFill>
            <w14:solidFill>
              <w14:schemeClr w14:val="tx1"/>
            </w14:solidFill>
          </w14:textFill>
        </w:rPr>
      </w:pPr>
    </w:p>
    <w:p>
      <w:pPr>
        <w:pStyle w:val="10"/>
        <w:pageBreakBefore w:val="0"/>
        <w:kinsoku/>
        <w:wordWrap/>
        <w:overflowPunct/>
        <w:topLinePunct w:val="0"/>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sectPr>
          <w:endnotePr>
            <w:numFmt w:val="decimal"/>
          </w:endnotePr>
          <w:pgSz w:w="11907" w:h="16840"/>
          <w:pgMar w:top="1418" w:right="1287" w:bottom="936" w:left="1259" w:header="907" w:footer="654" w:gutter="0"/>
          <w:pgNumType w:fmt="decimal"/>
          <w:cols w:space="720" w:num="1"/>
          <w:titlePg/>
        </w:sectPr>
      </w:pPr>
    </w:p>
    <w:p>
      <w:pPr>
        <w:pStyle w:val="4"/>
        <w:pageBreakBefore w:val="0"/>
        <w:overflowPunct/>
        <w:topLinePunct w:val="0"/>
        <w:bidi w:val="0"/>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63" w:name="_Toc14942_WPSOffice_Level1"/>
      <w:bookmarkEnd w:id="663"/>
      <w:bookmarkStart w:id="664" w:name="_Toc8784"/>
      <w:bookmarkStart w:id="665" w:name="_Toc16173_WPSOffice_Level1"/>
      <w:bookmarkStart w:id="666" w:name="_Toc30859_WPSOffice_Level1"/>
      <w:bookmarkStart w:id="667" w:name="_Toc32664"/>
      <w:bookmarkStart w:id="668" w:name="_Toc5888413"/>
      <w:bookmarkStart w:id="669" w:name="_Toc20238"/>
      <w:bookmarkStart w:id="670" w:name="_Toc20446_WPSOffice_Level1"/>
      <w:bookmarkStart w:id="671" w:name="_Toc19279_WPSOffice_Level1"/>
      <w:r>
        <w:rPr>
          <w:rFonts w:hint="eastAsia" w:ascii="宋体" w:hAnsi="宋体" w:eastAsia="宋体" w:cs="宋体"/>
          <w:color w:val="000000" w:themeColor="text1"/>
          <w:sz w:val="28"/>
          <w:szCs w:val="28"/>
          <w:highlight w:val="none"/>
          <w14:textFill>
            <w14:solidFill>
              <w14:schemeClr w14:val="tx1"/>
            </w14:solidFill>
          </w14:textFill>
        </w:rPr>
        <w:t>1.磋商函（格式）</w:t>
      </w:r>
      <w:bookmarkEnd w:id="664"/>
    </w:p>
    <w:p>
      <w:pPr>
        <w:pageBreakBefore w:val="0"/>
        <w:overflowPunct/>
        <w:topLinePunct w:val="0"/>
        <w:bidi w:val="0"/>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磋 商 函</w:t>
      </w:r>
    </w:p>
    <w:p>
      <w:pPr>
        <w:pageBreakBefore w:val="0"/>
        <w:overflowPunct/>
        <w:topLinePunct w:val="0"/>
        <w:bidi w:val="0"/>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致：</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陕西至诚项目管理集团有限公司 </w:t>
      </w:r>
    </w:p>
    <w:p>
      <w:pPr>
        <w:pageBreakBefore w:val="0"/>
        <w:overflowPunct/>
        <w:topLinePunct w:val="0"/>
        <w:bidi w:val="0"/>
        <w:spacing w:line="360" w:lineRule="auto"/>
        <w:ind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根据贵单位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（采购项目名称）    </w:t>
      </w:r>
      <w:r>
        <w:rPr>
          <w:rFonts w:hint="eastAsia" w:ascii="宋体" w:hAnsi="宋体" w:eastAsia="宋体" w:cs="宋体"/>
          <w:color w:val="000000" w:themeColor="text1"/>
          <w:sz w:val="24"/>
          <w:szCs w:val="24"/>
          <w:highlight w:val="none"/>
          <w14:textFill>
            <w14:solidFill>
              <w14:schemeClr w14:val="tx1"/>
            </w14:solidFill>
          </w14:textFill>
        </w:rPr>
        <w:t>项目</w:t>
      </w:r>
      <w:r>
        <w:rPr>
          <w:rFonts w:hint="eastAsia" w:ascii="宋体" w:hAnsi="宋体" w:eastAsia="宋体" w:cs="宋体"/>
          <w:color w:val="000000" w:themeColor="text1"/>
          <w:sz w:val="24"/>
          <w:szCs w:val="24"/>
          <w:highlight w:val="none"/>
          <w:u w:val="single"/>
          <w14:textFill>
            <w14:solidFill>
              <w14:schemeClr w14:val="tx1"/>
            </w14:solidFill>
          </w14:textFill>
        </w:rPr>
        <w:t>（项目编号）</w:t>
      </w:r>
      <w:r>
        <w:rPr>
          <w:rFonts w:hint="eastAsia" w:ascii="宋体" w:hAnsi="宋体" w:eastAsia="宋体" w:cs="宋体"/>
          <w:color w:val="000000" w:themeColor="text1"/>
          <w:sz w:val="24"/>
          <w:szCs w:val="24"/>
          <w:highlight w:val="none"/>
          <w14:textFill>
            <w14:solidFill>
              <w14:schemeClr w14:val="tx1"/>
            </w14:solidFill>
          </w14:textFill>
        </w:rPr>
        <w:t>的磋商公告，我方代表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（姓名、职务）   </w:t>
      </w:r>
      <w:r>
        <w:rPr>
          <w:rFonts w:hint="eastAsia" w:ascii="宋体" w:hAnsi="宋体" w:eastAsia="宋体" w:cs="宋体"/>
          <w:color w:val="000000" w:themeColor="text1"/>
          <w:sz w:val="24"/>
          <w:szCs w:val="24"/>
          <w:highlight w:val="none"/>
          <w14:textFill>
            <w14:solidFill>
              <w14:schemeClr w14:val="tx1"/>
            </w14:solidFill>
          </w14:textFill>
        </w:rPr>
        <w:t>经正式授权并代表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（供应商名称）   </w:t>
      </w:r>
      <w:r>
        <w:rPr>
          <w:rFonts w:hint="eastAsia" w:ascii="宋体" w:hAnsi="宋体" w:eastAsia="宋体" w:cs="宋体"/>
          <w:color w:val="000000" w:themeColor="text1"/>
          <w:sz w:val="24"/>
          <w:szCs w:val="24"/>
          <w:highlight w:val="none"/>
          <w14:textFill>
            <w14:solidFill>
              <w14:schemeClr w14:val="tx1"/>
            </w14:solidFill>
          </w14:textFill>
        </w:rPr>
        <w:t>就该项目进行磋商。</w:t>
      </w:r>
    </w:p>
    <w:p>
      <w:pPr>
        <w:pageBreakBefore w:val="0"/>
        <w:overflowPunct/>
        <w:topLinePunct w:val="0"/>
        <w:bidi w:val="0"/>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在此，我方郑重声明以下诸点，并负法律责任：</w:t>
      </w:r>
    </w:p>
    <w:p>
      <w:pPr>
        <w:pageBreakBefore w:val="0"/>
        <w:overflowPunct/>
        <w:topLinePunct w:val="0"/>
        <w:bidi w:val="0"/>
        <w:spacing w:line="360" w:lineRule="auto"/>
        <w:ind w:firstLine="470" w:firstLineChars="19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我方提交的磋商响应文件一式</w:t>
      </w:r>
      <w:r>
        <w:rPr>
          <w:rFonts w:hint="eastAsia" w:ascii="宋体" w:hAnsi="宋体" w:eastAsia="宋体" w:cs="宋体"/>
          <w:color w:val="000000" w:themeColor="text1"/>
          <w:sz w:val="24"/>
          <w:szCs w:val="24"/>
          <w:highlight w:val="none"/>
          <w:lang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份，正本一份，副本</w:t>
      </w:r>
      <w:r>
        <w:rPr>
          <w:rFonts w:hint="eastAsia" w:ascii="宋体" w:hAnsi="宋体" w:eastAsia="宋体" w:cs="宋体"/>
          <w:color w:val="000000" w:themeColor="text1"/>
          <w:sz w:val="24"/>
          <w:szCs w:val="24"/>
          <w:highlight w:val="none"/>
          <w:lang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份，电子文件一份。</w:t>
      </w:r>
    </w:p>
    <w:p>
      <w:pPr>
        <w:pageBreakBefore w:val="0"/>
        <w:overflowPunct/>
        <w:topLinePunct w:val="0"/>
        <w:bidi w:val="0"/>
        <w:spacing w:line="360" w:lineRule="auto"/>
        <w:ind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我方兹以：</w:t>
      </w:r>
    </w:p>
    <w:p>
      <w:pPr>
        <w:pageBreakBefore w:val="0"/>
        <w:overflowPunct/>
        <w:topLinePunct w:val="0"/>
        <w:bidi w:val="0"/>
        <w:spacing w:line="360" w:lineRule="auto"/>
        <w:ind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p>
    <w:p>
      <w:pPr>
        <w:pageBreakBefore w:val="0"/>
        <w:overflowPunct/>
        <w:topLinePunct w:val="0"/>
        <w:bidi w:val="0"/>
        <w:spacing w:line="360" w:lineRule="auto"/>
        <w:ind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RMB￥：</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p>
    <w:p>
      <w:pPr>
        <w:pageBreakBefore w:val="0"/>
        <w:overflowPunct/>
        <w:topLinePunct w:val="0"/>
        <w:bidi w:val="0"/>
        <w:spacing w:line="360" w:lineRule="auto"/>
        <w:ind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的投标价格和按合同约定有权得到的其它金额，并严格按照合同约定，施工、竣工和交付本工程并维修其中的任何缺陷。</w:t>
      </w:r>
    </w:p>
    <w:p>
      <w:pPr>
        <w:pageBreakBefore w:val="0"/>
        <w:overflowPunct/>
        <w:topLinePunct w:val="0"/>
        <w:bidi w:val="0"/>
        <w:spacing w:line="360" w:lineRule="auto"/>
        <w:ind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如果我方中标，我方保证在自合同签订后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个日历日内施工完毕交付验收</w:t>
      </w:r>
      <w:r>
        <w:rPr>
          <w:rFonts w:hint="eastAsia" w:ascii="宋体" w:hAnsi="宋体" w:eastAsia="宋体" w:cs="宋体"/>
          <w:color w:val="000000" w:themeColor="text1"/>
          <w:sz w:val="24"/>
          <w:szCs w:val="24"/>
          <w:highlight w:val="none"/>
          <w14:textFill>
            <w14:solidFill>
              <w14:schemeClr w14:val="tx1"/>
            </w14:solidFill>
          </w14:textFill>
        </w:rPr>
        <w:t>。并确保工程质量达到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标准。我方同意本磋商函在磋商文件规定的提交磋商响应文件截止时间后，在磋商文件规定的磋商有效期期满前对我方具有约束力，且随时准备接受你方发出的成交通知书。</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我方已详细审查全部竞争性磋商文件，完全理解并同意放弃对这方面有不明及误解质疑的权力。</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zh-CN"/>
          <w14:textFill>
            <w14:solidFill>
              <w14:schemeClr w14:val="tx1"/>
            </w14:solidFill>
          </w14:textFill>
        </w:rPr>
        <w:t>我方</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（是、不是）为本项目提供整体设计、规范编制或者项目管理、监理、检测等服务的供应商。</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我方同意按照要求提供磋商有关的一切数据或资料。</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我方将按竞争性磋商文件的规定履行合同责任和义务。</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我方完全理解最低报价不是成交的唯一条件。</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我方同意按竞争性磋商文件规定，遵守贵方有关采购的各项规定。</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若我方中标，我方保证按有关规定向贵方支付磋商服务费。</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磋商有效期为自磋商日起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个日历日。</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所有关于本项目的函电，请按下列地址联系：</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 细 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pageBreakBefore w:val="0"/>
        <w:tabs>
          <w:tab w:val="left" w:pos="360"/>
        </w:tabs>
        <w:overflowPunct/>
        <w:topLinePunct w:val="0"/>
        <w:bidi w:val="0"/>
        <w:spacing w:line="360" w:lineRule="auto"/>
        <w:ind w:firstLine="480" w:firstLineChars="20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 政 编 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 w:val="24"/>
          <w:szCs w:val="24"/>
          <w:highlight w:val="none"/>
          <w:u w:val="singl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电       话：</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传       真：</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p>
    <w:p>
      <w:pPr>
        <w:pageBreakBefore w:val="0"/>
        <w:tabs>
          <w:tab w:val="left" w:pos="360"/>
        </w:tabs>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子 邮 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 w:val="24"/>
          <w:szCs w:val="24"/>
          <w:highlight w:val="none"/>
          <w:u w:val="singl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开 户 银 行：</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firstLine="480" w:firstLineChars="20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帐       号：</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hanging="60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hanging="600"/>
        <w:rPr>
          <w:rFonts w:hint="eastAsia" w:ascii="宋体" w:hAnsi="宋体" w:eastAsia="宋体" w:cs="宋体"/>
          <w:color w:val="000000" w:themeColor="text1"/>
          <w:sz w:val="24"/>
          <w:szCs w:val="24"/>
          <w:highlight w:val="none"/>
          <w:lang w:val="zh-CN"/>
          <w14:textFill>
            <w14:solidFill>
              <w14:schemeClr w14:val="tx1"/>
            </w14:solidFill>
          </w14:textFill>
        </w:rPr>
      </w:pPr>
    </w:p>
    <w:p>
      <w:pPr>
        <w:pageBreakBefore w:val="0"/>
        <w:overflowPunct/>
        <w:topLinePunct w:val="0"/>
        <w:autoSpaceDE w:val="0"/>
        <w:autoSpaceDN w:val="0"/>
        <w:bidi w:val="0"/>
        <w:adjustRightInd w:val="0"/>
        <w:spacing w:line="360" w:lineRule="auto"/>
        <w:ind w:hanging="600"/>
        <w:rPr>
          <w:rFonts w:hint="eastAsia" w:ascii="宋体" w:hAnsi="宋体" w:eastAsia="宋体" w:cs="宋体"/>
          <w:color w:val="000000" w:themeColor="text1"/>
          <w:sz w:val="24"/>
          <w:szCs w:val="24"/>
          <w:highlight w:val="none"/>
          <w:lang w:val="zh-CN"/>
          <w14:textFill>
            <w14:solidFill>
              <w14:schemeClr w14:val="tx1"/>
            </w14:solidFill>
          </w14:textFill>
        </w:rPr>
      </w:pPr>
    </w:p>
    <w:p>
      <w:pPr>
        <w:pageBreakBefore w:val="0"/>
        <w:overflowPunct/>
        <w:topLinePunct w:val="0"/>
        <w:autoSpaceDE w:val="0"/>
        <w:autoSpaceDN w:val="0"/>
        <w:bidi w:val="0"/>
        <w:adjustRightInd w:val="0"/>
        <w:spacing w:line="360" w:lineRule="auto"/>
        <w:ind w:hanging="600"/>
        <w:rPr>
          <w:rFonts w:hint="eastAsia" w:ascii="宋体" w:hAnsi="宋体" w:eastAsia="宋体" w:cs="宋体"/>
          <w:color w:val="000000" w:themeColor="text1"/>
          <w:sz w:val="24"/>
          <w:szCs w:val="24"/>
          <w:highlight w:val="none"/>
          <w:lang w:val="zh-CN"/>
          <w14:textFill>
            <w14:solidFill>
              <w14:schemeClr w14:val="tx1"/>
            </w14:solidFill>
          </w14:textFill>
        </w:rPr>
      </w:pPr>
    </w:p>
    <w:p>
      <w:pPr>
        <w:pageBreakBefore w:val="0"/>
        <w:overflowPunct/>
        <w:topLinePunct w:val="0"/>
        <w:autoSpaceDE w:val="0"/>
        <w:autoSpaceDN w:val="0"/>
        <w:bidi w:val="0"/>
        <w:adjustRightInd w:val="0"/>
        <w:spacing w:line="360" w:lineRule="auto"/>
        <w:ind w:hanging="600"/>
        <w:rPr>
          <w:rFonts w:hint="eastAsia" w:ascii="宋体" w:hAnsi="宋体" w:eastAsia="宋体" w:cs="宋体"/>
          <w:color w:val="000000" w:themeColor="text1"/>
          <w:sz w:val="24"/>
          <w:szCs w:val="24"/>
          <w:highlight w:val="none"/>
          <w:lang w:val="zh-CN"/>
          <w14:textFill>
            <w14:solidFill>
              <w14:schemeClr w14:val="tx1"/>
            </w14:solidFill>
          </w14:textFill>
        </w:rPr>
      </w:pPr>
    </w:p>
    <w:p>
      <w:pPr>
        <w:pageBreakBefore w:val="0"/>
        <w:overflowPunct/>
        <w:topLinePunct w:val="0"/>
        <w:autoSpaceDE w:val="0"/>
        <w:autoSpaceDN w:val="0"/>
        <w:bidi w:val="0"/>
        <w:adjustRightInd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p>
    <w:p>
      <w:pPr>
        <w:pageBreakBefore w:val="0"/>
        <w:overflowPunct/>
        <w:topLinePunct w:val="0"/>
        <w:autoSpaceDE w:val="0"/>
        <w:autoSpaceDN w:val="0"/>
        <w:bidi w:val="0"/>
        <w:adjustRightInd w:val="0"/>
        <w:spacing w:line="360" w:lineRule="auto"/>
        <w:ind w:firstLine="3360" w:firstLineChars="14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授权</w:t>
      </w:r>
      <w:r>
        <w:rPr>
          <w:rFonts w:hint="eastAsia" w:ascii="宋体" w:hAnsi="宋体" w:eastAsia="宋体" w:cs="宋体"/>
          <w:color w:val="000000" w:themeColor="text1"/>
          <w:sz w:val="24"/>
          <w:szCs w:val="24"/>
          <w:highlight w:val="none"/>
          <w:lang w:val="zh-CN"/>
          <w14:textFill>
            <w14:solidFill>
              <w14:schemeClr w14:val="tx1"/>
            </w14:solidFill>
          </w14:textFill>
        </w:rPr>
        <w:t>代表签名：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pageBreakBefore w:val="0"/>
        <w:overflowPunct/>
        <w:topLinePunct w:val="0"/>
        <w:autoSpaceDE w:val="0"/>
        <w:autoSpaceDN w:val="0"/>
        <w:bidi w:val="0"/>
        <w:adjustRightInd w:val="0"/>
        <w:spacing w:line="360" w:lineRule="auto"/>
        <w:ind w:firstLine="3960" w:firstLineChars="1650"/>
        <w:rPr>
          <w:rFonts w:hint="eastAsia" w:ascii="宋体" w:hAnsi="宋体" w:eastAsia="宋体" w:cs="宋体"/>
          <w:color w:val="000000" w:themeColor="text1"/>
          <w:sz w:val="24"/>
          <w:szCs w:val="24"/>
          <w:highlight w:val="none"/>
          <w:u w:val="singl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联系电话/手机：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pPr>
        <w:bidi w:val="0"/>
        <w:ind w:firstLine="48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672" w:name="_Toc26800"/>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bookmarkEnd w:id="672"/>
    </w:p>
    <w:p>
      <w:pPr>
        <w:pageBreakBefore w:val="0"/>
        <w:overflowPunct/>
        <w:topLinePunct w:val="0"/>
        <w:bidi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p>
    <w:p>
      <w:pPr>
        <w:pageBreakBefore w:val="0"/>
        <w:overflowPunct/>
        <w:topLinePunct w:val="0"/>
        <w:autoSpaceDE w:val="0"/>
        <w:autoSpaceDN w:val="0"/>
        <w:bidi w:val="0"/>
        <w:adjustRightIn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pPr>
        <w:pageBreakBefore w:val="0"/>
        <w:overflowPunct/>
        <w:topLinePunct w:val="0"/>
        <w:autoSpaceDE w:val="0"/>
        <w:autoSpaceDN w:val="0"/>
        <w:bidi w:val="0"/>
        <w:adjustRightIn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pPr>
        <w:pageBreakBefore w:val="0"/>
        <w:overflowPunct/>
        <w:topLinePunct w:val="0"/>
        <w:autoSpaceDE w:val="0"/>
        <w:autoSpaceDN w:val="0"/>
        <w:bidi w:val="0"/>
        <w:adjustRightIn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pPr>
        <w:pageBreakBefore w:val="0"/>
        <w:overflowPunct/>
        <w:topLinePunct w:val="0"/>
        <w:autoSpaceDE w:val="0"/>
        <w:autoSpaceDN w:val="0"/>
        <w:bidi w:val="0"/>
        <w:adjustRightInd w:val="0"/>
        <w:spacing w:line="360" w:lineRule="auto"/>
        <w:rPr>
          <w:rFonts w:hint="eastAsia" w:ascii="宋体" w:hAnsi="宋体" w:eastAsia="宋体" w:cs="宋体"/>
          <w:color w:val="000000" w:themeColor="text1"/>
          <w:sz w:val="28"/>
          <w:szCs w:val="28"/>
          <w:highlight w:val="none"/>
          <w14:textFill>
            <w14:solidFill>
              <w14:schemeClr w14:val="tx1"/>
            </w14:solidFill>
          </w14:textFill>
        </w:rPr>
        <w:sectPr>
          <w:headerReference r:id="rId9" w:type="first"/>
          <w:footerReference r:id="rId11" w:type="first"/>
          <w:headerReference r:id="rId8" w:type="default"/>
          <w:footerReference r:id="rId10" w:type="default"/>
          <w:pgSz w:w="11907" w:h="16840"/>
          <w:pgMar w:top="1440" w:right="1576" w:bottom="1440" w:left="1576" w:header="907" w:footer="652" w:gutter="0"/>
          <w:pgNumType w:fmt="decimal"/>
          <w:cols w:space="720" w:num="1"/>
          <w:titlePg/>
          <w:docGrid w:linePitch="312" w:charSpace="0"/>
        </w:sectPr>
      </w:pPr>
    </w:p>
    <w:p>
      <w:pPr>
        <w:pStyle w:val="4"/>
        <w:pageBreakBefore w:val="0"/>
        <w:overflowPunct/>
        <w:topLinePunct w:val="0"/>
        <w:bidi w:val="0"/>
        <w:spacing w:before="0" w:after="0" w:line="360" w:lineRule="auto"/>
        <w:rPr>
          <w:rFonts w:hint="eastAsia" w:ascii="宋体" w:hAnsi="宋体" w:eastAsia="宋体" w:cs="宋体"/>
          <w:b/>
          <w:bCs/>
          <w:color w:val="000000" w:themeColor="text1"/>
          <w:sz w:val="32"/>
          <w:szCs w:val="20"/>
          <w:highlight w:val="none"/>
          <w14:textFill>
            <w14:solidFill>
              <w14:schemeClr w14:val="tx1"/>
            </w14:solidFill>
          </w14:textFill>
        </w:rPr>
      </w:pPr>
      <w:bookmarkStart w:id="673" w:name="_Toc15416"/>
      <w:r>
        <w:rPr>
          <w:rFonts w:hint="eastAsia" w:ascii="宋体" w:hAnsi="宋体" w:eastAsia="宋体" w:cs="宋体"/>
          <w:color w:val="000000" w:themeColor="text1"/>
          <w:sz w:val="28"/>
          <w:szCs w:val="28"/>
          <w:highlight w:val="none"/>
          <w14:textFill>
            <w14:solidFill>
              <w14:schemeClr w14:val="tx1"/>
            </w14:solidFill>
          </w14:textFill>
        </w:rPr>
        <w:t>2.磋商报价一览表（格式）</w:t>
      </w:r>
      <w:bookmarkEnd w:id="673"/>
    </w:p>
    <w:p>
      <w:pPr>
        <w:pageBreakBefore w:val="0"/>
        <w:overflowPunct/>
        <w:topLinePunct w:val="0"/>
        <w:bidi w:val="0"/>
        <w:spacing w:line="360" w:lineRule="auto"/>
        <w:ind w:firstLine="643" w:firstLineChars="200"/>
        <w:jc w:val="center"/>
        <w:rPr>
          <w:rFonts w:hint="eastAsia" w:ascii="宋体" w:hAnsi="宋体" w:eastAsia="宋体" w:cs="宋体"/>
          <w:b/>
          <w:bCs/>
          <w:color w:val="000000" w:themeColor="text1"/>
          <w:sz w:val="32"/>
          <w:szCs w:val="20"/>
          <w:highlight w:val="none"/>
          <w14:textFill>
            <w14:solidFill>
              <w14:schemeClr w14:val="tx1"/>
            </w14:solidFill>
          </w14:textFill>
        </w:rPr>
      </w:pPr>
      <w:r>
        <w:rPr>
          <w:rFonts w:hint="eastAsia" w:ascii="宋体" w:hAnsi="宋体" w:eastAsia="宋体" w:cs="宋体"/>
          <w:b/>
          <w:bCs/>
          <w:color w:val="000000" w:themeColor="text1"/>
          <w:sz w:val="32"/>
          <w:szCs w:val="20"/>
          <w:highlight w:val="none"/>
          <w14:textFill>
            <w14:solidFill>
              <w14:schemeClr w14:val="tx1"/>
            </w14:solidFill>
          </w14:textFill>
        </w:rPr>
        <w:t>磋商报价一览表</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 xml:space="preserve">名称：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tbl>
      <w:tblPr>
        <w:tblStyle w:val="22"/>
        <w:tblW w:w="1545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23"/>
        <w:gridCol w:w="3273"/>
        <w:gridCol w:w="2922"/>
        <w:gridCol w:w="2726"/>
        <w:gridCol w:w="2307"/>
        <w:gridCol w:w="2307"/>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649" w:hRule="atLeast"/>
          <w:jc w:val="center"/>
        </w:trPr>
        <w:tc>
          <w:tcPr>
            <w:tcW w:w="1923" w:type="dxa"/>
            <w:noWrap w:val="0"/>
            <w:vAlign w:val="center"/>
          </w:tcPr>
          <w:p>
            <w:pPr>
              <w:pageBreakBefore w:val="0"/>
              <w:overflowPunct/>
              <w:topLinePunct w:val="0"/>
              <w:bidi w:val="0"/>
              <w:spacing w:line="360" w:lineRule="auto"/>
              <w:ind w:right="143" w:rightChars="68" w:firstLine="118" w:firstLineChars="49"/>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项目编号 </w:t>
            </w:r>
          </w:p>
        </w:tc>
        <w:tc>
          <w:tcPr>
            <w:tcW w:w="3273" w:type="dxa"/>
            <w:noWrap w:val="0"/>
            <w:vAlign w:val="center"/>
          </w:tcPr>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磋商</w:t>
            </w:r>
            <w:r>
              <w:rPr>
                <w:rFonts w:hint="eastAsia" w:ascii="宋体" w:hAnsi="宋体" w:eastAsia="宋体" w:cs="宋体"/>
                <w:b/>
                <w:color w:val="000000" w:themeColor="text1"/>
                <w:sz w:val="24"/>
                <w:szCs w:val="24"/>
                <w:highlight w:val="none"/>
                <w:lang w:eastAsia="zh-CN"/>
                <w14:textFill>
                  <w14:solidFill>
                    <w14:schemeClr w14:val="tx1"/>
                  </w14:solidFill>
                </w14:textFill>
              </w:rPr>
              <w:t>报</w:t>
            </w:r>
            <w:r>
              <w:rPr>
                <w:rFonts w:hint="eastAsia" w:ascii="宋体" w:hAnsi="宋体" w:eastAsia="宋体" w:cs="宋体"/>
                <w:b/>
                <w:color w:val="000000" w:themeColor="text1"/>
                <w:sz w:val="24"/>
                <w:szCs w:val="24"/>
                <w:highlight w:val="none"/>
                <w14:textFill>
                  <w14:solidFill>
                    <w14:schemeClr w14:val="tx1"/>
                  </w14:solidFill>
                </w14:textFill>
              </w:rPr>
              <w:t>价</w:t>
            </w:r>
          </w:p>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（人民币:元）</w:t>
            </w:r>
          </w:p>
        </w:tc>
        <w:tc>
          <w:tcPr>
            <w:tcW w:w="2922" w:type="dxa"/>
            <w:noWrap w:val="0"/>
            <w:tcMar>
              <w:top w:w="57" w:type="dxa"/>
              <w:left w:w="28" w:type="dxa"/>
              <w:bottom w:w="57" w:type="dxa"/>
              <w:right w:w="28" w:type="dxa"/>
            </w:tcMar>
            <w:vAlign w:val="center"/>
          </w:tcPr>
          <w:p>
            <w:pPr>
              <w:pageBreakBefore w:val="0"/>
              <w:overflowPunct/>
              <w:topLinePunct w:val="0"/>
              <w:bidi w:val="0"/>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项目经理及证书编号</w:t>
            </w:r>
          </w:p>
        </w:tc>
        <w:tc>
          <w:tcPr>
            <w:tcW w:w="2726" w:type="dxa"/>
            <w:noWrap w:val="0"/>
            <w:tcMar>
              <w:top w:w="57" w:type="dxa"/>
              <w:left w:w="28" w:type="dxa"/>
              <w:bottom w:w="57" w:type="dxa"/>
              <w:right w:w="28" w:type="dxa"/>
            </w:tcMar>
            <w:vAlign w:val="center"/>
          </w:tcPr>
          <w:p>
            <w:pPr>
              <w:pageBreakBefore w:val="0"/>
              <w:overflowPunct/>
              <w:topLinePunct w:val="0"/>
              <w:bidi w:val="0"/>
              <w:spacing w:line="360" w:lineRule="auto"/>
              <w:jc w:val="center"/>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工期</w:t>
            </w:r>
          </w:p>
        </w:tc>
        <w:tc>
          <w:tcPr>
            <w:tcW w:w="2307" w:type="dxa"/>
            <w:noWrap w:val="0"/>
            <w:tcMar>
              <w:top w:w="57" w:type="dxa"/>
              <w:left w:w="28" w:type="dxa"/>
              <w:bottom w:w="57" w:type="dxa"/>
              <w:right w:w="28" w:type="dxa"/>
            </w:tcMar>
            <w:vAlign w:val="center"/>
          </w:tcPr>
          <w:p>
            <w:pPr>
              <w:pageBreakBefore w:val="0"/>
              <w:overflowPunct/>
              <w:topLinePunct w:val="0"/>
              <w:bidi w:val="0"/>
              <w:spacing w:line="360" w:lineRule="auto"/>
              <w:jc w:val="cente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工程质量</w:t>
            </w:r>
          </w:p>
        </w:tc>
        <w:tc>
          <w:tcPr>
            <w:tcW w:w="2307"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质保期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12" w:hRule="atLeast"/>
          <w:jc w:val="center"/>
        </w:trPr>
        <w:tc>
          <w:tcPr>
            <w:tcW w:w="1923" w:type="dxa"/>
            <w:vMerge w:val="restart"/>
            <w:noWrap w:val="0"/>
            <w:vAlign w:val="center"/>
          </w:tcPr>
          <w:p>
            <w:pPr>
              <w:pageBreakBefore w:val="0"/>
              <w:overflowPunct/>
              <w:topLinePunct w:val="0"/>
              <w:bidi w:val="0"/>
              <w:spacing w:line="360" w:lineRule="auto"/>
              <w:ind w:left="210" w:leftChars="10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3273" w:type="dxa"/>
            <w:noWrap w:val="0"/>
            <w:vAlign w:val="center"/>
          </w:tcPr>
          <w:p>
            <w:pPr>
              <w:pageBreakBefore w:val="0"/>
              <w:overflowPunct/>
              <w:topLinePunct w:val="0"/>
              <w:bidi w:val="0"/>
              <w:spacing w:line="360" w:lineRule="auto"/>
              <w:ind w:left="210" w:leftChars="10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922"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7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07"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307"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923" w:type="dxa"/>
            <w:vMerge w:val="continue"/>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3535" w:type="dxa"/>
            <w:gridSpan w:val="5"/>
            <w:tcBorders>
              <w:top w:val="single" w:color="auto" w:sz="4" w:space="0"/>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（大写）                                </w:t>
            </w:r>
          </w:p>
        </w:tc>
      </w:tr>
    </w:tbl>
    <w:p>
      <w:pPr>
        <w:pageBreakBefore w:val="0"/>
        <w:overflowPunct/>
        <w:topLinePunct w:val="0"/>
        <w:bidi w:val="0"/>
        <w:spacing w:line="360" w:lineRule="auto"/>
        <w:ind w:firstLine="440" w:firstLineChars="20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注：1</w:t>
      </w:r>
      <w:r>
        <w:rPr>
          <w:rFonts w:hint="eastAsia" w:ascii="宋体" w:hAnsi="宋体" w:eastAsia="宋体" w:cs="宋体"/>
          <w:color w:val="000000" w:themeColor="text1"/>
          <w:sz w:val="22"/>
          <w:szCs w:val="21"/>
          <w:highlight w:val="none"/>
          <w:lang w:val="en-US" w:eastAsia="zh-CN"/>
          <w14:textFill>
            <w14:solidFill>
              <w14:schemeClr w14:val="tx1"/>
            </w14:solidFill>
          </w14:textFill>
        </w:rPr>
        <w:t>.</w:t>
      </w:r>
      <w:r>
        <w:rPr>
          <w:rFonts w:hint="eastAsia" w:ascii="宋体" w:hAnsi="宋体" w:eastAsia="宋体" w:cs="宋体"/>
          <w:color w:val="000000" w:themeColor="text1"/>
          <w:sz w:val="22"/>
          <w:szCs w:val="21"/>
          <w:highlight w:val="none"/>
          <w14:textFill>
            <w14:solidFill>
              <w14:schemeClr w14:val="tx1"/>
            </w14:solidFill>
          </w14:textFill>
        </w:rPr>
        <w:t>磋商报价包含项目施工过程中的全部费用。</w:t>
      </w:r>
    </w:p>
    <w:p>
      <w:pPr>
        <w:pageBreakBefore w:val="0"/>
        <w:numPr>
          <w:ilvl w:val="0"/>
          <w:numId w:val="0"/>
        </w:numPr>
        <w:overflowPunct/>
        <w:topLinePunct w:val="0"/>
        <w:bidi w:val="0"/>
        <w:spacing w:line="360" w:lineRule="auto"/>
        <w:ind w:firstLine="880" w:firstLineChars="40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14:textFill>
            <w14:solidFill>
              <w14:schemeClr w14:val="tx1"/>
            </w14:solidFill>
          </w14:textFill>
        </w:rPr>
        <w:t>2.</w:t>
      </w:r>
      <w:r>
        <w:rPr>
          <w:rFonts w:hint="eastAsia" w:ascii="宋体" w:hAnsi="宋体" w:eastAsia="宋体" w:cs="宋体"/>
          <w:color w:val="000000" w:themeColor="text1"/>
          <w:sz w:val="22"/>
          <w:szCs w:val="21"/>
          <w:highlight w:val="none"/>
          <w14:textFill>
            <w14:solidFill>
              <w14:schemeClr w14:val="tx1"/>
            </w14:solidFill>
          </w14:textFill>
        </w:rPr>
        <w:t>本表应保证磋商响应文件的正、副本中仍有此表且一致。</w:t>
      </w:r>
    </w:p>
    <w:p>
      <w:pPr>
        <w:pageBreakBefore w:val="0"/>
        <w:numPr>
          <w:ilvl w:val="0"/>
          <w:numId w:val="0"/>
        </w:numPr>
        <w:overflowPunct/>
        <w:topLinePunct w:val="0"/>
        <w:bidi w:val="0"/>
        <w:spacing w:line="360" w:lineRule="auto"/>
        <w:ind w:firstLine="880" w:firstLineChars="40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14:textFill>
            <w14:solidFill>
              <w14:schemeClr w14:val="tx1"/>
            </w14:solidFill>
          </w14:textFill>
        </w:rPr>
        <w:t>3.</w:t>
      </w:r>
      <w:r>
        <w:rPr>
          <w:rFonts w:hint="eastAsia" w:ascii="宋体" w:hAnsi="宋体" w:eastAsia="宋体" w:cs="宋体"/>
          <w:color w:val="000000" w:themeColor="text1"/>
          <w:sz w:val="22"/>
          <w:szCs w:val="21"/>
          <w:highlight w:val="none"/>
          <w14:textFill>
            <w14:solidFill>
              <w14:schemeClr w14:val="tx1"/>
            </w14:solidFill>
          </w14:textFill>
        </w:rPr>
        <w:t>报价精确到两位小数后两位。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名称（公章）：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法定代表人或被授权人</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pPr>
        <w:pageBreakBefore w:val="0"/>
        <w:overflowPunct/>
        <w:topLinePunct w:val="0"/>
        <w:bidi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                           </w:t>
      </w:r>
    </w:p>
    <w:p>
      <w:pPr>
        <w:pStyle w:val="38"/>
        <w:ind w:left="0" w:leftChars="0" w:firstLine="0" w:firstLineChars="0"/>
        <w:rPr>
          <w:rFonts w:hint="eastAsia" w:ascii="宋体" w:hAnsi="宋体" w:eastAsia="宋体" w:cs="宋体"/>
          <w:b/>
          <w:bCs/>
          <w:color w:val="000000" w:themeColor="text1"/>
          <w:sz w:val="20"/>
          <w:szCs w:val="20"/>
          <w:highlight w:val="none"/>
          <w14:textFill>
            <w14:solidFill>
              <w14:schemeClr w14:val="tx1"/>
            </w14:solidFill>
          </w14:textFill>
        </w:rPr>
        <w:sectPr>
          <w:headerReference r:id="rId13" w:type="first"/>
          <w:footerReference r:id="rId15" w:type="first"/>
          <w:headerReference r:id="rId12" w:type="default"/>
          <w:footerReference r:id="rId14" w:type="default"/>
          <w:pgSz w:w="16840" w:h="11907" w:orient="landscape"/>
          <w:pgMar w:top="1259" w:right="1191" w:bottom="1287" w:left="936" w:header="851" w:footer="1021" w:gutter="0"/>
          <w:pgNumType w:fmt="decimal"/>
          <w:cols w:space="720" w:num="1"/>
          <w:docGrid w:linePitch="312" w:charSpace="0"/>
        </w:sectPr>
      </w:pPr>
    </w:p>
    <w:p>
      <w:pPr>
        <w:pStyle w:val="5"/>
        <w:pageBreakBefore w:val="0"/>
        <w:tabs>
          <w:tab w:val="left" w:pos="3780"/>
        </w:tabs>
        <w:overflowPunct/>
        <w:topLinePunct w:val="0"/>
        <w:bidi w:val="0"/>
        <w:spacing w:before="0" w:after="0" w:line="360" w:lineRule="auto"/>
        <w:outlineLvl w:val="2"/>
        <w:rPr>
          <w:rFonts w:hint="eastAsia" w:ascii="宋体" w:hAnsi="宋体" w:eastAsia="宋体" w:cs="宋体"/>
          <w:color w:val="000000" w:themeColor="text1"/>
          <w:szCs w:val="21"/>
          <w:highlight w:val="none"/>
          <w14:textFill>
            <w14:solidFill>
              <w14:schemeClr w14:val="tx1"/>
            </w14:solidFill>
          </w14:textFill>
        </w:rPr>
      </w:pPr>
      <w:bookmarkStart w:id="674" w:name="_Toc8023"/>
      <w:r>
        <w:rPr>
          <w:rFonts w:hint="eastAsia" w:ascii="宋体" w:hAnsi="宋体" w:eastAsia="宋体" w:cs="宋体"/>
          <w:color w:val="000000" w:themeColor="text1"/>
          <w:sz w:val="28"/>
          <w:szCs w:val="28"/>
          <w:highlight w:val="none"/>
          <w14:textFill>
            <w14:solidFill>
              <w14:schemeClr w14:val="tx1"/>
            </w14:solidFill>
          </w14:textFill>
        </w:rPr>
        <w:t>2.</w:t>
      </w:r>
      <w:r>
        <w:rPr>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t>已标价工程量清单</w:t>
      </w:r>
      <w:bookmarkEnd w:id="674"/>
    </w:p>
    <w:p>
      <w:pPr>
        <w:pageBreakBefore w:val="0"/>
        <w:widowControl/>
        <w:overflowPunct/>
        <w:topLinePunct w:val="0"/>
        <w:bidi w:val="0"/>
        <w:spacing w:line="360" w:lineRule="auto"/>
        <w:jc w:val="left"/>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说明：已标价工程量清单按第三部分“工程量清单”中的相关清单表格式填写</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采用相关造价软件填写</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kern w:val="0"/>
          <w:sz w:val="24"/>
          <w:highlight w:val="none"/>
          <w14:textFill>
            <w14:solidFill>
              <w14:schemeClr w14:val="tx1"/>
            </w14:solidFill>
          </w14:textFill>
        </w:rPr>
        <w:t>磋商报价包含项目施工过程中的全部费用.</w:t>
      </w:r>
    </w:p>
    <w:p>
      <w:pPr>
        <w:pageBreakBefore w:val="0"/>
        <w:widowControl/>
        <w:overflowPunct/>
        <w:topLinePunct w:val="0"/>
        <w:bidi w:val="0"/>
        <w:spacing w:line="360" w:lineRule="auto"/>
        <w:jc w:val="left"/>
        <w:rPr>
          <w:rFonts w:hint="eastAsia" w:ascii="宋体" w:hAnsi="宋体" w:eastAsia="宋体" w:cs="宋体"/>
          <w:color w:val="000000" w:themeColor="text1"/>
          <w:sz w:val="28"/>
          <w:szCs w:val="28"/>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w:t>
      </w: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ind w:firstLine="480"/>
        <w:jc w:val="left"/>
        <w:rPr>
          <w:rFonts w:hint="eastAsia" w:ascii="宋体" w:hAnsi="宋体" w:eastAsia="宋体" w:cs="宋体"/>
          <w:color w:val="000000" w:themeColor="text1"/>
          <w:kern w:val="0"/>
          <w:sz w:val="24"/>
          <w:highlight w:val="none"/>
          <w14:textFill>
            <w14:solidFill>
              <w14:schemeClr w14:val="tx1"/>
            </w14:solidFill>
          </w14:textFill>
        </w:rPr>
      </w:pPr>
    </w:p>
    <w:p>
      <w:pPr>
        <w:pageBreakBefore w:val="0"/>
        <w:overflowPunct/>
        <w:topLinePunct w:val="0"/>
        <w:bidi w:val="0"/>
        <w:spacing w:line="360" w:lineRule="auto"/>
        <w:jc w:val="left"/>
        <w:rPr>
          <w:rFonts w:hint="eastAsia" w:ascii="宋体" w:hAnsi="宋体" w:eastAsia="宋体" w:cs="宋体"/>
          <w:color w:val="000000" w:themeColor="text1"/>
          <w:kern w:val="0"/>
          <w:sz w:val="24"/>
          <w:highlight w:val="none"/>
          <w14:textFill>
            <w14:solidFill>
              <w14:schemeClr w14:val="tx1"/>
            </w14:solidFill>
          </w14:textFill>
        </w:rPr>
      </w:pPr>
    </w:p>
    <w:p>
      <w:pPr>
        <w:pStyle w:val="21"/>
        <w:rPr>
          <w:rFonts w:hint="eastAsia"/>
          <w:color w:val="000000" w:themeColor="text1"/>
          <w:highlight w:val="none"/>
          <w14:textFill>
            <w14:solidFill>
              <w14:schemeClr w14:val="tx1"/>
            </w14:solidFill>
          </w14:textFill>
        </w:rPr>
      </w:pPr>
    </w:p>
    <w:p>
      <w:pPr>
        <w:bidi w:val="0"/>
        <w:rPr>
          <w:rFonts w:hint="eastAsia"/>
          <w:color w:val="000000" w:themeColor="text1"/>
          <w14:textFill>
            <w14:solidFill>
              <w14:schemeClr w14:val="tx1"/>
            </w14:solidFill>
          </w14:textFill>
        </w:rPr>
      </w:pPr>
    </w:p>
    <w:p>
      <w:pPr>
        <w:pageBreakBefore w:val="0"/>
        <w:overflowPunct/>
        <w:topLinePunct w:val="0"/>
        <w:bidi w:val="0"/>
        <w:spacing w:line="360" w:lineRule="auto"/>
        <w:jc w:val="left"/>
        <w:outlineLvl w:val="1"/>
        <w:rPr>
          <w:rFonts w:hint="eastAsia" w:ascii="宋体" w:hAnsi="宋体" w:eastAsia="宋体" w:cs="宋体"/>
          <w:b/>
          <w:color w:val="000000" w:themeColor="text1"/>
          <w:sz w:val="32"/>
          <w:szCs w:val="32"/>
          <w:highlight w:val="none"/>
          <w14:textFill>
            <w14:solidFill>
              <w14:schemeClr w14:val="tx1"/>
            </w14:solidFill>
          </w14:textFill>
        </w:rPr>
      </w:pPr>
      <w:bookmarkStart w:id="675" w:name="_Toc10184"/>
      <w:r>
        <w:rPr>
          <w:rFonts w:hint="eastAsia" w:ascii="宋体" w:hAnsi="宋体" w:eastAsia="宋体" w:cs="宋体"/>
          <w:b/>
          <w:color w:val="000000" w:themeColor="text1"/>
          <w:sz w:val="32"/>
          <w:szCs w:val="32"/>
          <w:highlight w:val="none"/>
          <w14:textFill>
            <w14:solidFill>
              <w14:schemeClr w14:val="tx1"/>
            </w14:solidFill>
          </w14:textFill>
        </w:rPr>
        <w:t>3</w:t>
      </w:r>
      <w:r>
        <w:rPr>
          <w:rFonts w:hint="eastAsia" w:ascii="宋体" w:hAnsi="宋体" w:eastAsia="宋体" w:cs="宋体"/>
          <w:b/>
          <w:color w:val="000000" w:themeColor="text1"/>
          <w:sz w:val="28"/>
          <w:szCs w:val="28"/>
          <w:highlight w:val="none"/>
          <w14:textFill>
            <w14:solidFill>
              <w14:schemeClr w14:val="tx1"/>
            </w14:solidFill>
          </w14:textFill>
        </w:rPr>
        <w:t>.商务条款响应偏离表（格式）</w:t>
      </w:r>
      <w:bookmarkEnd w:id="675"/>
    </w:p>
    <w:p>
      <w:pPr>
        <w:pageBreakBefore w:val="0"/>
        <w:overflowPunct/>
        <w:topLinePunct w:val="0"/>
        <w:bidi w:val="0"/>
        <w:spacing w:line="360" w:lineRule="auto"/>
        <w:ind w:left="210" w:leftChars="100"/>
        <w:jc w:val="center"/>
        <w:rPr>
          <w:rFonts w:hint="eastAsia" w:ascii="宋体" w:hAnsi="宋体" w:eastAsia="宋体" w:cs="宋体"/>
          <w:b/>
          <w:bCs/>
          <w:color w:val="000000" w:themeColor="text1"/>
          <w:sz w:val="36"/>
          <w:szCs w:val="21"/>
          <w:highlight w:val="none"/>
          <w14:textFill>
            <w14:solidFill>
              <w14:schemeClr w14:val="tx1"/>
            </w14:solidFill>
          </w14:textFill>
        </w:rPr>
      </w:pPr>
      <w:r>
        <w:rPr>
          <w:rFonts w:hint="eastAsia" w:ascii="宋体" w:hAnsi="宋体" w:eastAsia="宋体" w:cs="宋体"/>
          <w:b/>
          <w:bCs/>
          <w:color w:val="000000" w:themeColor="text1"/>
          <w:sz w:val="36"/>
          <w:szCs w:val="21"/>
          <w:highlight w:val="none"/>
          <w14:textFill>
            <w14:solidFill>
              <w14:schemeClr w14:val="tx1"/>
            </w14:solidFill>
          </w14:textFill>
        </w:rPr>
        <w:t>商务条款响应偏离表</w:t>
      </w:r>
    </w:p>
    <w:p>
      <w:pPr>
        <w:pageBreakBefore w:val="0"/>
        <w:overflowPunct/>
        <w:topLinePunct w:val="0"/>
        <w:bidi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tbl>
      <w:tblPr>
        <w:tblStyle w:val="22"/>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97" w:leftChars="-46"/>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磋商文件</w:t>
            </w:r>
          </w:p>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商务要求</w:t>
            </w: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磋商响应文件</w:t>
            </w:r>
          </w:p>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商务响应</w:t>
            </w: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偏离情况</w:t>
            </w:r>
          </w:p>
        </w:tc>
        <w:tc>
          <w:tcPr>
            <w:tcW w:w="1438" w:type="dxa"/>
            <w:noWrap w:val="0"/>
            <w:vAlign w:val="center"/>
          </w:tcPr>
          <w:p>
            <w:pPr>
              <w:pageBreakBefore w:val="0"/>
              <w:overflowPunct/>
              <w:topLinePunct w:val="0"/>
              <w:bidi w:val="0"/>
              <w:spacing w:line="360" w:lineRule="auto"/>
              <w:ind w:left="210" w:leftChars="1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tcBorders>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tcBorders>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tcBorders>
              <w:bottom w:val="single" w:color="auto" w:sz="4" w:space="0"/>
            </w:tcBorders>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tcBorders>
              <w:bottom w:val="single" w:color="auto" w:sz="4" w:space="0"/>
            </w:tcBorders>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9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2379"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650" w:type="dxa"/>
            <w:noWrap w:val="0"/>
            <w:tcMar>
              <w:top w:w="57" w:type="dxa"/>
              <w:left w:w="28" w:type="dxa"/>
              <w:bottom w:w="57" w:type="dxa"/>
              <w:right w:w="28" w:type="dxa"/>
            </w:tcMar>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c>
          <w:tcPr>
            <w:tcW w:w="1438" w:type="dxa"/>
            <w:noWrap w:val="0"/>
            <w:vAlign w:val="center"/>
          </w:tcPr>
          <w:p>
            <w:pPr>
              <w:pageBreakBefore w:val="0"/>
              <w:overflowPunct/>
              <w:topLinePunct w:val="0"/>
              <w:bidi w:val="0"/>
              <w:spacing w:line="360" w:lineRule="auto"/>
              <w:ind w:left="210" w:leftChars="100"/>
              <w:rPr>
                <w:rFonts w:hint="eastAsia" w:ascii="宋体" w:hAnsi="宋体" w:eastAsia="宋体" w:cs="宋体"/>
                <w:color w:val="000000" w:themeColor="text1"/>
                <w:sz w:val="24"/>
                <w:szCs w:val="24"/>
                <w:highlight w:val="none"/>
                <w14:textFill>
                  <w14:solidFill>
                    <w14:schemeClr w14:val="tx1"/>
                  </w14:solidFill>
                </w14:textFill>
              </w:rPr>
            </w:pPr>
          </w:p>
        </w:tc>
      </w:tr>
    </w:tbl>
    <w:p>
      <w:pPr>
        <w:pageBreakBefore w:val="0"/>
        <w:kinsoku/>
        <w:overflowPunct/>
        <w:topLinePunct w:val="0"/>
        <w:bidi w:val="0"/>
        <w:spacing w:line="360" w:lineRule="auto"/>
        <w:ind w:left="210" w:leftChars="100"/>
        <w:textAlignment w:val="auto"/>
        <w:rPr>
          <w:rFonts w:hint="eastAsia" w:ascii="宋体" w:hAnsi="宋体" w:eastAsia="宋体" w:cs="宋体"/>
          <w:highlight w:val="none"/>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szCs w:val="21"/>
          <w:highlight w:val="none"/>
        </w:rPr>
        <w:t>本表只填写</w:t>
      </w:r>
      <w:r>
        <w:rPr>
          <w:rFonts w:hint="eastAsia" w:ascii="宋体" w:hAnsi="宋体" w:cs="宋体"/>
          <w:szCs w:val="21"/>
          <w:highlight w:val="none"/>
          <w:lang w:eastAsia="zh-CN"/>
        </w:rPr>
        <w:t>响应</w:t>
      </w:r>
      <w:r>
        <w:rPr>
          <w:rFonts w:hint="eastAsia" w:ascii="宋体" w:hAnsi="宋体" w:eastAsia="宋体" w:cs="宋体"/>
          <w:szCs w:val="21"/>
          <w:highlight w:val="none"/>
        </w:rPr>
        <w:t>文件中与</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文件有偏离(包括正偏离和负偏离)的内容，</w:t>
      </w:r>
      <w:r>
        <w:rPr>
          <w:rFonts w:hint="eastAsia" w:ascii="宋体" w:hAnsi="宋体" w:cs="宋体"/>
          <w:szCs w:val="21"/>
          <w:highlight w:val="none"/>
          <w:lang w:eastAsia="zh-CN"/>
        </w:rPr>
        <w:t>响应</w:t>
      </w:r>
      <w:r>
        <w:rPr>
          <w:rFonts w:hint="eastAsia" w:ascii="宋体" w:hAnsi="宋体" w:eastAsia="宋体" w:cs="宋体"/>
          <w:szCs w:val="21"/>
          <w:highlight w:val="none"/>
        </w:rPr>
        <w:t>文件中商务响应与</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文件要求完全一致的，不用在此表中列出，但须提供空白表</w:t>
      </w:r>
      <w:r>
        <w:rPr>
          <w:rFonts w:hint="eastAsia" w:ascii="宋体" w:hAnsi="宋体" w:cs="宋体"/>
          <w:szCs w:val="21"/>
          <w:highlight w:val="none"/>
          <w:lang w:eastAsia="zh-CN"/>
        </w:rPr>
        <w:t>。</w:t>
      </w:r>
      <w:r>
        <w:rPr>
          <w:rFonts w:hint="eastAsia" w:ascii="宋体" w:hAnsi="宋体" w:eastAsia="宋体" w:cs="宋体"/>
          <w:szCs w:val="21"/>
          <w:highlight w:val="none"/>
        </w:rPr>
        <w:t>如有漏报、瞒报</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文件所要求的商务指标等将视为没有实质性响应</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w:t>
      </w:r>
    </w:p>
    <w:p>
      <w:pPr>
        <w:pageBreakBefore w:val="0"/>
        <w:overflowPunct/>
        <w:topLinePunct w:val="0"/>
        <w:bidi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名称（公章）：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法定代表人或被授权人</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pPr>
        <w:pageBreakBefore w:val="0"/>
        <w:overflowPunct/>
        <w:topLinePunct w:val="0"/>
        <w:bidi w:val="0"/>
        <w:spacing w:line="360" w:lineRule="auto"/>
        <w:ind w:firstLine="480" w:firstLineChars="200"/>
        <w:jc w:val="left"/>
        <w:rPr>
          <w:rFonts w:hint="eastAsia" w:ascii="宋体" w:hAnsi="宋体" w:eastAsia="宋体" w:cs="宋体"/>
          <w:color w:val="000000" w:themeColor="text1"/>
          <w:kern w:val="0"/>
          <w:sz w:val="22"/>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p>
    <w:p>
      <w:pPr>
        <w:bidi w:val="0"/>
        <w:rPr>
          <w:rFonts w:hint="eastAsia"/>
          <w:color w:val="000000" w:themeColor="text1"/>
          <w14:textFill>
            <w14:solidFill>
              <w14:schemeClr w14:val="tx1"/>
            </w14:solidFill>
          </w14:textFill>
        </w:rPr>
      </w:pPr>
      <w:bookmarkStart w:id="676" w:name="_Toc22588"/>
      <w:bookmarkStart w:id="677" w:name="_Toc497842262"/>
    </w:p>
    <w:p>
      <w:pPr>
        <w:bidi w:val="0"/>
        <w:rPr>
          <w:rFonts w:hint="eastAsia"/>
          <w:color w:val="000000" w:themeColor="text1"/>
          <w14:textFill>
            <w14:solidFill>
              <w14:schemeClr w14:val="tx1"/>
            </w14:solidFill>
          </w14:textFill>
        </w:rPr>
      </w:pPr>
    </w:p>
    <w:p>
      <w:pPr>
        <w:pStyle w:val="8"/>
        <w:rPr>
          <w:rFonts w:hint="eastAsia"/>
          <w:color w:val="000000" w:themeColor="text1"/>
          <w14:textFill>
            <w14:solidFill>
              <w14:schemeClr w14:val="tx1"/>
            </w14:solidFill>
          </w14:textFill>
        </w:rPr>
      </w:pPr>
    </w:p>
    <w:p>
      <w:pPr>
        <w:pageBreakBefore w:val="0"/>
        <w:overflowPunct/>
        <w:topLinePunct w:val="0"/>
        <w:bidi w:val="0"/>
        <w:spacing w:line="360" w:lineRule="auto"/>
        <w:jc w:val="left"/>
        <w:outlineLvl w:val="1"/>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4.法定代表人资格证明书及法定代表人授权委托书</w:t>
      </w:r>
      <w:bookmarkEnd w:id="676"/>
      <w:bookmarkEnd w:id="677"/>
    </w:p>
    <w:p>
      <w:pPr>
        <w:bidi w:val="0"/>
        <w:spacing w:line="360" w:lineRule="auto"/>
        <w:jc w:val="center"/>
        <w:rPr>
          <w:rFonts w:hint="eastAsia"/>
          <w:b/>
          <w:bCs/>
          <w:color w:val="000000" w:themeColor="text1"/>
          <w:sz w:val="24"/>
          <w:szCs w:val="24"/>
          <w14:textFill>
            <w14:solidFill>
              <w14:schemeClr w14:val="tx1"/>
            </w14:solidFill>
          </w14:textFill>
        </w:rPr>
      </w:pPr>
      <w:bookmarkStart w:id="678" w:name="_Toc3070"/>
      <w:r>
        <w:rPr>
          <w:rFonts w:hint="eastAsia"/>
          <w:b/>
          <w:bCs/>
          <w:color w:val="000000" w:themeColor="text1"/>
          <w:sz w:val="24"/>
          <w:szCs w:val="24"/>
          <w14:textFill>
            <w14:solidFill>
              <w14:schemeClr w14:val="tx1"/>
            </w14:solidFill>
          </w14:textFill>
        </w:rPr>
        <w:t>法定代表人证明书</w:t>
      </w:r>
      <w:bookmarkEnd w:id="678"/>
    </w:p>
    <w:tbl>
      <w:tblPr>
        <w:tblStyle w:val="22"/>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159" w:type="dxa"/>
            <w:gridSpan w:val="5"/>
            <w:noWrap w:val="0"/>
            <w:vAlign w:val="center"/>
          </w:tcPr>
          <w:p>
            <w:pPr>
              <w:pageBreakBefore w:val="0"/>
              <w:overflowPunct/>
              <w:topLinePunct w:val="0"/>
              <w:bidi w:val="0"/>
              <w:spacing w:line="360" w:lineRule="auto"/>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陕西至诚项目管理集团有限公司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项目名称</w:t>
            </w:r>
          </w:p>
        </w:tc>
        <w:tc>
          <w:tcPr>
            <w:tcW w:w="8538" w:type="dxa"/>
            <w:gridSpan w:val="4"/>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项目编号</w:t>
            </w:r>
          </w:p>
        </w:tc>
        <w:tc>
          <w:tcPr>
            <w:tcW w:w="8538" w:type="dxa"/>
            <w:gridSpan w:val="4"/>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权   限</w:t>
            </w:r>
          </w:p>
        </w:tc>
        <w:tc>
          <w:tcPr>
            <w:tcW w:w="8538" w:type="dxa"/>
            <w:gridSpan w:val="4"/>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办理本次采购项目的磋商、联系、洽谈、签约、执行等具体事务，签署全部有关文件、文书、协议及合同。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621" w:type="dxa"/>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有效期</w:t>
            </w:r>
          </w:p>
        </w:tc>
        <w:tc>
          <w:tcPr>
            <w:tcW w:w="8538" w:type="dxa"/>
            <w:gridSpan w:val="4"/>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自磋商之日起计算有效期为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621" w:type="dxa"/>
            <w:vMerge w:val="restart"/>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企业</w:t>
            </w:r>
          </w:p>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信息</w:t>
            </w: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企 业 名 称 </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 定 地 址</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营业执照注册证号</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工商登记机关</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621" w:type="dxa"/>
            <w:vMerge w:val="continue"/>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网    址</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621" w:type="dxa"/>
            <w:vMerge w:val="restart"/>
            <w:noWrap w:val="0"/>
            <w:vAlign w:val="center"/>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w:t>
            </w:r>
          </w:p>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表人</w:t>
            </w: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姓    名</w:t>
            </w:r>
          </w:p>
        </w:tc>
        <w:tc>
          <w:tcPr>
            <w:tcW w:w="1965" w:type="dxa"/>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1336"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性    别</w:t>
            </w:r>
          </w:p>
        </w:tc>
        <w:tc>
          <w:tcPr>
            <w:tcW w:w="2767" w:type="dxa"/>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621" w:type="dxa"/>
            <w:vMerge w:val="continue"/>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职    务</w:t>
            </w:r>
          </w:p>
        </w:tc>
        <w:tc>
          <w:tcPr>
            <w:tcW w:w="1965" w:type="dxa"/>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1336"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联系电话</w:t>
            </w:r>
          </w:p>
        </w:tc>
        <w:tc>
          <w:tcPr>
            <w:tcW w:w="2767" w:type="dxa"/>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传    真</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2470" w:type="dxa"/>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通讯地址</w:t>
            </w:r>
          </w:p>
        </w:tc>
        <w:tc>
          <w:tcPr>
            <w:tcW w:w="6068" w:type="dxa"/>
            <w:gridSpan w:val="3"/>
            <w:noWrap w:val="0"/>
            <w:vAlign w:val="top"/>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4" w:hRule="exact"/>
          <w:jc w:val="center"/>
        </w:trPr>
        <w:tc>
          <w:tcPr>
            <w:tcW w:w="10159" w:type="dxa"/>
            <w:gridSpan w:val="5"/>
            <w:noWrap w:val="0"/>
            <w:vAlign w:val="top"/>
          </w:tcPr>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p>
            <w:pPr>
              <w:pStyle w:val="10"/>
              <w:pageBreakBefore w:val="0"/>
              <w:overflowPunct/>
              <w:topLinePunct w:val="0"/>
              <w:bidi w:val="0"/>
              <w:spacing w:line="360" w:lineRule="auto"/>
              <w:rPr>
                <w:rFonts w:hint="eastAsia" w:ascii="宋体" w:hAnsi="宋体" w:eastAsia="宋体" w:cs="宋体"/>
                <w:color w:val="000000" w:themeColor="text1"/>
                <w:sz w:val="22"/>
                <w:szCs w:val="18"/>
                <w:highlight w:val="none"/>
                <w14:textFill>
                  <w14:solidFill>
                    <w14:schemeClr w14:val="tx1"/>
                  </w14:solidFill>
                </w14:textFill>
              </w:rPr>
            </w:pPr>
          </w:p>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法定代表人身份证复印件</w:t>
            </w:r>
          </w:p>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p>
          <w:p>
            <w:pPr>
              <w:pageBreakBefore w:val="0"/>
              <w:overflowPunct/>
              <w:topLinePunct w:val="0"/>
              <w:bidi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二代身份证正、反两面都需复印</w:t>
            </w:r>
          </w:p>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0159" w:type="dxa"/>
            <w:gridSpan w:val="5"/>
            <w:noWrap w:val="0"/>
            <w:vAlign w:val="center"/>
          </w:tcPr>
          <w:p>
            <w:pPr>
              <w:pageBreakBefore w:val="0"/>
              <w:overflowPunct/>
              <w:topLinePunct w:val="0"/>
              <w:bidi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法定代表人签字或盖章：</w:t>
            </w:r>
          </w:p>
        </w:tc>
      </w:tr>
    </w:tbl>
    <w:p>
      <w:pPr>
        <w:pageBreakBefore w:val="0"/>
        <w:overflowPunct/>
        <w:topLinePunct w:val="0"/>
        <w:bidi w:val="0"/>
        <w:spacing w:line="360" w:lineRule="auto"/>
        <w:ind w:left="-146" w:leftChars="-176" w:hanging="224" w:hangingChars="102"/>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Cs/>
          <w:color w:val="000000" w:themeColor="text1"/>
          <w:sz w:val="22"/>
          <w:szCs w:val="21"/>
          <w:highlight w:val="none"/>
          <w14:textFill>
            <w14:solidFill>
              <w14:schemeClr w14:val="tx1"/>
            </w14:solidFill>
          </w14:textFill>
        </w:rPr>
        <w:t>供应商名称：</w:t>
      </w:r>
      <w:r>
        <w:rPr>
          <w:rFonts w:hint="eastAsia" w:ascii="宋体" w:hAnsi="宋体" w:eastAsia="宋体" w:cs="宋体"/>
          <w:bCs/>
          <w:color w:val="000000" w:themeColor="text1"/>
          <w:sz w:val="22"/>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2"/>
          <w:szCs w:val="21"/>
          <w:highlight w:val="none"/>
          <w14:textFill>
            <w14:solidFill>
              <w14:schemeClr w14:val="tx1"/>
            </w14:solidFill>
          </w14:textFill>
        </w:rPr>
        <w:t>（单位公章）            日 期：</w:t>
      </w:r>
      <w:r>
        <w:rPr>
          <w:rFonts w:hint="eastAsia" w:ascii="宋体" w:hAnsi="宋体" w:eastAsia="宋体" w:cs="宋体"/>
          <w:bCs/>
          <w:color w:val="000000" w:themeColor="text1"/>
          <w:sz w:val="22"/>
          <w:szCs w:val="21"/>
          <w:highlight w:val="none"/>
          <w:u w:val="single"/>
          <w14:textFill>
            <w14:solidFill>
              <w14:schemeClr w14:val="tx1"/>
            </w14:solidFill>
          </w14:textFill>
        </w:rPr>
        <w:t xml:space="preserve">             </w:t>
      </w:r>
    </w:p>
    <w:p>
      <w:pPr>
        <w:bidi w:val="0"/>
        <w:rPr>
          <w:rFonts w:hint="eastAsia"/>
          <w:color w:val="000000" w:themeColor="text1"/>
          <w14:textFill>
            <w14:solidFill>
              <w14:schemeClr w14:val="tx1"/>
            </w14:solidFill>
          </w14:textFill>
        </w:rPr>
        <w:sectPr>
          <w:headerReference r:id="rId17" w:type="first"/>
          <w:footerReference r:id="rId19" w:type="first"/>
          <w:headerReference r:id="rId16" w:type="default"/>
          <w:footerReference r:id="rId18" w:type="default"/>
          <w:endnotePr>
            <w:numFmt w:val="decimal"/>
          </w:endnotePr>
          <w:pgSz w:w="11907" w:h="16840"/>
          <w:pgMar w:top="1417" w:right="992" w:bottom="1418" w:left="1418" w:header="851" w:footer="850" w:gutter="0"/>
          <w:pgNumType w:fmt="decimal"/>
          <w:cols w:space="720" w:num="1"/>
          <w:titlePg/>
        </w:sectPr>
      </w:pPr>
      <w:bookmarkStart w:id="679" w:name="_Toc31243"/>
    </w:p>
    <w:p>
      <w:pPr>
        <w:bidi w:val="0"/>
        <w:spacing w:line="360" w:lineRule="auto"/>
        <w:jc w:val="center"/>
        <w:rPr>
          <w:rFonts w:hint="eastAsia"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14:textFill>
            <w14:solidFill>
              <w14:schemeClr w14:val="tx1"/>
            </w14:solidFill>
          </w14:textFill>
        </w:rPr>
        <w:t>法定代表人授权书</w:t>
      </w:r>
      <w:bookmarkEnd w:id="679"/>
    </w:p>
    <w:tbl>
      <w:tblPr>
        <w:tblStyle w:val="22"/>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19"/>
        <w:gridCol w:w="840"/>
        <w:gridCol w:w="1559"/>
        <w:gridCol w:w="2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20" w:type="dxa"/>
            <w:gridSpan w:val="7"/>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lang w:eastAsia="zh-CN"/>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致：</w:t>
            </w:r>
            <w:r>
              <w:rPr>
                <w:rFonts w:hint="eastAsia" w:ascii="宋体" w:hAnsi="宋体" w:eastAsia="宋体" w:cs="宋体"/>
                <w:bCs/>
                <w:caps/>
                <w:color w:val="000000" w:themeColor="text1"/>
                <w:sz w:val="24"/>
                <w:szCs w:val="24"/>
                <w:highlight w:val="none"/>
                <w:lang w:eastAsia="zh-CN"/>
                <w14:textFill>
                  <w14:solidFill>
                    <w14:schemeClr w14:val="tx1"/>
                  </w14:solidFill>
                </w14:textFill>
              </w:rPr>
              <w:t xml:space="preserve">陕西至诚项目管理集团有限公司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被授</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权项</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目与</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内容</w:t>
            </w:r>
          </w:p>
        </w:tc>
        <w:tc>
          <w:tcPr>
            <w:tcW w:w="1355" w:type="dxa"/>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项目名称</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项目编号</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ind w:firstLine="1200" w:firstLineChars="500"/>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授权范围</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全权办理本次采购项目的</w:t>
            </w:r>
            <w:r>
              <w:rPr>
                <w:rFonts w:hint="eastAsia" w:ascii="宋体" w:hAnsi="宋体" w:eastAsia="宋体" w:cs="宋体"/>
                <w:bCs/>
                <w:color w:val="000000" w:themeColor="text1"/>
                <w:sz w:val="24"/>
                <w:szCs w:val="24"/>
                <w:highlight w:val="none"/>
                <w14:textFill>
                  <w14:solidFill>
                    <w14:schemeClr w14:val="tx1"/>
                  </w14:solidFill>
                </w14:textFill>
              </w:rPr>
              <w:t>磋商</w:t>
            </w:r>
            <w:r>
              <w:rPr>
                <w:rFonts w:hint="eastAsia" w:ascii="宋体" w:hAnsi="宋体" w:eastAsia="宋体" w:cs="宋体"/>
                <w:bCs/>
                <w:caps/>
                <w:color w:val="000000" w:themeColor="text1"/>
                <w:sz w:val="24"/>
                <w:szCs w:val="24"/>
                <w:highlight w:val="none"/>
                <w14:textFill>
                  <w14:solidFill>
                    <w14:schemeClr w14:val="tx1"/>
                  </w14:solidFill>
                </w14:textFill>
              </w:rPr>
              <w:t>、联系、洽谈、签约、执行等具体事务，签署全部有关文件、文书、协议及合同。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法律责任</w:t>
            </w:r>
          </w:p>
        </w:tc>
        <w:tc>
          <w:tcPr>
            <w:tcW w:w="6763" w:type="dxa"/>
            <w:gridSpan w:val="5"/>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本公司对被授权人在本项目中的签名承担全部法律责任。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授权期限</w:t>
            </w:r>
          </w:p>
        </w:tc>
        <w:tc>
          <w:tcPr>
            <w:tcW w:w="6763" w:type="dxa"/>
            <w:gridSpan w:val="5"/>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本授权书自</w:t>
            </w:r>
            <w:r>
              <w:rPr>
                <w:rFonts w:hint="eastAsia" w:ascii="宋体" w:hAnsi="宋体" w:eastAsia="宋体" w:cs="宋体"/>
                <w:bCs/>
                <w:color w:val="000000" w:themeColor="text1"/>
                <w:sz w:val="24"/>
                <w:szCs w:val="24"/>
                <w:highlight w:val="none"/>
                <w14:textFill>
                  <w14:solidFill>
                    <w14:schemeClr w14:val="tx1"/>
                  </w14:solidFill>
                </w14:textFill>
              </w:rPr>
              <w:t>磋商</w:t>
            </w:r>
            <w:r>
              <w:rPr>
                <w:rFonts w:hint="eastAsia" w:ascii="宋体" w:hAnsi="宋体" w:eastAsia="宋体" w:cs="宋体"/>
                <w:bCs/>
                <w:caps/>
                <w:color w:val="000000" w:themeColor="text1"/>
                <w:sz w:val="24"/>
                <w:szCs w:val="24"/>
                <w:highlight w:val="none"/>
                <w14:textFill>
                  <w14:solidFill>
                    <w14:schemeClr w14:val="tx1"/>
                  </w14:solidFill>
                </w14:textFill>
              </w:rPr>
              <w:t>之日起计算有效期为</w:t>
            </w:r>
            <w:r>
              <w:rPr>
                <w:rFonts w:hint="eastAsia" w:ascii="宋体" w:hAnsi="宋体" w:eastAsia="宋体" w:cs="宋体"/>
                <w:bCs/>
                <w:cap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aps/>
                <w:color w:val="000000" w:themeColor="text1"/>
                <w:sz w:val="24"/>
                <w:szCs w:val="24"/>
                <w:highlight w:val="none"/>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企业信息</w:t>
            </w:r>
          </w:p>
        </w:tc>
        <w:tc>
          <w:tcPr>
            <w:tcW w:w="2489" w:type="dxa"/>
            <w:gridSpan w:val="2"/>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 xml:space="preserve">企 业 名 称 </w:t>
            </w:r>
          </w:p>
        </w:tc>
        <w:tc>
          <w:tcPr>
            <w:tcW w:w="5629"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489" w:type="dxa"/>
            <w:gridSpan w:val="2"/>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 定 地 址</w:t>
            </w:r>
          </w:p>
        </w:tc>
        <w:tc>
          <w:tcPr>
            <w:tcW w:w="5629"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2489" w:type="dxa"/>
            <w:gridSpan w:val="2"/>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营业执照注册证号</w:t>
            </w:r>
          </w:p>
        </w:tc>
        <w:tc>
          <w:tcPr>
            <w:tcW w:w="5629"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w:t>
            </w: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姓名</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性    别</w:t>
            </w:r>
          </w:p>
        </w:tc>
        <w:tc>
          <w:tcPr>
            <w:tcW w:w="2511"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职务</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手机号码</w:t>
            </w:r>
          </w:p>
        </w:tc>
        <w:tc>
          <w:tcPr>
            <w:tcW w:w="2511" w:type="dxa"/>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被授权人</w:t>
            </w: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姓名</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性    别</w:t>
            </w:r>
          </w:p>
        </w:tc>
        <w:tc>
          <w:tcPr>
            <w:tcW w:w="2511"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355"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职务</w:t>
            </w:r>
          </w:p>
        </w:tc>
        <w:tc>
          <w:tcPr>
            <w:tcW w:w="2693"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tc>
        <w:tc>
          <w:tcPr>
            <w:tcW w:w="1559" w:type="dxa"/>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手机号码</w:t>
            </w:r>
          </w:p>
        </w:tc>
        <w:tc>
          <w:tcPr>
            <w:tcW w:w="2511" w:type="dxa"/>
            <w:noWrap w:val="0"/>
            <w:vAlign w:val="top"/>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top"/>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通讯地址</w:t>
            </w:r>
          </w:p>
        </w:tc>
        <w:tc>
          <w:tcPr>
            <w:tcW w:w="8118" w:type="dxa"/>
            <w:gridSpan w:val="6"/>
            <w:noWrap w:val="0"/>
            <w:vAlign w:val="top"/>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5" w:hRule="atLeast"/>
          <w:jc w:val="center"/>
        </w:trPr>
        <w:tc>
          <w:tcPr>
            <w:tcW w:w="4910" w:type="dxa"/>
            <w:gridSpan w:val="4"/>
            <w:noWrap w:val="0"/>
            <w:vAlign w:val="center"/>
          </w:tcPr>
          <w:p>
            <w:pPr>
              <w:pageBreakBefore w:val="0"/>
              <w:tabs>
                <w:tab w:val="right" w:leader="dot" w:pos="9022"/>
              </w:tabs>
              <w:overflowPunct/>
              <w:topLinePunct w:val="0"/>
              <w:autoSpaceDE w:val="0"/>
              <w:autoSpaceDN w:val="0"/>
              <w:bidi w:val="0"/>
              <w:adjustRightInd w:val="0"/>
              <w:spacing w:line="360" w:lineRule="auto"/>
              <w:rPr>
                <w:rFonts w:hint="eastAsia" w:ascii="宋体" w:hAnsi="宋体" w:eastAsia="宋体" w:cs="宋体"/>
                <w:bCs/>
                <w:caps/>
                <w:color w:val="000000" w:themeColor="text1"/>
                <w:sz w:val="24"/>
                <w:szCs w:val="24"/>
                <w:highlight w:val="none"/>
                <w14:textFill>
                  <w14:solidFill>
                    <w14:schemeClr w14:val="tx1"/>
                  </w14:solidFill>
                </w14:textFill>
              </w:rPr>
            </w:pP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法定代表人身份证复印件</w:t>
            </w: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二代身份证正、反两面都需复印</w:t>
            </w:r>
          </w:p>
          <w:p>
            <w:pPr>
              <w:pStyle w:val="10"/>
              <w:pageBreakBefore w:val="0"/>
              <w:overflowPunct/>
              <w:topLinePunct w:val="0"/>
              <w:bidi w:val="0"/>
              <w:spacing w:line="360" w:lineRule="auto"/>
              <w:ind w:left="0" w:leftChars="0" w:firstLine="0" w:firstLineChars="0"/>
              <w:rPr>
                <w:rFonts w:hint="eastAsia" w:ascii="宋体" w:hAnsi="宋体" w:eastAsia="宋体" w:cs="宋体"/>
                <w:color w:val="000000" w:themeColor="text1"/>
                <w:sz w:val="22"/>
                <w:szCs w:val="18"/>
                <w:highlight w:val="none"/>
                <w14:textFill>
                  <w14:solidFill>
                    <w14:schemeClr w14:val="tx1"/>
                  </w14:solidFill>
                </w14:textFill>
              </w:rPr>
            </w:pPr>
          </w:p>
        </w:tc>
        <w:tc>
          <w:tcPr>
            <w:tcW w:w="4910" w:type="dxa"/>
            <w:gridSpan w:val="3"/>
            <w:noWrap w:val="0"/>
            <w:vAlign w:val="center"/>
          </w:tcPr>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被授权人身份证复印件</w:t>
            </w:r>
          </w:p>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p>
          <w:p>
            <w:pPr>
              <w:pageBreakBefore w:val="0"/>
              <w:tabs>
                <w:tab w:val="right" w:leader="dot" w:pos="9022"/>
              </w:tabs>
              <w:overflowPunct/>
              <w:topLinePunct w:val="0"/>
              <w:autoSpaceDE w:val="0"/>
              <w:autoSpaceDN w:val="0"/>
              <w:bidi w:val="0"/>
              <w:adjustRightInd w:val="0"/>
              <w:spacing w:line="360" w:lineRule="auto"/>
              <w:jc w:val="center"/>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二代身份证正、反两面都需复印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820" w:type="dxa"/>
            <w:gridSpan w:val="7"/>
            <w:tcBorders>
              <w:bottom w:val="single" w:color="auto" w:sz="4" w:space="0"/>
            </w:tcBorders>
            <w:noWrap w:val="0"/>
            <w:vAlign w:val="center"/>
          </w:tcPr>
          <w:p>
            <w:pPr>
              <w:pageBreakBefore w:val="0"/>
              <w:tabs>
                <w:tab w:val="right" w:leader="dot" w:pos="9022"/>
              </w:tabs>
              <w:overflowPunct/>
              <w:topLinePunct w:val="0"/>
              <w:autoSpaceDE w:val="0"/>
              <w:autoSpaceDN w:val="0"/>
              <w:bidi w:val="0"/>
              <w:adjustRightInd w:val="0"/>
              <w:spacing w:line="360" w:lineRule="auto"/>
              <w:jc w:val="left"/>
              <w:rPr>
                <w:rFonts w:hint="eastAsia" w:ascii="宋体" w:hAnsi="宋体" w:eastAsia="宋体" w:cs="宋体"/>
                <w:bCs/>
                <w:caps/>
                <w:color w:val="000000" w:themeColor="text1"/>
                <w:sz w:val="24"/>
                <w:szCs w:val="24"/>
                <w:highlight w:val="none"/>
                <w14:textFill>
                  <w14:solidFill>
                    <w14:schemeClr w14:val="tx1"/>
                  </w14:solidFill>
                </w14:textFill>
              </w:rPr>
            </w:pPr>
            <w:r>
              <w:rPr>
                <w:rFonts w:hint="eastAsia" w:ascii="宋体" w:hAnsi="宋体" w:eastAsia="宋体" w:cs="宋体"/>
                <w:bCs/>
                <w:caps/>
                <w:color w:val="000000" w:themeColor="text1"/>
                <w:sz w:val="24"/>
                <w:szCs w:val="24"/>
                <w:highlight w:val="none"/>
                <w14:textFill>
                  <w14:solidFill>
                    <w14:schemeClr w14:val="tx1"/>
                  </w14:solidFill>
                </w14:textFill>
              </w:rPr>
              <w:t>法定代表人及被授权人签字或盖章：</w:t>
            </w:r>
          </w:p>
        </w:tc>
      </w:tr>
    </w:tbl>
    <w:p>
      <w:pPr>
        <w:pageBreakBefore w:val="0"/>
        <w:overflowPunct/>
        <w:topLinePunct w:val="0"/>
        <w:bidi w:val="0"/>
        <w:spacing w:line="360" w:lineRule="auto"/>
        <w:rPr>
          <w:rFonts w:hint="eastAsia" w:ascii="宋体" w:hAnsi="宋体" w:eastAsia="宋体" w:cs="宋体"/>
          <w:bCs/>
          <w:color w:val="000000" w:themeColor="text1"/>
          <w:sz w:val="22"/>
          <w:szCs w:val="21"/>
          <w:highlight w:val="none"/>
          <w:u w:val="single"/>
          <w14:textFill>
            <w14:solidFill>
              <w14:schemeClr w14:val="tx1"/>
            </w14:solidFill>
          </w14:textFill>
        </w:rPr>
      </w:pPr>
      <w:r>
        <w:rPr>
          <w:rFonts w:hint="eastAsia" w:ascii="宋体" w:hAnsi="宋体" w:eastAsia="宋体" w:cs="宋体"/>
          <w:bCs/>
          <w:color w:val="000000" w:themeColor="text1"/>
          <w:sz w:val="22"/>
          <w:szCs w:val="20"/>
          <w:highlight w:val="none"/>
          <w14:textFill>
            <w14:solidFill>
              <w14:schemeClr w14:val="tx1"/>
            </w14:solidFill>
          </w14:textFill>
        </w:rPr>
        <w:t>供应商名称：</w:t>
      </w:r>
      <w:r>
        <w:rPr>
          <w:rFonts w:hint="eastAsia" w:ascii="宋体" w:hAnsi="宋体" w:eastAsia="宋体" w:cs="宋体"/>
          <w:bCs/>
          <w:color w:val="000000" w:themeColor="text1"/>
          <w:sz w:val="22"/>
          <w:szCs w:val="20"/>
          <w:highlight w:val="none"/>
          <w:u w:val="single"/>
          <w14:textFill>
            <w14:solidFill>
              <w14:schemeClr w14:val="tx1"/>
            </w14:solidFill>
          </w14:textFill>
        </w:rPr>
        <w:t xml:space="preserve">             </w:t>
      </w:r>
      <w:r>
        <w:rPr>
          <w:rFonts w:hint="eastAsia" w:ascii="宋体" w:hAnsi="宋体" w:eastAsia="宋体" w:cs="宋体"/>
          <w:bCs/>
          <w:color w:val="000000" w:themeColor="text1"/>
          <w:sz w:val="22"/>
          <w:szCs w:val="20"/>
          <w:highlight w:val="none"/>
          <w14:textFill>
            <w14:solidFill>
              <w14:schemeClr w14:val="tx1"/>
            </w14:solidFill>
          </w14:textFill>
        </w:rPr>
        <w:t>（单位公章）                     日 期：</w:t>
      </w:r>
      <w:r>
        <w:rPr>
          <w:rFonts w:hint="eastAsia" w:ascii="宋体" w:hAnsi="宋体" w:eastAsia="宋体" w:cs="宋体"/>
          <w:bCs/>
          <w:color w:val="000000" w:themeColor="text1"/>
          <w:sz w:val="22"/>
          <w:szCs w:val="21"/>
          <w:highlight w:val="none"/>
          <w:u w:val="single"/>
          <w14:textFill>
            <w14:solidFill>
              <w14:schemeClr w14:val="tx1"/>
            </w14:solidFill>
          </w14:textFill>
        </w:rPr>
        <w:t xml:space="preserve">             </w:t>
      </w:r>
    </w:p>
    <w:p>
      <w:pPr>
        <w:bidi w:val="0"/>
        <w:rPr>
          <w:rFonts w:hint="eastAsia"/>
          <w:color w:val="000000" w:themeColor="text1"/>
          <w14:textFill>
            <w14:solidFill>
              <w14:schemeClr w14:val="tx1"/>
            </w14:solidFill>
          </w14:textFill>
        </w:rPr>
        <w:sectPr>
          <w:endnotePr>
            <w:numFmt w:val="decimal"/>
          </w:endnotePr>
          <w:pgSz w:w="11907" w:h="16840"/>
          <w:pgMar w:top="1418" w:right="992" w:bottom="1418" w:left="1418" w:header="851" w:footer="850" w:gutter="0"/>
          <w:pgNumType w:fmt="decimal"/>
          <w:cols w:space="720" w:num="1"/>
          <w:titlePg/>
        </w:sectPr>
      </w:pPr>
      <w:bookmarkStart w:id="680" w:name="_Toc492391877"/>
      <w:bookmarkStart w:id="681" w:name="_Toc18901"/>
      <w:bookmarkStart w:id="682" w:name="_Toc497842266"/>
    </w:p>
    <w:p>
      <w:pPr>
        <w:pageBreakBefore w:val="0"/>
        <w:widowControl/>
        <w:overflowPunct/>
        <w:topLinePunct w:val="0"/>
        <w:bidi w:val="0"/>
        <w:spacing w:line="360" w:lineRule="auto"/>
        <w:jc w:val="left"/>
        <w:outlineLvl w:val="1"/>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5.</w:t>
      </w:r>
      <w:bookmarkEnd w:id="680"/>
      <w:bookmarkEnd w:id="681"/>
      <w:bookmarkEnd w:id="682"/>
      <w:r>
        <w:rPr>
          <w:rFonts w:hint="eastAsia" w:ascii="宋体" w:hAnsi="宋体" w:eastAsia="宋体" w:cs="宋体"/>
          <w:b/>
          <w:color w:val="000000" w:themeColor="text1"/>
          <w:sz w:val="28"/>
          <w:szCs w:val="28"/>
          <w:highlight w:val="none"/>
          <w:lang w:eastAsia="zh-CN"/>
          <w14:textFill>
            <w14:solidFill>
              <w14:schemeClr w14:val="tx1"/>
            </w14:solidFill>
          </w14:textFill>
        </w:rPr>
        <w:t>资格证明文件</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bookmarkStart w:id="683" w:name="_Toc497842263"/>
      <w:bookmarkStart w:id="684" w:name="_Toc193126904"/>
      <w:bookmarkStart w:id="685" w:name="_Toc193187110"/>
      <w:bookmarkStart w:id="686" w:name="_Toc194663941"/>
      <w:bookmarkStart w:id="687" w:name="_Toc188808854"/>
      <w:bookmarkStart w:id="688" w:name="_Toc188808842"/>
      <w:bookmarkStart w:id="689" w:name="_Toc193126891"/>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具有独立承担民事责任能力的法人、其他组织或自然人，并出具合法有效的统一社会信用代码的营业执照或事业单位法人证书等国家规定的相关证明，自然人参与的提供其身份证明。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财务状况：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提供2024年度或2025年度的财务审计报告（成立时间至提交投标文件截止时间不足一年的可提供成立后任意时段的资产负债表），或开标前半年内其基本存款账户开户银行出具的资信证明。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完税证明：</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月至今已缴纳的至少三个月的纳税证明或完税证明，依法免税的单位应提供相关证明材料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社保缴纳情况：</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提供2025年</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参加本次政府采购活动前三年内，在经营活动中没有重大违法记录声明。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提供具有履行合同所必需的设备和专业技术能力的承诺函（格式自拟）。</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法定代表人授权书（附法定代表人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身份证复印件）及被授权人</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加盖公章的</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（法定代表人直接参加磋商只需提供法定代表人身份证</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复印件加盖公章</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供应商须具备建设行政主管部门颁发的建筑工程施工总承包三级及以上资质且具有有效的安全生产许可证</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拟派项目经理须具备行政主管部门颁发建筑工程专业二级(含二级)以上注册建造师资格且具有有效的安全生产考核合格的B证书且无在建工程</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）本项目为专门面向中小企业（提供声明）。</w:t>
      </w:r>
    </w:p>
    <w:p>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）本项目不接受联合体磋商（提供声明）。</w:t>
      </w:r>
    </w:p>
    <w:p>
      <w:pPr>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br w:type="page"/>
      </w:r>
    </w:p>
    <w:bookmarkEnd w:id="683"/>
    <w:p>
      <w:pPr>
        <w:pStyle w:val="4"/>
        <w:pageBreakBefore w:val="0"/>
        <w:kinsoku/>
        <w:wordWrap/>
        <w:overflowPunct/>
        <w:topLinePunct w:val="0"/>
        <w:bidi w:val="0"/>
        <w:spacing w:line="360" w:lineRule="auto"/>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bookmarkStart w:id="690" w:name="_Toc31803"/>
      <w:bookmarkStart w:id="691" w:name="_Toc497842264"/>
      <w:bookmarkStart w:id="692" w:name="_Toc19114"/>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w:t>
      </w:r>
      <w:bookmarkEnd w:id="690"/>
      <w:bookmarkEnd w:id="691"/>
      <w:bookmarkEnd w:id="692"/>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施工组织设计</w:t>
      </w:r>
      <w:r>
        <w:rPr>
          <w:rFonts w:hint="eastAsia" w:ascii="宋体" w:hAnsi="宋体" w:eastAsia="宋体" w:cs="宋体"/>
          <w:color w:val="000000" w:themeColor="text1"/>
          <w:sz w:val="28"/>
          <w:szCs w:val="28"/>
          <w:highlight w:val="none"/>
          <w:lang w:val="en-US" w:eastAsia="zh-CN"/>
          <w14:textFill>
            <w14:solidFill>
              <w14:schemeClr w14:val="tx1"/>
            </w14:solidFill>
          </w14:textFill>
        </w:rPr>
        <w:t>（根据施工内容及评分标准自拟</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w:t>
      </w:r>
    </w:p>
    <w:p>
      <w:pPr>
        <w:spacing w:line="360" w:lineRule="auto"/>
        <w:rPr>
          <w:rStyle w:val="56"/>
          <w:rFonts w:ascii="宋体" w:hAnsi="宋体" w:eastAsia="宋体"/>
          <w:b/>
          <w:color w:val="000000" w:themeColor="text1"/>
          <w:kern w:val="2"/>
          <w:sz w:val="24"/>
          <w:szCs w:val="24"/>
          <w:highlight w:val="none"/>
          <w:lang w:val="en-US" w:eastAsia="zh-CN" w:bidi="ar-SA"/>
          <w14:textFill>
            <w14:solidFill>
              <w14:schemeClr w14:val="tx1"/>
            </w14:solidFill>
          </w14:textFill>
        </w:rPr>
      </w:pPr>
      <w:r>
        <w:rPr>
          <w:rStyle w:val="56"/>
          <w:rFonts w:ascii="宋体" w:hAnsi="宋体" w:eastAsia="宋体"/>
          <w:b/>
          <w:color w:val="000000" w:themeColor="text1"/>
          <w:kern w:val="2"/>
          <w:sz w:val="24"/>
          <w:szCs w:val="24"/>
          <w:highlight w:val="none"/>
          <w:lang w:val="en-US" w:eastAsia="zh-CN" w:bidi="ar-SA"/>
          <w14:textFill>
            <w14:solidFill>
              <w14:schemeClr w14:val="tx1"/>
            </w14:solidFill>
          </w14:textFill>
        </w:rPr>
        <w:t>附表</w:t>
      </w:r>
    </w:p>
    <w:p>
      <w:pPr>
        <w:bidi w:val="0"/>
        <w:spacing w:line="360" w:lineRule="auto"/>
        <w:jc w:val="center"/>
        <w:rPr>
          <w:b/>
          <w:bCs/>
          <w:color w:val="000000" w:themeColor="text1"/>
          <w:sz w:val="24"/>
          <w:szCs w:val="24"/>
          <w:lang w:val="en-US" w:eastAsia="zh-CN"/>
          <w14:textFill>
            <w14:solidFill>
              <w14:schemeClr w14:val="tx1"/>
            </w14:solidFill>
          </w14:textFill>
        </w:rPr>
      </w:pPr>
      <w:bookmarkStart w:id="693" w:name="_Toc24456"/>
      <w:r>
        <w:rPr>
          <w:b/>
          <w:bCs/>
          <w:color w:val="000000" w:themeColor="text1"/>
          <w:sz w:val="24"/>
          <w:szCs w:val="24"/>
          <w:lang w:val="en-US" w:eastAsia="zh-CN"/>
          <w14:textFill>
            <w14:solidFill>
              <w14:schemeClr w14:val="tx1"/>
            </w14:solidFill>
          </w14:textFill>
        </w:rPr>
        <w:t>拟在本合同工程任职的主要人员简历表</w:t>
      </w:r>
      <w:bookmarkEnd w:id="693"/>
    </w:p>
    <w:tbl>
      <w:tblPr>
        <w:tblStyle w:val="22"/>
        <w:tblW w:w="976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680"/>
        <w:gridCol w:w="949"/>
        <w:gridCol w:w="379"/>
        <w:gridCol w:w="1248"/>
        <w:gridCol w:w="1627"/>
        <w:gridCol w:w="721"/>
        <w:gridCol w:w="906"/>
        <w:gridCol w:w="608"/>
        <w:gridCol w:w="1122"/>
        <w:gridCol w:w="203"/>
        <w:gridCol w:w="132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1629" w:type="dxa"/>
            <w:gridSpan w:val="2"/>
            <w:tcBorders>
              <w:top w:val="single" w:color="000000" w:sz="12" w:space="0"/>
              <w:left w:val="single" w:color="000000" w:sz="12"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姓  名</w:t>
            </w:r>
          </w:p>
        </w:tc>
        <w:tc>
          <w:tcPr>
            <w:tcW w:w="1627" w:type="dxa"/>
            <w:gridSpan w:val="2"/>
            <w:tcBorders>
              <w:top w:val="single" w:color="000000" w:sz="12"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627" w:type="dxa"/>
            <w:tcBorders>
              <w:top w:val="single" w:color="000000" w:sz="12"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年  龄</w:t>
            </w:r>
          </w:p>
        </w:tc>
        <w:tc>
          <w:tcPr>
            <w:tcW w:w="1627" w:type="dxa"/>
            <w:gridSpan w:val="2"/>
            <w:tcBorders>
              <w:top w:val="single" w:color="000000" w:sz="12"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730" w:type="dxa"/>
            <w:gridSpan w:val="2"/>
            <w:tcBorders>
              <w:top w:val="single" w:color="000000" w:sz="12"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hint="eastAsia" w:ascii="宋体" w:hAnsi="宋体"/>
                <w:color w:val="000000" w:themeColor="text1"/>
                <w:kern w:val="0"/>
                <w:sz w:val="24"/>
                <w:szCs w:val="22"/>
                <w:highlight w:val="none"/>
                <w:lang w:val="en-US" w:eastAsia="zh-CN" w:bidi="ar-SA"/>
                <w14:textFill>
                  <w14:solidFill>
                    <w14:schemeClr w14:val="tx1"/>
                  </w14:solidFill>
                </w14:textFill>
              </w:rPr>
              <w:t>学  历</w:t>
            </w:r>
          </w:p>
        </w:tc>
        <w:tc>
          <w:tcPr>
            <w:tcW w:w="1528" w:type="dxa"/>
            <w:gridSpan w:val="2"/>
            <w:tcBorders>
              <w:top w:val="single" w:color="000000" w:sz="12" w:space="0"/>
              <w:left w:val="single" w:color="000000" w:sz="4" w:space="0"/>
              <w:bottom w:val="single" w:color="000000" w:sz="4" w:space="0"/>
              <w:right w:val="single" w:color="000000" w:sz="12"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1629" w:type="dxa"/>
            <w:gridSpan w:val="2"/>
            <w:tcBorders>
              <w:top w:val="single" w:color="000000" w:sz="4" w:space="0"/>
              <w:left w:val="single" w:color="000000" w:sz="12"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职  称</w:t>
            </w:r>
          </w:p>
        </w:tc>
        <w:tc>
          <w:tcPr>
            <w:tcW w:w="1627"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627" w:type="dxa"/>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职  务</w:t>
            </w:r>
          </w:p>
        </w:tc>
        <w:tc>
          <w:tcPr>
            <w:tcW w:w="1627"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73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拟在本合同工程担任职务</w:t>
            </w:r>
          </w:p>
        </w:tc>
        <w:tc>
          <w:tcPr>
            <w:tcW w:w="1528" w:type="dxa"/>
            <w:gridSpan w:val="2"/>
            <w:tcBorders>
              <w:top w:val="single" w:color="000000" w:sz="4" w:space="0"/>
              <w:left w:val="single" w:color="000000" w:sz="4" w:space="0"/>
              <w:bottom w:val="single" w:color="000000" w:sz="4" w:space="0"/>
              <w:right w:val="single" w:color="000000" w:sz="12"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680" w:type="dxa"/>
            <w:vMerge w:val="restart"/>
            <w:tcBorders>
              <w:top w:val="single" w:color="000000" w:sz="4" w:space="0"/>
              <w:left w:val="single" w:color="000000" w:sz="12"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从</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事</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类</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似</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工</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程</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施</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工</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业</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绩</w:t>
            </w:r>
          </w:p>
        </w:tc>
        <w:tc>
          <w:tcPr>
            <w:tcW w:w="132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年～年</w:t>
            </w:r>
          </w:p>
        </w:tc>
        <w:tc>
          <w:tcPr>
            <w:tcW w:w="359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参加过施工的工程项目</w:t>
            </w:r>
          </w:p>
        </w:tc>
        <w:tc>
          <w:tcPr>
            <w:tcW w:w="1514"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担任何职</w:t>
            </w:r>
          </w:p>
        </w:tc>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widowControl/>
              <w:spacing w:after="0" w:line="360" w:lineRule="auto"/>
              <w:jc w:val="both"/>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工程资</w:t>
            </w:r>
          </w:p>
          <w:p>
            <w:pPr>
              <w:pStyle w:val="57"/>
              <w:keepNext w:val="0"/>
              <w:keepLines w:val="0"/>
              <w:pageBreakBefore w:val="0"/>
              <w:widowControl/>
              <w:kinsoku/>
              <w:wordWrap/>
              <w:overflowPunct/>
              <w:topLinePunct w:val="0"/>
              <w:autoSpaceDE/>
              <w:autoSpaceDN/>
              <w:bidi w:val="0"/>
              <w:adjustRightInd/>
              <w:snapToGrid/>
              <w:spacing w:after="0" w:line="360" w:lineRule="auto"/>
              <w:ind w:firstLine="0" w:firstLineChars="0"/>
              <w:jc w:val="both"/>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hint="eastAsia" w:ascii="宋体" w:hAnsi="宋体"/>
                <w:color w:val="000000" w:themeColor="text1"/>
                <w:kern w:val="0"/>
                <w:sz w:val="24"/>
                <w:szCs w:val="22"/>
                <w:highlight w:val="none"/>
                <w:lang w:val="en-US" w:eastAsia="zh-CN" w:bidi="ar-SA"/>
                <w14:textFill>
                  <w14:solidFill>
                    <w14:schemeClr w14:val="tx1"/>
                  </w14:solidFill>
                </w14:textFill>
              </w:rPr>
              <w:t>（</w:t>
            </w: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万元）</w:t>
            </w:r>
          </w:p>
        </w:tc>
        <w:tc>
          <w:tcPr>
            <w:tcW w:w="1325" w:type="dxa"/>
            <w:tcBorders>
              <w:top w:val="single" w:color="000000" w:sz="4" w:space="0"/>
              <w:left w:val="single" w:color="000000" w:sz="4" w:space="0"/>
              <w:bottom w:val="single" w:color="000000" w:sz="4" w:space="0"/>
              <w:right w:val="single" w:color="000000" w:sz="12"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质量</w:t>
            </w:r>
          </w:p>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r>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t>评定</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94" w:hRule="atLeast"/>
          <w:jc w:val="center"/>
        </w:trPr>
        <w:tc>
          <w:tcPr>
            <w:tcW w:w="680" w:type="dxa"/>
            <w:vMerge w:val="continue"/>
            <w:tcBorders>
              <w:top w:val="single" w:color="000000" w:sz="4" w:space="0"/>
              <w:left w:val="single" w:color="000000" w:sz="12" w:space="0"/>
              <w:bottom w:val="single" w:color="000000" w:sz="12"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328" w:type="dxa"/>
            <w:gridSpan w:val="2"/>
            <w:tcBorders>
              <w:top w:val="single" w:color="000000" w:sz="4" w:space="0"/>
              <w:left w:val="single" w:color="000000" w:sz="4" w:space="0"/>
              <w:bottom w:val="single" w:color="000000" w:sz="12"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3596" w:type="dxa"/>
            <w:gridSpan w:val="3"/>
            <w:tcBorders>
              <w:top w:val="single" w:color="000000" w:sz="4" w:space="0"/>
              <w:left w:val="single" w:color="000000" w:sz="4" w:space="0"/>
              <w:bottom w:val="single" w:color="000000" w:sz="12"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514" w:type="dxa"/>
            <w:gridSpan w:val="2"/>
            <w:tcBorders>
              <w:top w:val="single" w:color="000000" w:sz="4" w:space="0"/>
              <w:left w:val="single" w:color="000000" w:sz="4" w:space="0"/>
              <w:bottom w:val="single" w:color="000000" w:sz="12"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325" w:type="dxa"/>
            <w:gridSpan w:val="2"/>
            <w:tcBorders>
              <w:top w:val="single" w:color="000000" w:sz="4" w:space="0"/>
              <w:left w:val="single" w:color="000000" w:sz="4" w:space="0"/>
              <w:bottom w:val="single" w:color="000000" w:sz="12" w:space="0"/>
              <w:right w:val="single" w:color="000000" w:sz="4"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c>
          <w:tcPr>
            <w:tcW w:w="1325" w:type="dxa"/>
            <w:tcBorders>
              <w:top w:val="single" w:color="000000" w:sz="4" w:space="0"/>
              <w:left w:val="single" w:color="000000" w:sz="4" w:space="0"/>
              <w:bottom w:val="single" w:color="000000" w:sz="12" w:space="0"/>
              <w:right w:val="single" w:color="000000" w:sz="12" w:space="0"/>
            </w:tcBorders>
            <w:noWrap w:val="0"/>
            <w:vAlign w:val="center"/>
          </w:tcPr>
          <w:p>
            <w:pPr>
              <w:pStyle w:val="57"/>
              <w:widowControl/>
              <w:spacing w:after="0" w:line="360" w:lineRule="auto"/>
              <w:ind w:firstLineChars="0"/>
              <w:jc w:val="center"/>
              <w:textAlignment w:val="baseline"/>
              <w:rPr>
                <w:rStyle w:val="56"/>
                <w:rFonts w:ascii="宋体" w:hAnsi="宋体" w:eastAsia="宋体"/>
                <w:color w:val="000000" w:themeColor="text1"/>
                <w:kern w:val="0"/>
                <w:sz w:val="24"/>
                <w:szCs w:val="22"/>
                <w:highlight w:val="none"/>
                <w:lang w:val="en-US" w:eastAsia="zh-CN" w:bidi="ar-SA"/>
                <w14:textFill>
                  <w14:solidFill>
                    <w14:schemeClr w14:val="tx1"/>
                  </w14:solidFill>
                </w14:textFill>
              </w:rPr>
            </w:pPr>
          </w:p>
        </w:tc>
      </w:tr>
    </w:tbl>
    <w:p>
      <w:pPr>
        <w:pageBreakBefore w:val="0"/>
        <w:kinsoku/>
        <w:wordWrap/>
        <w:overflowPunct/>
        <w:topLinePunct w:val="0"/>
        <w:bidi w:val="0"/>
        <w:spacing w:line="360" w:lineRule="auto"/>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附：相关人员资格证书的复印件</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（若有）</w:t>
      </w:r>
    </w:p>
    <w:p>
      <w:pPr>
        <w:pageBreakBefore w:val="0"/>
        <w:tabs>
          <w:tab w:val="left" w:pos="1620"/>
        </w:tabs>
        <w:overflowPunct/>
        <w:topLinePunct w:val="0"/>
        <w:bidi w:val="0"/>
        <w:spacing w:line="360" w:lineRule="auto"/>
        <w:ind w:firstLine="840" w:firstLineChars="300"/>
        <w:rPr>
          <w:rFonts w:hint="eastAsia" w:ascii="宋体" w:hAnsi="宋体" w:eastAsia="宋体" w:cs="宋体"/>
          <w:color w:val="000000" w:themeColor="text1"/>
          <w:sz w:val="28"/>
          <w:szCs w:val="28"/>
          <w:highlight w:val="none"/>
          <w14:textFill>
            <w14:solidFill>
              <w14:schemeClr w14:val="tx1"/>
            </w14:solidFill>
          </w14:textFill>
        </w:rPr>
      </w:pPr>
    </w:p>
    <w:p>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bookmarkStart w:id="694" w:name="_Toc14762"/>
    </w:p>
    <w:p>
      <w:pPr>
        <w:pageBreakBefore w:val="0"/>
        <w:widowControl/>
        <w:overflowPunct/>
        <w:topLinePunct w:val="0"/>
        <w:bidi w:val="0"/>
        <w:adjustRightInd w:val="0"/>
        <w:snapToGrid w:val="0"/>
        <w:spacing w:before="120" w:beforeLines="50" w:after="200" w:line="360" w:lineRule="auto"/>
        <w:jc w:val="left"/>
        <w:outlineLvl w:val="1"/>
        <w:rPr>
          <w:rFonts w:hint="default" w:asciiTheme="minorEastAsia" w:hAnsiTheme="minorEastAsia" w:eastAsiaTheme="minorEastAsia" w:cstheme="minorEastAsia"/>
          <w:b/>
          <w:bCs/>
          <w:color w:val="000000" w:themeColor="text1"/>
          <w:kern w:val="1"/>
          <w:sz w:val="28"/>
          <w:szCs w:val="28"/>
          <w:highlight w:val="none"/>
          <w:lang w:val="en-US" w:eastAsia="zh-CN" w:bidi="ar-SA"/>
          <w14:textFill>
            <w14:solidFill>
              <w14:schemeClr w14:val="tx1"/>
            </w14:solidFill>
          </w14:textFill>
        </w:rPr>
      </w:pPr>
      <w:r>
        <w:rPr>
          <w:rFonts w:hint="eastAsia" w:asciiTheme="minorEastAsia" w:hAnsiTheme="minorEastAsia" w:cstheme="minorEastAsia"/>
          <w:b/>
          <w:bCs/>
          <w:color w:val="000000" w:themeColor="text1"/>
          <w:kern w:val="1"/>
          <w:sz w:val="28"/>
          <w:szCs w:val="28"/>
          <w:highlight w:val="none"/>
          <w:lang w:val="en-US" w:eastAsia="zh-CN" w:bidi="ar-SA"/>
          <w14:textFill>
            <w14:solidFill>
              <w14:schemeClr w14:val="tx1"/>
            </w14:solidFill>
          </w14:textFill>
        </w:rPr>
        <w:t>7</w:t>
      </w:r>
      <w:r>
        <w:rPr>
          <w:rFonts w:hint="eastAsia" w:asciiTheme="minorEastAsia" w:hAnsiTheme="minorEastAsia" w:eastAsiaTheme="minorEastAsia" w:cstheme="minorEastAsia"/>
          <w:b/>
          <w:bCs/>
          <w:color w:val="000000" w:themeColor="text1"/>
          <w:kern w:val="1"/>
          <w:sz w:val="28"/>
          <w:szCs w:val="28"/>
          <w:highlight w:val="none"/>
          <w:lang w:val="en-US" w:eastAsia="zh-CN" w:bidi="ar-SA"/>
          <w14:textFill>
            <w14:solidFill>
              <w14:schemeClr w14:val="tx1"/>
            </w14:solidFill>
          </w14:textFill>
        </w:rPr>
        <w:t>.</w:t>
      </w:r>
      <w:bookmarkStart w:id="695" w:name="_Toc497842265"/>
      <w:r>
        <w:rPr>
          <w:rFonts w:hint="eastAsia" w:asciiTheme="minorEastAsia" w:hAnsiTheme="minorEastAsia" w:eastAsiaTheme="minorEastAsia" w:cstheme="minorEastAsia"/>
          <w:b/>
          <w:bCs/>
          <w:color w:val="000000" w:themeColor="text1"/>
          <w:kern w:val="1"/>
          <w:sz w:val="28"/>
          <w:szCs w:val="28"/>
          <w:highlight w:val="none"/>
          <w:lang w:val="en-US" w:eastAsia="zh-CN" w:bidi="ar-SA"/>
          <w14:textFill>
            <w14:solidFill>
              <w14:schemeClr w14:val="tx1"/>
            </w14:solidFill>
          </w14:textFill>
        </w:rPr>
        <w:t>业绩</w:t>
      </w:r>
    </w:p>
    <w:p>
      <w:pPr>
        <w:bidi w:val="0"/>
        <w:rPr>
          <w:rFonts w:hint="eastAsia"/>
          <w:color w:val="000000" w:themeColor="text1"/>
          <w:lang w:eastAsia="zh-CN"/>
          <w14:textFill>
            <w14:solidFill>
              <w14:schemeClr w14:val="tx1"/>
            </w14:solidFill>
          </w14:textFill>
        </w:rPr>
      </w:pPr>
    </w:p>
    <w:p>
      <w:pPr>
        <w:pStyle w:val="14"/>
        <w:rPr>
          <w:rFonts w:hint="eastAsia"/>
          <w:color w:val="000000" w:themeColor="text1"/>
          <w:lang w:eastAsia="zh-CN"/>
          <w14:textFill>
            <w14:solidFill>
              <w14:schemeClr w14:val="tx1"/>
            </w14:solidFill>
          </w14:textFill>
        </w:rPr>
      </w:pPr>
    </w:p>
    <w:p>
      <w:pPr>
        <w:pStyle w:val="14"/>
        <w:rPr>
          <w:rFonts w:hint="eastAsia"/>
          <w:color w:val="000000" w:themeColor="text1"/>
          <w:lang w:eastAsia="zh-CN"/>
          <w14:textFill>
            <w14:solidFill>
              <w14:schemeClr w14:val="tx1"/>
            </w14:solidFill>
          </w14:textFill>
        </w:rPr>
      </w:pPr>
    </w:p>
    <w:bookmarkEnd w:id="694"/>
    <w:bookmarkEnd w:id="695"/>
    <w:p>
      <w:pPr>
        <w:pageBreakBefore w:val="0"/>
        <w:overflowPunct/>
        <w:topLinePunct w:val="0"/>
        <w:bidi w:val="0"/>
        <w:spacing w:line="360" w:lineRule="auto"/>
        <w:rPr>
          <w:rFonts w:hint="eastAsia" w:ascii="宋体" w:hAnsi="宋体" w:eastAsia="宋体" w:cs="宋体"/>
          <w:color w:val="000000" w:themeColor="text1"/>
          <w:highlight w:val="none"/>
          <w14:textFill>
            <w14:solidFill>
              <w14:schemeClr w14:val="tx1"/>
            </w14:solidFill>
          </w14:textFill>
        </w:rPr>
      </w:pPr>
    </w:p>
    <w:p>
      <w:pPr>
        <w:pStyle w:val="10"/>
        <w:rPr>
          <w:rFonts w:hint="eastAsia" w:ascii="宋体" w:hAnsi="宋体" w:eastAsia="宋体" w:cs="宋体"/>
          <w:color w:val="000000" w:themeColor="text1"/>
          <w:highlight w:val="none"/>
          <w14:textFill>
            <w14:solidFill>
              <w14:schemeClr w14:val="tx1"/>
            </w14:solidFill>
          </w14:textFill>
        </w:rPr>
      </w:pPr>
    </w:p>
    <w:p>
      <w:pPr>
        <w:rPr>
          <w:rFonts w:hint="eastAsia" w:ascii="宋体" w:hAnsi="宋体" w:eastAsia="宋体" w:cs="宋体"/>
          <w:color w:val="000000" w:themeColor="text1"/>
          <w:highlight w:val="none"/>
          <w14:textFill>
            <w14:solidFill>
              <w14:schemeClr w14:val="tx1"/>
            </w14:solidFill>
          </w14:textFill>
        </w:rPr>
      </w:pPr>
    </w:p>
    <w:p>
      <w:pPr>
        <w:pStyle w:val="10"/>
        <w:rPr>
          <w:rFonts w:hint="eastAsia"/>
          <w:color w:val="000000" w:themeColor="text1"/>
          <w14:textFill>
            <w14:solidFill>
              <w14:schemeClr w14:val="tx1"/>
            </w14:solidFill>
          </w14:textFill>
        </w:rPr>
      </w:pPr>
    </w:p>
    <w:p>
      <w:pPr>
        <w:pStyle w:val="4"/>
        <w:pageBreakBefore w:val="0"/>
        <w:overflowPunct/>
        <w:topLinePunct w:val="0"/>
        <w:bidi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96" w:name="_Toc497842269"/>
      <w:bookmarkStart w:id="697" w:name="_Toc492391884"/>
      <w:bookmarkStart w:id="698" w:name="_Toc458437958"/>
      <w:bookmarkStart w:id="699" w:name="_Toc30914"/>
      <w:r>
        <w:rPr>
          <w:rFonts w:hint="eastAsia" w:ascii="宋体" w:hAnsi="宋体" w:eastAsia="宋体" w:cs="宋体"/>
          <w:color w:val="000000" w:themeColor="text1"/>
          <w:sz w:val="28"/>
          <w:szCs w:val="28"/>
          <w:highlight w:val="none"/>
          <w:lang w:val="en-US" w:eastAsia="zh-CN"/>
          <w14:textFill>
            <w14:solidFill>
              <w14:schemeClr w14:val="tx1"/>
            </w14:solidFill>
          </w14:textFill>
        </w:rPr>
        <w:t>8.</w:t>
      </w:r>
      <w:r>
        <w:rPr>
          <w:rFonts w:hint="eastAsia" w:ascii="宋体" w:hAnsi="宋体" w:eastAsia="宋体" w:cs="宋体"/>
          <w:color w:val="000000" w:themeColor="text1"/>
          <w:sz w:val="28"/>
          <w:szCs w:val="28"/>
          <w:highlight w:val="none"/>
          <w14:textFill>
            <w14:solidFill>
              <w14:schemeClr w14:val="tx1"/>
            </w14:solidFill>
          </w14:textFill>
        </w:rPr>
        <w:t>供应商认为有必要补充说明的事宜</w:t>
      </w:r>
      <w:bookmarkEnd w:id="696"/>
      <w:bookmarkEnd w:id="697"/>
      <w:bookmarkEnd w:id="698"/>
      <w:bookmarkEnd w:id="699"/>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r>
        <w:rPr>
          <w:rFonts w:hint="eastAsia" w:ascii="宋体" w:hAnsi="宋体" w:eastAsia="宋体" w:cs="宋体"/>
          <w:color w:val="000000" w:themeColor="text1"/>
          <w:kern w:val="0"/>
          <w:sz w:val="24"/>
          <w:szCs w:val="20"/>
          <w:highlight w:val="none"/>
          <w14:textFill>
            <w14:solidFill>
              <w14:schemeClr w14:val="tx1"/>
            </w14:solidFill>
          </w14:textFill>
        </w:rPr>
        <w:t>其他可以说明</w:t>
      </w:r>
      <w:r>
        <w:rPr>
          <w:rFonts w:hint="eastAsia" w:ascii="宋体" w:hAnsi="宋体" w:eastAsia="宋体" w:cs="宋体"/>
          <w:color w:val="000000" w:themeColor="text1"/>
          <w:kern w:val="0"/>
          <w:sz w:val="24"/>
          <w:szCs w:val="20"/>
          <w:highlight w:val="none"/>
          <w:lang w:eastAsia="zh-CN"/>
          <w14:textFill>
            <w14:solidFill>
              <w14:schemeClr w14:val="tx1"/>
            </w14:solidFill>
          </w14:textFill>
        </w:rPr>
        <w:t>供应商</w:t>
      </w:r>
      <w:r>
        <w:rPr>
          <w:rFonts w:hint="eastAsia" w:ascii="宋体" w:hAnsi="宋体" w:eastAsia="宋体" w:cs="宋体"/>
          <w:color w:val="000000" w:themeColor="text1"/>
          <w:kern w:val="0"/>
          <w:sz w:val="24"/>
          <w:szCs w:val="20"/>
          <w:highlight w:val="none"/>
          <w14:textFill>
            <w14:solidFill>
              <w14:schemeClr w14:val="tx1"/>
            </w14:solidFill>
          </w14:textFill>
        </w:rPr>
        <w:t>资格、实力的证明资料。（复印件加盖公章）</w:t>
      </w: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p>
      <w:pPr>
        <w:pStyle w:val="8"/>
        <w:rPr>
          <w:rFonts w:hint="eastAsia" w:ascii="宋体" w:hAnsi="宋体" w:eastAsia="宋体" w:cs="宋体"/>
          <w:color w:val="000000" w:themeColor="text1"/>
          <w:kern w:val="0"/>
          <w:sz w:val="24"/>
          <w:szCs w:val="20"/>
          <w:highlight w:val="none"/>
          <w14:textFill>
            <w14:solidFill>
              <w14:schemeClr w14:val="tx1"/>
            </w14:solidFill>
          </w14:textFill>
        </w:rPr>
      </w:pPr>
    </w:p>
    <w:p>
      <w:pPr>
        <w:rPr>
          <w:rFonts w:hint="eastAsia" w:ascii="宋体" w:hAnsi="宋体" w:eastAsia="宋体" w:cs="宋体"/>
          <w:color w:val="000000" w:themeColor="text1"/>
          <w:kern w:val="0"/>
          <w:sz w:val="24"/>
          <w:szCs w:val="20"/>
          <w:highlight w:val="none"/>
          <w14:textFill>
            <w14:solidFill>
              <w14:schemeClr w14:val="tx1"/>
            </w14:solidFill>
          </w14:textFill>
        </w:rPr>
      </w:pPr>
    </w:p>
    <w:p>
      <w:pPr>
        <w:pStyle w:val="8"/>
        <w:rPr>
          <w:rFonts w:hint="eastAsia" w:ascii="宋体" w:hAnsi="宋体" w:eastAsia="宋体" w:cs="宋体"/>
          <w:color w:val="000000" w:themeColor="text1"/>
          <w:kern w:val="0"/>
          <w:sz w:val="24"/>
          <w:szCs w:val="20"/>
          <w:highlight w:val="none"/>
          <w14:textFill>
            <w14:solidFill>
              <w14:schemeClr w14:val="tx1"/>
            </w14:solidFill>
          </w14:textFill>
        </w:rPr>
      </w:pPr>
    </w:p>
    <w:p>
      <w:pPr>
        <w:rPr>
          <w:rFonts w:hint="eastAsia" w:ascii="宋体" w:hAnsi="宋体" w:eastAsia="宋体" w:cs="宋体"/>
          <w:color w:val="000000" w:themeColor="text1"/>
          <w:kern w:val="0"/>
          <w:sz w:val="24"/>
          <w:szCs w:val="20"/>
          <w:highlight w:val="none"/>
          <w14:textFill>
            <w14:solidFill>
              <w14:schemeClr w14:val="tx1"/>
            </w14:solidFill>
          </w14:textFill>
        </w:rPr>
      </w:pPr>
    </w:p>
    <w:p>
      <w:pPr>
        <w:pStyle w:val="8"/>
        <w:rPr>
          <w:rFonts w:hint="eastAsia"/>
          <w:color w:val="000000" w:themeColor="text1"/>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0"/>
          <w:highlight w:val="none"/>
          <w14:textFill>
            <w14:solidFill>
              <w14:schemeClr w14:val="tx1"/>
            </w14:solidFill>
          </w14:textFill>
        </w:rPr>
      </w:pPr>
    </w:p>
    <w:bookmarkEnd w:id="684"/>
    <w:bookmarkEnd w:id="685"/>
    <w:bookmarkEnd w:id="686"/>
    <w:bookmarkEnd w:id="687"/>
    <w:p>
      <w:pPr>
        <w:pStyle w:val="4"/>
        <w:pageBreakBefore w:val="0"/>
        <w:overflowPunct/>
        <w:topLinePunct w:val="0"/>
        <w:bidi w:val="0"/>
        <w:spacing w:line="360" w:lineRule="auto"/>
        <w:rPr>
          <w:rFonts w:hint="eastAsia" w:ascii="宋体" w:hAnsi="宋体" w:eastAsia="宋体" w:cs="宋体"/>
          <w:color w:val="000000" w:themeColor="text1"/>
          <w:sz w:val="28"/>
          <w:highlight w:val="none"/>
          <w14:textFill>
            <w14:solidFill>
              <w14:schemeClr w14:val="tx1"/>
            </w14:solidFill>
          </w14:textFill>
        </w:rPr>
      </w:pPr>
      <w:bookmarkStart w:id="700" w:name="_Toc32562"/>
      <w:bookmarkStart w:id="701" w:name="_Toc497842270"/>
      <w:bookmarkStart w:id="702" w:name="_Toc193187111"/>
      <w:bookmarkStart w:id="703" w:name="_Toc193126905"/>
      <w:bookmarkStart w:id="704" w:name="_Toc194663942"/>
      <w:bookmarkStart w:id="705" w:name="_Toc188808855"/>
      <w:r>
        <w:rPr>
          <w:rFonts w:hint="eastAsia" w:ascii="宋体" w:hAnsi="宋体" w:eastAsia="宋体" w:cs="宋体"/>
          <w:color w:val="000000" w:themeColor="text1"/>
          <w:sz w:val="28"/>
          <w:szCs w:val="28"/>
          <w:highlight w:val="none"/>
          <w:lang w:val="en-US" w:eastAsia="zh-CN"/>
          <w14:textFill>
            <w14:solidFill>
              <w14:schemeClr w14:val="tx1"/>
            </w14:solidFill>
          </w14:textFill>
        </w:rPr>
        <w:t>9</w:t>
      </w:r>
      <w:r>
        <w:rPr>
          <w:rFonts w:hint="eastAsia" w:ascii="宋体" w:hAnsi="宋体" w:eastAsia="宋体" w:cs="宋体"/>
          <w:color w:val="000000" w:themeColor="text1"/>
          <w:sz w:val="28"/>
          <w:szCs w:val="28"/>
          <w:highlight w:val="none"/>
          <w14:textFill>
            <w14:solidFill>
              <w14:schemeClr w14:val="tx1"/>
            </w14:solidFill>
          </w14:textFill>
        </w:rPr>
        <w:t>.磋商声明书</w:t>
      </w:r>
      <w:bookmarkEnd w:id="700"/>
      <w:bookmarkEnd w:id="701"/>
    </w:p>
    <w:p>
      <w:pPr>
        <w:pStyle w:val="44"/>
        <w:pageBreakBefore w:val="0"/>
        <w:overflowPunct/>
        <w:topLinePunct w:val="0"/>
        <w:bidi w:val="0"/>
        <w:spacing w:line="360" w:lineRule="auto"/>
        <w:ind w:firstLine="170" w:firstLineChars="71"/>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706" w:name="_Toc458617486"/>
      <w:r>
        <w:rPr>
          <w:rFonts w:hint="eastAsia" w:ascii="宋体" w:hAnsi="宋体" w:eastAsia="宋体" w:cs="宋体"/>
          <w:color w:val="000000" w:themeColor="text1"/>
          <w:sz w:val="24"/>
          <w:szCs w:val="24"/>
          <w:highlight w:val="none"/>
          <w14:textFill>
            <w14:solidFill>
              <w14:schemeClr w14:val="tx1"/>
            </w14:solidFill>
          </w14:textFill>
        </w:rPr>
        <w:t>致：</w:t>
      </w:r>
      <w:bookmarkEnd w:id="706"/>
      <w:r>
        <w:rPr>
          <w:rFonts w:hint="eastAsia" w:ascii="宋体" w:hAnsi="宋体" w:cs="宋体"/>
          <w:color w:val="000000" w:themeColor="text1"/>
          <w:sz w:val="24"/>
          <w:szCs w:val="24"/>
          <w:highlight w:val="none"/>
          <w:lang w:eastAsia="zh-CN"/>
          <w14:textFill>
            <w14:solidFill>
              <w14:schemeClr w14:val="tx1"/>
            </w14:solidFill>
          </w14:textFill>
        </w:rPr>
        <w:t xml:space="preserve">陕西至诚项目管理集团有限公司 </w:t>
      </w:r>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07" w:name="_Toc458617487"/>
      <w:r>
        <w:rPr>
          <w:rFonts w:hint="eastAsia" w:ascii="宋体" w:hAnsi="宋体" w:eastAsia="宋体" w:cs="宋体"/>
          <w:color w:val="000000" w:themeColor="text1"/>
          <w:sz w:val="24"/>
          <w:szCs w:val="24"/>
          <w:highlight w:val="none"/>
          <w14:textFill>
            <w14:solidFill>
              <w14:schemeClr w14:val="tx1"/>
            </w14:solidFill>
          </w14:textFill>
        </w:rPr>
        <w:t>我公司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（供应商名称）       </w:t>
      </w:r>
      <w:r>
        <w:rPr>
          <w:rFonts w:hint="eastAsia" w:ascii="宋体" w:hAnsi="宋体" w:eastAsia="宋体" w:cs="宋体"/>
          <w:color w:val="000000" w:themeColor="text1"/>
          <w:sz w:val="24"/>
          <w:szCs w:val="24"/>
          <w:highlight w:val="none"/>
          <w14:textFill>
            <w14:solidFill>
              <w14:schemeClr w14:val="tx1"/>
            </w14:solidFill>
          </w14:textFill>
        </w:rPr>
        <w:t>，就参加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（采购项目名称）    </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）磋商事宜，在此郑重声明：</w:t>
      </w:r>
      <w:bookmarkEnd w:id="707"/>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08" w:name="_Toc458617488"/>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我公司所提交的磋商响应文件全部真实有效；</w:t>
      </w:r>
      <w:bookmarkEnd w:id="708"/>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09" w:name="_Toc458617489"/>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我公司近3年来无因安全事故、质量事故、磋商违规等不良记录被政府有关部门处罚期内的情形存在；</w:t>
      </w:r>
      <w:bookmarkEnd w:id="709"/>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10" w:name="_Toc458617490"/>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我公司近3年来无违规违法经营受到责令停产（或停止经营）、吊销生产许可证（或经营许可证）、较大数额罚款等行政处罚的情形存在；</w:t>
      </w:r>
      <w:bookmarkEnd w:id="710"/>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11" w:name="_Toc458617491"/>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我公司无企业财产被查封、冻结或处于破产状态或严重亏损状态等情形存在；</w:t>
      </w:r>
      <w:bookmarkEnd w:id="711"/>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12" w:name="_Toc458617492"/>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我公司承诺在磋商过程中，保证不与其他单位围标、串标，不出让磋商资格，不采取不正当手段诋毁、排挤其他供应商，不向采购代理机构、评审委员会成员行贿。</w:t>
      </w:r>
      <w:bookmarkEnd w:id="712"/>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bookmarkStart w:id="713" w:name="_Toc458617493"/>
      <w:r>
        <w:rPr>
          <w:rFonts w:hint="eastAsia" w:ascii="宋体" w:hAnsi="宋体" w:eastAsia="宋体" w:cs="宋体"/>
          <w:color w:val="000000" w:themeColor="text1"/>
          <w:sz w:val="24"/>
          <w:szCs w:val="24"/>
          <w:highlight w:val="none"/>
          <w14:textFill>
            <w14:solidFill>
              <w14:schemeClr w14:val="tx1"/>
            </w14:solidFill>
          </w14:textFill>
        </w:rPr>
        <w:t>以上声明若违反，一经查实，本公司愿意接受政府有关部门的相应处罚，并愿意承担由此带来的法律后果。</w:t>
      </w:r>
      <w:bookmarkEnd w:id="713"/>
    </w:p>
    <w:p>
      <w:pPr>
        <w:pStyle w:val="44"/>
        <w:pageBreakBefore w:val="0"/>
        <w:overflowPunct/>
        <w:topLinePunct w:val="0"/>
        <w:bidi w:val="0"/>
        <w:spacing w:line="360" w:lineRule="auto"/>
        <w:ind w:firstLine="530" w:firstLineChars="221"/>
        <w:rPr>
          <w:rFonts w:hint="eastAsia" w:ascii="宋体" w:hAnsi="宋体" w:eastAsia="宋体" w:cs="宋体"/>
          <w:color w:val="000000" w:themeColor="text1"/>
          <w:sz w:val="24"/>
          <w:szCs w:val="24"/>
          <w:highlight w:val="none"/>
          <w14:textFill>
            <w14:solidFill>
              <w14:schemeClr w14:val="tx1"/>
            </w14:solidFill>
          </w14:textFill>
        </w:rPr>
      </w:pPr>
    </w:p>
    <w:p>
      <w:pPr>
        <w:pStyle w:val="44"/>
        <w:pageBreakBefore w:val="0"/>
        <w:overflowPunct/>
        <w:topLinePunct w:val="0"/>
        <w:bidi w:val="0"/>
        <w:spacing w:line="360" w:lineRule="auto"/>
        <w:ind w:firstLine="410" w:firstLineChars="171"/>
        <w:rPr>
          <w:rFonts w:hint="eastAsia" w:ascii="宋体" w:hAnsi="宋体" w:eastAsia="宋体" w:cs="宋体"/>
          <w:color w:val="000000" w:themeColor="text1"/>
          <w:sz w:val="24"/>
          <w:szCs w:val="24"/>
          <w:highlight w:val="none"/>
          <w14:textFill>
            <w14:solidFill>
              <w14:schemeClr w14:val="tx1"/>
            </w14:solidFill>
          </w14:textFill>
        </w:rPr>
      </w:pPr>
      <w:bookmarkStart w:id="714" w:name="_Toc458617494"/>
      <w:r>
        <w:rPr>
          <w:rFonts w:hint="eastAsia" w:ascii="宋体" w:hAnsi="宋体" w:eastAsia="宋体" w:cs="宋体"/>
          <w:color w:val="000000" w:themeColor="text1"/>
          <w:sz w:val="24"/>
          <w:szCs w:val="24"/>
          <w:highlight w:val="none"/>
          <w14:textFill>
            <w14:solidFill>
              <w14:schemeClr w14:val="tx1"/>
            </w14:solidFill>
          </w14:textFill>
        </w:rPr>
        <w:t>特此声明！</w:t>
      </w:r>
      <w:bookmarkEnd w:id="714"/>
    </w:p>
    <w:p>
      <w:pPr>
        <w:pStyle w:val="44"/>
        <w:pageBreakBefore w:val="0"/>
        <w:overflowPunct/>
        <w:topLinePunct w:val="0"/>
        <w:bidi w:val="0"/>
        <w:spacing w:line="360" w:lineRule="auto"/>
        <w:ind w:firstLine="410" w:firstLineChars="171"/>
        <w:rPr>
          <w:rFonts w:hint="eastAsia" w:ascii="宋体" w:hAnsi="宋体" w:eastAsia="宋体" w:cs="宋体"/>
          <w:color w:val="000000" w:themeColor="text1"/>
          <w:sz w:val="24"/>
          <w:szCs w:val="24"/>
          <w:highlight w:val="none"/>
          <w14:textFill>
            <w14:solidFill>
              <w14:schemeClr w14:val="tx1"/>
            </w14:solidFill>
          </w14:textFill>
        </w:rPr>
      </w:pPr>
      <w:bookmarkStart w:id="715" w:name="_Toc458617495"/>
      <w:r>
        <w:rPr>
          <w:rFonts w:hint="eastAsia" w:ascii="宋体" w:hAnsi="宋体" w:eastAsia="宋体" w:cs="宋体"/>
          <w:color w:val="000000" w:themeColor="text1"/>
          <w:sz w:val="24"/>
          <w:szCs w:val="24"/>
          <w:highlight w:val="none"/>
          <w14:textFill>
            <w14:solidFill>
              <w14:schemeClr w14:val="tx1"/>
            </w14:solidFill>
          </w14:textFill>
        </w:rPr>
        <w:t>声  明  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（供应商名称、公章）</w:t>
      </w:r>
      <w:bookmarkEnd w:id="715"/>
    </w:p>
    <w:p>
      <w:pPr>
        <w:pStyle w:val="44"/>
        <w:pageBreakBefore w:val="0"/>
        <w:overflowPunct/>
        <w:topLinePunct w:val="0"/>
        <w:bidi w:val="0"/>
        <w:spacing w:line="360" w:lineRule="auto"/>
        <w:ind w:firstLine="410" w:firstLineChars="171"/>
        <w:rPr>
          <w:rFonts w:hint="eastAsia" w:ascii="宋体" w:hAnsi="宋体" w:eastAsia="宋体" w:cs="宋体"/>
          <w:color w:val="000000" w:themeColor="text1"/>
          <w:sz w:val="24"/>
          <w:szCs w:val="24"/>
          <w:highlight w:val="none"/>
          <w14:textFill>
            <w14:solidFill>
              <w14:schemeClr w14:val="tx1"/>
            </w14:solidFill>
          </w14:textFill>
        </w:rPr>
      </w:pPr>
      <w:bookmarkStart w:id="716" w:name="_Toc458617496"/>
      <w:r>
        <w:rPr>
          <w:rFonts w:hint="eastAsia" w:ascii="宋体" w:hAnsi="宋体" w:eastAsia="宋体" w:cs="宋体"/>
          <w:color w:val="000000" w:themeColor="text1"/>
          <w:sz w:val="24"/>
          <w:szCs w:val="24"/>
          <w:highlight w:val="none"/>
          <w14:textFill>
            <w14:solidFill>
              <w14:schemeClr w14:val="tx1"/>
            </w14:solidFill>
          </w14:textFill>
        </w:rPr>
        <w:t>法定代表人或被授权人：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（签字或盖章）</w:t>
      </w:r>
      <w:bookmarkEnd w:id="716"/>
    </w:p>
    <w:p>
      <w:pPr>
        <w:pStyle w:val="44"/>
        <w:pageBreakBefore w:val="0"/>
        <w:overflowPunct/>
        <w:topLinePunct w:val="0"/>
        <w:bidi w:val="0"/>
        <w:spacing w:line="360" w:lineRule="auto"/>
        <w:ind w:firstLine="410" w:firstLineChars="171"/>
        <w:rPr>
          <w:rFonts w:hint="eastAsia" w:ascii="宋体" w:hAnsi="宋体" w:eastAsia="宋体" w:cs="宋体"/>
          <w:color w:val="000000" w:themeColor="text1"/>
          <w:sz w:val="24"/>
          <w:szCs w:val="24"/>
          <w:highlight w:val="none"/>
          <w:u w:val="single"/>
          <w14:textFill>
            <w14:solidFill>
              <w14:schemeClr w14:val="tx1"/>
            </w14:solidFill>
          </w14:textFill>
        </w:rPr>
      </w:pPr>
      <w:bookmarkStart w:id="717" w:name="_Toc458617497"/>
      <w:r>
        <w:rPr>
          <w:rFonts w:hint="eastAsia" w:ascii="宋体" w:hAnsi="宋体" w:eastAsia="宋体" w:cs="宋体"/>
          <w:color w:val="000000" w:themeColor="text1"/>
          <w:sz w:val="24"/>
          <w:szCs w:val="24"/>
          <w:highlight w:val="none"/>
          <w14:textFill>
            <w14:solidFill>
              <w14:schemeClr w14:val="tx1"/>
            </w14:solidFill>
          </w14:textFill>
        </w:rPr>
        <w:t>日      期：</w:t>
      </w:r>
      <w:bookmarkEnd w:id="717"/>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firstLine="478" w:firstLineChars="171"/>
        <w:rPr>
          <w:rFonts w:hint="eastAsia" w:ascii="宋体" w:hAnsi="宋体" w:eastAsia="宋体" w:cs="宋体"/>
          <w:color w:val="000000" w:themeColor="text1"/>
          <w:szCs w:val="28"/>
          <w:highlight w:val="none"/>
          <w:u w:val="single"/>
          <w14:textFill>
            <w14:solidFill>
              <w14:schemeClr w14:val="tx1"/>
            </w14:solidFill>
          </w14:textFill>
        </w:rPr>
      </w:pPr>
    </w:p>
    <w:p>
      <w:pPr>
        <w:pStyle w:val="44"/>
        <w:pageBreakBefore w:val="0"/>
        <w:overflowPunct/>
        <w:topLinePunct w:val="0"/>
        <w:bidi w:val="0"/>
        <w:spacing w:line="360" w:lineRule="auto"/>
        <w:ind w:left="0" w:leftChars="0" w:firstLine="0" w:firstLineChars="0"/>
        <w:rPr>
          <w:rFonts w:hint="eastAsia" w:ascii="宋体" w:hAnsi="宋体" w:eastAsia="宋体" w:cs="宋体"/>
          <w:color w:val="000000" w:themeColor="text1"/>
          <w:szCs w:val="28"/>
          <w:highlight w:val="none"/>
          <w:u w:val="single"/>
          <w14:textFill>
            <w14:solidFill>
              <w14:schemeClr w14:val="tx1"/>
            </w14:solidFill>
          </w14:textFill>
        </w:rPr>
      </w:pPr>
    </w:p>
    <w:bookmarkEnd w:id="702"/>
    <w:bookmarkEnd w:id="703"/>
    <w:bookmarkEnd w:id="704"/>
    <w:bookmarkEnd w:id="705"/>
    <w:p>
      <w:pPr>
        <w:pStyle w:val="4"/>
        <w:pageBreakBefore w:val="0"/>
        <w:overflowPunct/>
        <w:topLinePunct w:val="0"/>
        <w:bidi w:val="0"/>
        <w:spacing w:before="0" w:after="0" w:line="360" w:lineRule="auto"/>
        <w:rPr>
          <w:rFonts w:hint="eastAsia" w:ascii="宋体" w:hAnsi="宋体" w:eastAsia="宋体" w:cs="宋体"/>
          <w:color w:val="000000" w:themeColor="text1"/>
          <w:kern w:val="0"/>
          <w:highlight w:val="none"/>
          <w14:textFill>
            <w14:solidFill>
              <w14:schemeClr w14:val="tx1"/>
            </w14:solidFill>
          </w14:textFill>
        </w:rPr>
      </w:pPr>
      <w:bookmarkStart w:id="718" w:name="_Toc23593"/>
      <w:bookmarkStart w:id="719" w:name="_Toc497842271"/>
      <w:r>
        <w:rPr>
          <w:rFonts w:hint="eastAsia" w:ascii="宋体" w:hAnsi="宋体" w:eastAsia="宋体" w:cs="宋体"/>
          <w:color w:val="000000" w:themeColor="text1"/>
          <w:sz w:val="28"/>
          <w:szCs w:val="28"/>
          <w:highlight w:val="none"/>
          <w:lang w:val="en-US" w:eastAsia="zh-CN"/>
          <w14:textFill>
            <w14:solidFill>
              <w14:schemeClr w14:val="tx1"/>
            </w14:solidFill>
          </w14:textFill>
        </w:rPr>
        <w:t>10</w:t>
      </w:r>
      <w:r>
        <w:rPr>
          <w:rFonts w:hint="eastAsia" w:ascii="宋体" w:hAnsi="宋体" w:eastAsia="宋体" w:cs="宋体"/>
          <w:color w:val="000000" w:themeColor="text1"/>
          <w:sz w:val="28"/>
          <w:szCs w:val="28"/>
          <w:highlight w:val="none"/>
          <w14:textFill>
            <w14:solidFill>
              <w14:schemeClr w14:val="tx1"/>
            </w14:solidFill>
          </w14:textFill>
        </w:rPr>
        <w:t>.《拒绝政府采购领域商业贿赂承诺书》（格式）</w:t>
      </w:r>
      <w:bookmarkEnd w:id="718"/>
      <w:bookmarkEnd w:id="719"/>
    </w:p>
    <w:p>
      <w:pPr>
        <w:bidi w:val="0"/>
        <w:spacing w:line="360" w:lineRule="auto"/>
        <w:jc w:val="center"/>
        <w:rPr>
          <w:rFonts w:hint="eastAsia"/>
          <w:b/>
          <w:bCs/>
          <w:color w:val="000000" w:themeColor="text1"/>
          <w:sz w:val="28"/>
          <w:szCs w:val="28"/>
          <w14:textFill>
            <w14:solidFill>
              <w14:schemeClr w14:val="tx1"/>
            </w14:solidFill>
          </w14:textFill>
        </w:rPr>
      </w:pPr>
      <w:bookmarkStart w:id="720" w:name="_Toc541"/>
      <w:r>
        <w:rPr>
          <w:rFonts w:hint="eastAsia"/>
          <w:b/>
          <w:bCs/>
          <w:color w:val="000000" w:themeColor="text1"/>
          <w:sz w:val="28"/>
          <w:szCs w:val="28"/>
          <w14:textFill>
            <w14:solidFill>
              <w14:schemeClr w14:val="tx1"/>
            </w14:solidFill>
          </w14:textFill>
        </w:rPr>
        <w:t>陕西省政府采购供应商</w:t>
      </w:r>
      <w:bookmarkEnd w:id="720"/>
    </w:p>
    <w:p>
      <w:pPr>
        <w:bidi w:val="0"/>
        <w:spacing w:line="360" w:lineRule="auto"/>
        <w:jc w:val="center"/>
        <w:rPr>
          <w:rFonts w:hint="eastAsia"/>
          <w:b/>
          <w:bCs/>
          <w:color w:val="000000" w:themeColor="text1"/>
          <w:sz w:val="28"/>
          <w:szCs w:val="28"/>
          <w14:textFill>
            <w14:solidFill>
              <w14:schemeClr w14:val="tx1"/>
            </w14:solidFill>
          </w14:textFill>
        </w:rPr>
      </w:pPr>
      <w:bookmarkStart w:id="721" w:name="_Toc28838"/>
      <w:r>
        <w:rPr>
          <w:rFonts w:hint="eastAsia"/>
          <w:b/>
          <w:bCs/>
          <w:color w:val="000000" w:themeColor="text1"/>
          <w:sz w:val="28"/>
          <w:szCs w:val="28"/>
          <w14:textFill>
            <w14:solidFill>
              <w14:schemeClr w14:val="tx1"/>
            </w14:solidFill>
          </w14:textFill>
        </w:rPr>
        <w:t>拒绝政府采购领域商业贿赂承诺书</w:t>
      </w:r>
      <w:bookmarkEnd w:id="721"/>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为响应党中央、国务院关于治理政府采购领域商业贿赂行为的号召，我单位在此庄严承诺：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在参与政府采购活动中遵纪守法、诚信经营、公平竞标。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不向采购人、采购代理机构和政府采购评审专家进行任何形式的商业贿赂以谋取交易机会。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不向政府采购代理机构和采购人提供虚假资质文件或采用虚假应标方式参与政府采购市场竞争并谋取中标、成交。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不采取“围标、陪标”等商业欺诈手段获得政府采购定单。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不采取不正当手段低毁、排挤其他供应商。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不在提供商品和服务时“偷梁换柱、以次充好”损害采购人的合法权益。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不与采购人、采购代理机构、政府采购评审专家或其它供应商恶意串通，进行质疑和投诉，维护政府采购市场秩序。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尊重和接受政府采购监督管理部门的监督和政府采购代理机构采购要求，承担因违约行为给采购人造成的损失。 </w:t>
      </w:r>
    </w:p>
    <w:p>
      <w:pPr>
        <w:pageBreakBefore w:val="0"/>
        <w:widowControl/>
        <w:overflowPunct/>
        <w:topLinePunct w:val="0"/>
        <w:bidi w:val="0"/>
        <w:spacing w:line="360" w:lineRule="auto"/>
        <w:ind w:firstLine="56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 xml:space="preserve">不发生其他有悖于政府采购公开、公平、公正和诚信原则的行为。 </w:t>
      </w:r>
    </w:p>
    <w:p>
      <w:pPr>
        <w:pageBreakBefore w:val="0"/>
        <w:widowControl/>
        <w:overflowPunct/>
        <w:topLinePunct w:val="0"/>
        <w:bidi w:val="0"/>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p>
    <w:p>
      <w:pPr>
        <w:pageBreakBefore w:val="0"/>
        <w:widowControl/>
        <w:overflowPunct/>
        <w:topLinePunct w:val="0"/>
        <w:bidi w:val="0"/>
        <w:spacing w:line="36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承诺单位：</w:t>
      </w:r>
      <w:r>
        <w:rPr>
          <w:rFonts w:hint="eastAsia" w:ascii="宋体" w:hAnsi="宋体" w:eastAsia="宋体" w:cs="宋体"/>
          <w:color w:val="000000" w:themeColor="text1"/>
          <w:kern w:val="0"/>
          <w:sz w:val="24"/>
          <w:szCs w:val="24"/>
          <w:highlight w:val="none"/>
          <w:u w:val="single"/>
          <w14:textFill>
            <w14:solidFill>
              <w14:schemeClr w14:val="tx1"/>
            </w14:solidFill>
          </w14:textFill>
        </w:rPr>
        <w:t>　　                 　</w:t>
      </w:r>
      <w:r>
        <w:rPr>
          <w:rFonts w:hint="eastAsia" w:ascii="宋体" w:hAnsi="宋体" w:eastAsia="宋体" w:cs="宋体"/>
          <w:color w:val="000000" w:themeColor="text1"/>
          <w:kern w:val="0"/>
          <w:sz w:val="24"/>
          <w:szCs w:val="24"/>
          <w:highlight w:val="none"/>
          <w14:textFill>
            <w14:solidFill>
              <w14:schemeClr w14:val="tx1"/>
            </w14:solidFill>
          </w14:textFill>
        </w:rPr>
        <w:t>（盖章）</w:t>
      </w:r>
    </w:p>
    <w:p>
      <w:pPr>
        <w:pageBreakBefore w:val="0"/>
        <w:widowControl/>
        <w:overflowPunct/>
        <w:topLinePunct w:val="0"/>
        <w:bidi w:val="0"/>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法定代表人或被授权人：</w:t>
      </w:r>
      <w:r>
        <w:rPr>
          <w:rFonts w:hint="eastAsia" w:ascii="宋体" w:hAnsi="宋体" w:eastAsia="宋体" w:cs="宋体"/>
          <w:color w:val="000000" w:themeColor="text1"/>
          <w:kern w:val="0"/>
          <w:sz w:val="24"/>
          <w:szCs w:val="24"/>
          <w:highlight w:val="none"/>
          <w:u w:val="single"/>
          <w14:textFill>
            <w14:solidFill>
              <w14:schemeClr w14:val="tx1"/>
            </w14:solidFill>
          </w14:textFill>
        </w:rPr>
        <w:t>　　　　　     　　　　</w:t>
      </w:r>
      <w:r>
        <w:rPr>
          <w:rFonts w:hint="eastAsia" w:ascii="宋体" w:hAnsi="宋体" w:eastAsia="宋体" w:cs="宋体"/>
          <w:color w:val="000000" w:themeColor="text1"/>
          <w:kern w:val="0"/>
          <w:sz w:val="24"/>
          <w:szCs w:val="24"/>
          <w:highlight w:val="none"/>
          <w14:textFill>
            <w14:solidFill>
              <w14:schemeClr w14:val="tx1"/>
            </w14:solidFill>
          </w14:textFill>
        </w:rPr>
        <w:t>（签字）</w:t>
      </w:r>
    </w:p>
    <w:p>
      <w:pPr>
        <w:pageBreakBefore w:val="0"/>
        <w:widowControl/>
        <w:overflowPunct/>
        <w:topLinePunct w:val="0"/>
        <w:bidi w:val="0"/>
        <w:spacing w:line="360" w:lineRule="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地　　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pPr>
        <w:pageBreakBefore w:val="0"/>
        <w:widowControl/>
        <w:overflowPunct/>
        <w:topLinePunct w:val="0"/>
        <w:bidi w:val="0"/>
        <w:spacing w:line="360" w:lineRule="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邮    编：</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p>
    <w:p>
      <w:pPr>
        <w:pageBreakBefore w:val="0"/>
        <w:widowControl/>
        <w:overflowPunct/>
        <w:topLinePunct w:val="0"/>
        <w:bidi w:val="0"/>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电　　话：</w:t>
      </w:r>
      <w:r>
        <w:rPr>
          <w:rFonts w:hint="eastAsia" w:ascii="宋体" w:hAnsi="宋体" w:eastAsia="宋体" w:cs="宋体"/>
          <w:color w:val="000000" w:themeColor="text1"/>
          <w:kern w:val="0"/>
          <w:sz w:val="24"/>
          <w:szCs w:val="24"/>
          <w:highlight w:val="none"/>
          <w:u w:val="single"/>
          <w14:textFill>
            <w14:solidFill>
              <w14:schemeClr w14:val="tx1"/>
            </w14:solidFill>
          </w14:textFill>
        </w:rPr>
        <w:t>　　　                　　　　</w:t>
      </w:r>
    </w:p>
    <w:p>
      <w:pPr>
        <w:pageBreakBefore w:val="0"/>
        <w:kinsoku/>
        <w:wordWrap/>
        <w:overflowPunct/>
        <w:topLinePunct w:val="0"/>
        <w:bidi w:val="0"/>
        <w:spacing w:line="360" w:lineRule="auto"/>
        <w:ind w:firstLine="440" w:firstLineChars="200"/>
        <w:jc w:val="right"/>
        <w:textAlignment w:val="auto"/>
        <w:rPr>
          <w:rFonts w:hint="eastAsia" w:ascii="宋体" w:hAnsi="宋体" w:eastAsia="宋体" w:cs="宋体"/>
          <w:color w:val="000000" w:themeColor="text1"/>
          <w:kern w:val="0"/>
          <w:sz w:val="22"/>
          <w:szCs w:val="22"/>
          <w:highlight w:val="none"/>
          <w:lang w:eastAsia="zh-CN"/>
          <w14:textFill>
            <w14:solidFill>
              <w14:schemeClr w14:val="tx1"/>
            </w14:solidFill>
          </w14:textFill>
        </w:rPr>
      </w:pP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2"/>
          <w:szCs w:val="22"/>
          <w:highlight w:val="none"/>
          <w14:textFill>
            <w14:solidFill>
              <w14:schemeClr w14:val="tx1"/>
            </w14:solidFill>
          </w14:textFill>
        </w:rPr>
        <w:t>年　　月　　</w:t>
      </w:r>
      <w:r>
        <w:rPr>
          <w:rFonts w:hint="eastAsia" w:ascii="宋体" w:hAnsi="宋体" w:eastAsia="宋体" w:cs="宋体"/>
          <w:color w:val="000000" w:themeColor="text1"/>
          <w:kern w:val="0"/>
          <w:sz w:val="22"/>
          <w:szCs w:val="22"/>
          <w:highlight w:val="none"/>
          <w:lang w:eastAsia="zh-CN"/>
          <w14:textFill>
            <w14:solidFill>
              <w14:schemeClr w14:val="tx1"/>
            </w14:solidFill>
          </w14:textFill>
        </w:rPr>
        <w:t>日</w:t>
      </w:r>
      <w:bookmarkEnd w:id="665"/>
      <w:bookmarkEnd w:id="666"/>
      <w:bookmarkEnd w:id="667"/>
      <w:bookmarkEnd w:id="668"/>
      <w:bookmarkEnd w:id="669"/>
      <w:bookmarkEnd w:id="670"/>
      <w:bookmarkEnd w:id="671"/>
      <w:bookmarkEnd w:id="688"/>
      <w:bookmarkEnd w:id="689"/>
    </w:p>
    <w:p>
      <w:pPr>
        <w:bidi w:val="0"/>
        <w:rPr>
          <w:rFonts w:hint="eastAsia"/>
          <w:color w:val="000000" w:themeColor="text1"/>
          <w:lang w:val="en-US" w:eastAsia="zh-CN"/>
          <w14:textFill>
            <w14:solidFill>
              <w14:schemeClr w14:val="tx1"/>
            </w14:solidFill>
          </w14:textFill>
        </w:rPr>
      </w:pPr>
    </w:p>
    <w:p>
      <w:pPr>
        <w:pStyle w:val="4"/>
        <w:spacing w:before="0" w:after="0" w:line="520" w:lineRule="exact"/>
        <w:rPr>
          <w:rFonts w:hint="eastAsia" w:ascii="宋体" w:hAnsi="宋体" w:eastAsia="宋体" w:cs="宋体"/>
          <w:color w:val="000000" w:themeColor="text1"/>
          <w:sz w:val="28"/>
          <w:szCs w:val="28"/>
          <w:lang w:val="en-US" w:eastAsia="zh-CN"/>
          <w14:textFill>
            <w14:solidFill>
              <w14:schemeClr w14:val="tx1"/>
            </w14:solidFill>
          </w14:textFill>
        </w:rPr>
      </w:pPr>
    </w:p>
    <w:p>
      <w:pPr>
        <w:rPr>
          <w:rFonts w:hint="eastAsia"/>
          <w:color w:val="000000" w:themeColor="text1"/>
          <w:lang w:val="en-US" w:eastAsia="zh-CN"/>
          <w14:textFill>
            <w14:solidFill>
              <w14:schemeClr w14:val="tx1"/>
            </w14:solidFill>
          </w14:textFill>
        </w:rPr>
      </w:pPr>
    </w:p>
    <w:p>
      <w:pPr>
        <w:pStyle w:val="4"/>
        <w:spacing w:before="0" w:after="0"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11</w:t>
      </w:r>
      <w:r>
        <w:rPr>
          <w:rFonts w:hint="eastAsia" w:ascii="宋体" w:hAnsi="宋体" w:eastAsia="宋体" w:cs="宋体"/>
          <w:color w:val="000000" w:themeColor="text1"/>
          <w:sz w:val="28"/>
          <w:szCs w:val="28"/>
          <w14:textFill>
            <w14:solidFill>
              <w14:schemeClr w14:val="tx1"/>
            </w14:solidFill>
          </w14:textFill>
        </w:rPr>
        <w:t>.《中小企业声明函》</w:t>
      </w:r>
    </w:p>
    <w:p>
      <w:pPr>
        <w:pStyle w:val="18"/>
        <w:widowControl/>
        <w:shd w:val="clear" w:color="auto" w:fill="FFFFFF"/>
        <w:spacing w:beforeAutospacing="0" w:afterAutospacing="0" w:line="555" w:lineRule="atLeast"/>
        <w:ind w:firstLine="420"/>
        <w:jc w:val="center"/>
        <w:rPr>
          <w:rFonts w:hint="eastAsia" w:ascii="宋体" w:hAnsi="宋体" w:eastAsia="宋体" w:cs="宋体"/>
          <w:color w:val="000000" w:themeColor="text1"/>
          <w:sz w:val="24"/>
          <w:szCs w:val="24"/>
          <w14:textFill>
            <w14:solidFill>
              <w14:schemeClr w14:val="tx1"/>
            </w14:solidFill>
          </w14:textFill>
        </w:rPr>
      </w:pPr>
      <w:r>
        <w:rPr>
          <w:rStyle w:val="25"/>
          <w:rFonts w:hint="eastAsia" w:ascii="宋体" w:hAnsi="宋体" w:eastAsia="宋体" w:cs="宋体"/>
          <w:color w:val="000000" w:themeColor="text1"/>
          <w:sz w:val="24"/>
          <w:szCs w:val="24"/>
          <w:shd w:val="clear" w:color="auto" w:fill="FFFFFF"/>
          <w14:textFill>
            <w14:solidFill>
              <w14:schemeClr w14:val="tx1"/>
            </w14:solidFill>
          </w14:textFill>
        </w:rPr>
        <w:t>中小企业声明函（工程、服务）</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本公司（联合体）郑重声明，根据《政府采购促进中小企业发展管理办法》（财库﹝2020﹞46 号）的规定，本公司（联合体）参加 </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（单位名称） </w:t>
      </w:r>
      <w:r>
        <w:rPr>
          <w:rFonts w:hint="eastAsia" w:ascii="宋体" w:hAnsi="宋体" w:eastAsia="宋体" w:cs="宋体"/>
          <w:color w:val="000000" w:themeColor="text1"/>
          <w:sz w:val="24"/>
          <w:szCs w:val="24"/>
          <w:shd w:val="clear" w:color="auto" w:fill="FFFFFF"/>
          <w14:textFill>
            <w14:solidFill>
              <w14:schemeClr w14:val="tx1"/>
            </w14:solidFill>
          </w14:textFill>
        </w:rPr>
        <w:t>的</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 （项目名称） </w:t>
      </w:r>
      <w:r>
        <w:rPr>
          <w:rFonts w:hint="eastAsia" w:ascii="宋体" w:hAnsi="宋体" w:eastAsia="宋体" w:cs="宋体"/>
          <w:color w:val="000000" w:themeColor="text1"/>
          <w:sz w:val="24"/>
          <w:szCs w:val="24"/>
          <w:shd w:val="clear" w:color="auto" w:fill="FFFFFF"/>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（标的名称） </w:t>
      </w:r>
      <w:r>
        <w:rPr>
          <w:rFonts w:hint="eastAsia" w:ascii="宋体" w:hAnsi="宋体" w:eastAsia="宋体" w:cs="宋体"/>
          <w:color w:val="000000" w:themeColor="text1"/>
          <w:sz w:val="24"/>
          <w:szCs w:val="24"/>
          <w:shd w:val="clear" w:color="auto" w:fill="FFFFFF"/>
          <w14:textFill>
            <w14:solidFill>
              <w14:schemeClr w14:val="tx1"/>
            </w14:solidFill>
          </w14:textFill>
        </w:rPr>
        <w:t>，属于</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 （采购文件中明确的所属行业） </w:t>
      </w:r>
      <w:r>
        <w:rPr>
          <w:rFonts w:hint="eastAsia" w:ascii="宋体" w:hAnsi="宋体" w:eastAsia="宋体" w:cs="宋体"/>
          <w:color w:val="000000" w:themeColor="text1"/>
          <w:sz w:val="24"/>
          <w:szCs w:val="24"/>
          <w:shd w:val="clear" w:color="auto" w:fill="FFFFFF"/>
          <w14:textFill>
            <w14:solidFill>
              <w14:schemeClr w14:val="tx1"/>
            </w14:solidFill>
          </w14:textFill>
        </w:rPr>
        <w:t>；承建（承接）企业为</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 （企业名称） </w:t>
      </w:r>
      <w:r>
        <w:rPr>
          <w:rFonts w:hint="eastAsia" w:ascii="宋体" w:hAnsi="宋体" w:eastAsia="宋体" w:cs="宋体"/>
          <w:color w:val="000000" w:themeColor="text1"/>
          <w:sz w:val="24"/>
          <w:szCs w:val="24"/>
          <w:shd w:val="clear" w:color="auto" w:fill="FFFFFF"/>
          <w14:textFill>
            <w14:solidFill>
              <w14:schemeClr w14:val="tx1"/>
            </w14:solidFill>
          </w14:textFill>
        </w:rPr>
        <w:t>，从业人员</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w:t>
      </w:r>
      <w:r>
        <w:rPr>
          <w:rFonts w:hint="eastAsia" w:ascii="宋体" w:hAnsi="宋体" w:eastAsia="宋体" w:cs="宋体"/>
          <w:color w:val="000000" w:themeColor="text1"/>
          <w:sz w:val="24"/>
          <w:szCs w:val="24"/>
          <w:shd w:val="clear" w:color="auto" w:fill="FFFFFF"/>
          <w14:textFill>
            <w14:solidFill>
              <w14:schemeClr w14:val="tx1"/>
            </w14:solidFill>
          </w14:textFill>
        </w:rPr>
        <w:t>人，营业收入为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w:t>
      </w:r>
      <w:r>
        <w:rPr>
          <w:rFonts w:hint="eastAsia" w:ascii="宋体" w:hAnsi="宋体" w:eastAsia="宋体" w:cs="宋体"/>
          <w:color w:val="000000" w:themeColor="text1"/>
          <w:sz w:val="24"/>
          <w:szCs w:val="24"/>
          <w:shd w:val="clear" w:color="auto" w:fill="FFFFFF"/>
          <w14:textFill>
            <w14:solidFill>
              <w14:schemeClr w14:val="tx1"/>
            </w14:solidFill>
          </w14:textFill>
        </w:rPr>
        <w:t>万元，资产总额为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w:t>
      </w:r>
      <w:r>
        <w:rPr>
          <w:rFonts w:hint="eastAsia" w:ascii="宋体" w:hAnsi="宋体" w:eastAsia="宋体" w:cs="宋体"/>
          <w:color w:val="000000" w:themeColor="text1"/>
          <w:sz w:val="24"/>
          <w:szCs w:val="24"/>
          <w:shd w:val="clear" w:color="auto" w:fill="FFFFFF"/>
          <w14:textFill>
            <w14:solidFill>
              <w14:schemeClr w14:val="tx1"/>
            </w14:solidFill>
          </w14:textFill>
        </w:rPr>
        <w:t>万元</w:t>
      </w:r>
      <w:r>
        <w:rPr>
          <w:rFonts w:hint="eastAsia" w:ascii="宋体" w:hAnsi="宋体" w:eastAsia="宋体" w:cs="宋体"/>
          <w:color w:val="000000" w:themeColor="text1"/>
          <w:sz w:val="24"/>
          <w:szCs w:val="24"/>
          <w:shd w:val="clear" w:color="auto" w:fill="FFFFFF"/>
          <w:vertAlign w:val="superscript"/>
          <w14:textFill>
            <w14:solidFill>
              <w14:schemeClr w14:val="tx1"/>
            </w14:solidFill>
          </w14:textFill>
        </w:rPr>
        <w:t>1</w:t>
      </w:r>
      <w:r>
        <w:rPr>
          <w:rFonts w:hint="eastAsia" w:ascii="宋体" w:hAnsi="宋体" w:eastAsia="宋体" w:cs="宋体"/>
          <w:color w:val="000000" w:themeColor="text1"/>
          <w:sz w:val="24"/>
          <w:szCs w:val="24"/>
          <w:shd w:val="clear" w:color="auto" w:fill="FFFFFF"/>
          <w14:textFill>
            <w14:solidFill>
              <w14:schemeClr w14:val="tx1"/>
            </w14:solidFill>
          </w14:textFill>
        </w:rPr>
        <w:t> ，属于</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中型企业、小型企业、微型企业）；</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2.</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（标的名称） </w:t>
      </w:r>
      <w:r>
        <w:rPr>
          <w:rFonts w:hint="eastAsia" w:ascii="宋体" w:hAnsi="宋体" w:eastAsia="宋体" w:cs="宋体"/>
          <w:color w:val="000000" w:themeColor="text1"/>
          <w:sz w:val="24"/>
          <w:szCs w:val="24"/>
          <w:shd w:val="clear" w:color="auto" w:fill="FFFFFF"/>
          <w14:textFill>
            <w14:solidFill>
              <w14:schemeClr w14:val="tx1"/>
            </w14:solidFill>
          </w14:textFill>
        </w:rPr>
        <w:t>，属于</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 （采购文件中明确的所属行业） </w:t>
      </w:r>
      <w:r>
        <w:rPr>
          <w:rFonts w:hint="eastAsia" w:ascii="宋体" w:hAnsi="宋体" w:eastAsia="宋体" w:cs="宋体"/>
          <w:color w:val="000000" w:themeColor="text1"/>
          <w:sz w:val="24"/>
          <w:szCs w:val="24"/>
          <w:shd w:val="clear" w:color="auto" w:fill="FFFFFF"/>
          <w14:textFill>
            <w14:solidFill>
              <w14:schemeClr w14:val="tx1"/>
            </w14:solidFill>
          </w14:textFill>
        </w:rPr>
        <w:t>；承建（承接）企业为 </w:t>
      </w:r>
      <w:r>
        <w:rPr>
          <w:rStyle w:val="28"/>
          <w:rFonts w:hint="eastAsia" w:ascii="宋体" w:hAnsi="宋体" w:eastAsia="宋体" w:cs="宋体"/>
          <w:color w:val="000000" w:themeColor="text1"/>
          <w:sz w:val="24"/>
          <w:szCs w:val="24"/>
          <w:u w:val="single"/>
          <w:shd w:val="clear" w:color="auto" w:fill="FFFFFF"/>
          <w14:textFill>
            <w14:solidFill>
              <w14:schemeClr w14:val="tx1"/>
            </w14:solidFill>
          </w14:textFill>
        </w:rPr>
        <w:t>（企业名称）</w:t>
      </w:r>
      <w:r>
        <w:rPr>
          <w:rFonts w:hint="eastAsia" w:ascii="宋体" w:hAnsi="宋体" w:eastAsia="宋体" w:cs="宋体"/>
          <w:color w:val="000000" w:themeColor="text1"/>
          <w:sz w:val="24"/>
          <w:szCs w:val="24"/>
          <w:shd w:val="clear" w:color="auto" w:fill="FFFFFF"/>
          <w14:textFill>
            <w14:solidFill>
              <w14:schemeClr w14:val="tx1"/>
            </w14:solidFill>
          </w14:textFill>
        </w:rPr>
        <w:t> ，从业人员</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w:t>
      </w:r>
      <w:r>
        <w:rPr>
          <w:rFonts w:hint="eastAsia" w:ascii="宋体" w:hAnsi="宋体" w:eastAsia="宋体" w:cs="宋体"/>
          <w:color w:val="000000" w:themeColor="text1"/>
          <w:sz w:val="24"/>
          <w:szCs w:val="24"/>
          <w:shd w:val="clear" w:color="auto" w:fill="FFFFFF"/>
          <w14:textFill>
            <w14:solidFill>
              <w14:schemeClr w14:val="tx1"/>
            </w14:solidFill>
          </w14:textFill>
        </w:rPr>
        <w:t>人，营业收入为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w:t>
      </w:r>
      <w:r>
        <w:rPr>
          <w:rFonts w:hint="eastAsia" w:ascii="宋体" w:hAnsi="宋体" w:eastAsia="宋体" w:cs="宋体"/>
          <w:color w:val="000000" w:themeColor="text1"/>
          <w:sz w:val="24"/>
          <w:szCs w:val="24"/>
          <w:shd w:val="clear" w:color="auto" w:fill="FFFFFF"/>
          <w14:textFill>
            <w14:solidFill>
              <w14:schemeClr w14:val="tx1"/>
            </w14:solidFill>
          </w14:textFill>
        </w:rPr>
        <w:t>万元，资产总额为</w:t>
      </w:r>
      <w:r>
        <w:rPr>
          <w:rFonts w:hint="eastAsia" w:ascii="宋体" w:hAnsi="宋体" w:eastAsia="宋体" w:cs="宋体"/>
          <w:color w:val="000000" w:themeColor="text1"/>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万元，属于</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中型企业、小型企业、微型企业）；</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以上企业，不属于大企业的分支机构，不存在控股股东为大企业的情形，也不存在与大企业的负责人为同一人的情形。</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本企业对上述声明内容的真实性负责。如有虚假，将依法承担相应责任。</w:t>
      </w:r>
    </w:p>
    <w:p>
      <w:pPr>
        <w:pStyle w:val="18"/>
        <w:widowControl/>
        <w:shd w:val="clear" w:color="auto" w:fill="FFFFFF"/>
        <w:spacing w:beforeAutospacing="0" w:afterAutospacing="0" w:line="495" w:lineRule="atLeas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企业名称（盖章）：</w:t>
      </w:r>
    </w:p>
    <w:p>
      <w:pPr>
        <w:pStyle w:val="18"/>
        <w:widowControl/>
        <w:shd w:val="clear" w:color="auto" w:fill="FFFFFF"/>
        <w:spacing w:beforeAutospacing="0" w:afterAutospacing="0" w:line="495" w:lineRule="atLeast"/>
        <w:ind w:right="600"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日 期：</w:t>
      </w:r>
    </w:p>
    <w:p>
      <w:pPr>
        <w:pStyle w:val="18"/>
        <w:widowControl/>
        <w:shd w:val="clear" w:color="auto" w:fill="FFFFFF"/>
        <w:spacing w:beforeAutospacing="0" w:afterAutospacing="0" w:line="405" w:lineRule="atLeast"/>
        <w:ind w:firstLine="420"/>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 从业人员、营业收入、资产总额填报上一年度数据，无上一年度数据的新成立企业可不填报。</w:t>
      </w:r>
    </w:p>
    <w:p>
      <w:pPr>
        <w:pStyle w:val="18"/>
        <w:widowControl/>
        <w:shd w:val="clear" w:color="auto" w:fill="FFFFFF"/>
        <w:spacing w:beforeAutospacing="0" w:afterAutospacing="0" w:line="405" w:lineRule="atLeast"/>
        <w:ind w:firstLine="420"/>
        <w:rPr>
          <w:rFonts w:hint="eastAsia" w:ascii="宋体" w:hAnsi="宋体" w:cs="宋体"/>
          <w:color w:val="000000" w:themeColor="text1"/>
          <w:sz w:val="24"/>
          <w:szCs w:val="24"/>
          <w:shd w:val="clear" w:color="auto" w:fill="FFFFFF"/>
          <w14:textFill>
            <w14:solidFill>
              <w14:schemeClr w14:val="tx1"/>
            </w14:solidFill>
          </w14:textFill>
        </w:rPr>
      </w:pPr>
    </w:p>
    <w:p>
      <w:pPr>
        <w:pStyle w:val="18"/>
        <w:widowControl/>
        <w:shd w:val="clear" w:color="auto" w:fill="FFFFFF"/>
        <w:spacing w:beforeAutospacing="0" w:afterAutospacing="0" w:line="405" w:lineRule="atLeast"/>
        <w:ind w:firstLine="420"/>
        <w:rPr>
          <w:rFonts w:hint="eastAsia" w:ascii="宋体" w:hAnsi="宋体" w:cs="宋体"/>
          <w:color w:val="000000" w:themeColor="text1"/>
          <w:sz w:val="28"/>
          <w:szCs w:val="28"/>
          <w:shd w:val="clear" w:color="auto" w:fill="FFFFFF"/>
          <w14:textFill>
            <w14:solidFill>
              <w14:schemeClr w14:val="tx1"/>
            </w14:solidFill>
          </w14:textFill>
        </w:rPr>
      </w:pPr>
    </w:p>
    <w:p>
      <w:pPr>
        <w:pStyle w:val="18"/>
        <w:widowControl/>
        <w:shd w:val="clear" w:color="auto" w:fill="FFFFFF"/>
        <w:spacing w:beforeAutospacing="0" w:afterAutospacing="0" w:line="405" w:lineRule="atLeast"/>
        <w:ind w:firstLine="420"/>
        <w:rPr>
          <w:rFonts w:hint="eastAsia" w:ascii="宋体" w:hAnsi="宋体" w:cs="宋体"/>
          <w:color w:val="000000" w:themeColor="text1"/>
          <w:sz w:val="28"/>
          <w:szCs w:val="28"/>
          <w:shd w:val="clear" w:color="auto" w:fill="FFFFFF"/>
          <w14:textFill>
            <w14:solidFill>
              <w14:schemeClr w14:val="tx1"/>
            </w14:solidFill>
          </w14:textFill>
        </w:rPr>
      </w:pPr>
    </w:p>
    <w:p>
      <w:pPr>
        <w:pStyle w:val="18"/>
        <w:widowControl/>
        <w:shd w:val="clear" w:color="auto" w:fill="FFFFFF"/>
        <w:spacing w:beforeAutospacing="0" w:afterAutospacing="0" w:line="405" w:lineRule="atLeast"/>
        <w:ind w:firstLine="420"/>
        <w:rPr>
          <w:rFonts w:hint="eastAsia" w:ascii="宋体" w:hAnsi="宋体" w:cs="宋体"/>
          <w:color w:val="000000" w:themeColor="text1"/>
          <w:sz w:val="28"/>
          <w:szCs w:val="28"/>
          <w:shd w:val="clear" w:color="auto" w:fill="FFFFFF"/>
          <w14:textFill>
            <w14:solidFill>
              <w14:schemeClr w14:val="tx1"/>
            </w14:solidFill>
          </w14:textFill>
        </w:rPr>
      </w:pPr>
    </w:p>
    <w:p>
      <w:pPr>
        <w:pStyle w:val="18"/>
        <w:widowControl/>
        <w:shd w:val="clear" w:color="auto" w:fill="FFFFFF"/>
        <w:spacing w:beforeAutospacing="0" w:afterAutospacing="0" w:line="405" w:lineRule="atLeast"/>
        <w:rPr>
          <w:rFonts w:hint="eastAsia" w:ascii="宋体" w:hAnsi="宋体" w:cs="宋体"/>
          <w:color w:val="000000" w:themeColor="text1"/>
          <w:sz w:val="28"/>
          <w:szCs w:val="28"/>
          <w:shd w:val="clear" w:color="auto" w:fill="FFFFFF"/>
          <w14:textFill>
            <w14:solidFill>
              <w14:schemeClr w14:val="tx1"/>
            </w14:solidFill>
          </w14:textFill>
        </w:rPr>
      </w:pPr>
    </w:p>
    <w:p>
      <w:pPr>
        <w:pStyle w:val="18"/>
        <w:widowControl/>
        <w:shd w:val="clear" w:color="auto" w:fill="FFFFFF"/>
        <w:spacing w:beforeAutospacing="0" w:afterAutospacing="0" w:line="405" w:lineRule="atLeast"/>
        <w:rPr>
          <w:rFonts w:hint="eastAsia" w:ascii="宋体" w:hAnsi="宋体" w:cs="宋体"/>
          <w:color w:val="000000" w:themeColor="text1"/>
          <w:sz w:val="28"/>
          <w:szCs w:val="28"/>
          <w:shd w:val="clear" w:color="auto" w:fill="FFFFFF"/>
          <w14:textFill>
            <w14:solidFill>
              <w14:schemeClr w14:val="tx1"/>
            </w14:solidFill>
          </w14:textFill>
        </w:rPr>
      </w:pPr>
    </w:p>
    <w:p>
      <w:pPr>
        <w:pStyle w:val="18"/>
        <w:widowControl/>
        <w:shd w:val="clear" w:color="auto" w:fill="FFFFFF"/>
        <w:spacing w:beforeAutospacing="0" w:afterAutospacing="0" w:line="405" w:lineRule="atLeast"/>
        <w:rPr>
          <w:rFonts w:hint="eastAsia" w:ascii="宋体" w:hAnsi="宋体" w:cs="宋体"/>
          <w:color w:val="000000" w:themeColor="text1"/>
          <w:sz w:val="28"/>
          <w:szCs w:val="28"/>
          <w:shd w:val="clear" w:color="auto" w:fill="FFFFFF"/>
          <w14:textFill>
            <w14:solidFill>
              <w14:schemeClr w14:val="tx1"/>
            </w14:solidFill>
          </w14:textFill>
        </w:rPr>
      </w:pPr>
    </w:p>
    <w:p>
      <w:pPr>
        <w:pStyle w:val="4"/>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12.</w:t>
      </w:r>
      <w:r>
        <w:rPr>
          <w:rFonts w:hint="eastAsia" w:ascii="宋体" w:hAnsi="宋体" w:eastAsia="宋体" w:cs="宋体"/>
          <w:color w:val="000000" w:themeColor="text1"/>
          <w:sz w:val="28"/>
          <w:szCs w:val="28"/>
          <w14:textFill>
            <w14:solidFill>
              <w14:schemeClr w14:val="tx1"/>
            </w14:solidFill>
          </w14:textFill>
        </w:rPr>
        <w:t>《残疾人福利性单位声明函》</w:t>
      </w:r>
    </w:p>
    <w:p>
      <w:pPr>
        <w:spacing w:line="520" w:lineRule="exact"/>
        <w:jc w:val="center"/>
        <w:rPr>
          <w:rFonts w:hint="eastAsia" w:ascii="宋体" w:hAnsi="宋体" w:eastAsia="宋体" w:cs="宋体"/>
          <w:b/>
          <w:color w:val="000000" w:themeColor="text1"/>
          <w:sz w:val="24"/>
          <w:szCs w:val="24"/>
          <w14:textFill>
            <w14:solidFill>
              <w14:schemeClr w14:val="tx1"/>
            </w14:solidFill>
          </w14:textFill>
        </w:rPr>
      </w:pPr>
      <w:bookmarkStart w:id="722" w:name="OLE_LINK14"/>
      <w:r>
        <w:rPr>
          <w:rFonts w:hint="eastAsia" w:ascii="宋体" w:hAnsi="宋体" w:eastAsia="宋体" w:cs="宋体"/>
          <w:b/>
          <w:color w:val="000000" w:themeColor="text1"/>
          <w:sz w:val="24"/>
          <w:szCs w:val="24"/>
          <w14:textFill>
            <w14:solidFill>
              <w14:schemeClr w14:val="tx1"/>
            </w14:solidFill>
          </w14:textFill>
        </w:rPr>
        <w:t>残疾人福利性单位声明函</w:t>
      </w:r>
    </w:p>
    <w:bookmarkEnd w:id="722"/>
    <w:p>
      <w:pPr>
        <w:spacing w:line="520" w:lineRule="exact"/>
        <w:jc w:val="center"/>
        <w:rPr>
          <w:rFonts w:hint="eastAsia" w:ascii="宋体" w:hAnsi="宋体" w:eastAsia="宋体" w:cs="宋体"/>
          <w:b/>
          <w:color w:val="000000" w:themeColor="text1"/>
          <w:sz w:val="24"/>
          <w:szCs w:val="24"/>
          <w14:textFill>
            <w14:solidFill>
              <w14:schemeClr w14:val="tx1"/>
            </w14:solidFill>
          </w14:textFill>
        </w:rPr>
      </w:pPr>
    </w:p>
    <w:p>
      <w:pPr>
        <w:spacing w:line="520" w:lineRule="exact"/>
        <w:ind w:firstLine="484" w:firstLineChars="20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20" w:lineRule="exact"/>
        <w:ind w:firstLine="484" w:firstLineChars="20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本单位对上述声明的真实性负责。如有虚假，将依法承担相应责任。</w:t>
      </w:r>
    </w:p>
    <w:p>
      <w:pPr>
        <w:spacing w:line="520" w:lineRule="exact"/>
        <w:jc w:val="center"/>
        <w:rPr>
          <w:rFonts w:hint="eastAsia" w:ascii="宋体" w:hAnsi="宋体" w:eastAsia="宋体" w:cs="宋体"/>
          <w:color w:val="000000" w:themeColor="text1"/>
          <w:sz w:val="24"/>
          <w:szCs w:val="24"/>
          <w14:textFill>
            <w14:solidFill>
              <w14:schemeClr w14:val="tx1"/>
            </w14:solidFill>
          </w14:textFill>
        </w:rPr>
      </w:pPr>
    </w:p>
    <w:p>
      <w:pPr>
        <w:spacing w:line="520" w:lineRule="exact"/>
        <w:jc w:val="center"/>
        <w:rPr>
          <w:rFonts w:hint="eastAsia" w:ascii="宋体" w:hAnsi="宋体" w:eastAsia="宋体" w:cs="宋体"/>
          <w:color w:val="000000" w:themeColor="text1"/>
          <w:sz w:val="24"/>
          <w:szCs w:val="24"/>
          <w14:textFill>
            <w14:solidFill>
              <w14:schemeClr w14:val="tx1"/>
            </w14:solidFill>
          </w14:textFill>
        </w:rPr>
      </w:pPr>
    </w:p>
    <w:p>
      <w:pPr>
        <w:bidi w:val="0"/>
        <w:ind w:firstLine="5040" w:firstLineChars="2100"/>
        <w:jc w:val="left"/>
        <w:rPr>
          <w:rFonts w:hint="eastAsia"/>
          <w:color w:val="000000" w:themeColor="text1"/>
          <w:sz w:val="24"/>
          <w:szCs w:val="24"/>
          <w14:textFill>
            <w14:solidFill>
              <w14:schemeClr w14:val="tx1"/>
            </w14:solidFill>
          </w14:textFill>
        </w:rPr>
      </w:pPr>
      <w:bookmarkStart w:id="723" w:name="_Toc28543_WPSOffice_Level1"/>
      <w:bookmarkStart w:id="724" w:name="_Toc19443"/>
      <w:bookmarkStart w:id="725" w:name="_Toc19148"/>
      <w:bookmarkStart w:id="726" w:name="_Toc31041_WPSOffice_Level1"/>
      <w:bookmarkStart w:id="727" w:name="_Toc27032_WPSOffice_Level1"/>
      <w:bookmarkStart w:id="728" w:name="_Toc17258"/>
      <w:bookmarkStart w:id="729" w:name="_Toc16544_WPSOffice_Level1"/>
      <w:r>
        <w:rPr>
          <w:rFonts w:hint="eastAsia"/>
          <w:color w:val="000000" w:themeColor="text1"/>
          <w:sz w:val="24"/>
          <w:szCs w:val="24"/>
          <w14:textFill>
            <w14:solidFill>
              <w14:schemeClr w14:val="tx1"/>
            </w14:solidFill>
          </w14:textFill>
        </w:rPr>
        <w:t>单位名称（盖章）：</w:t>
      </w:r>
      <w:bookmarkEnd w:id="723"/>
      <w:bookmarkEnd w:id="724"/>
      <w:bookmarkEnd w:id="725"/>
      <w:bookmarkEnd w:id="726"/>
      <w:bookmarkEnd w:id="727"/>
      <w:bookmarkEnd w:id="728"/>
      <w:bookmarkEnd w:id="729"/>
    </w:p>
    <w:p>
      <w:pPr>
        <w:pageBreakBefore w:val="0"/>
        <w:kinsoku/>
        <w:overflowPunct/>
        <w:topLinePunct w:val="0"/>
        <w:bidi w:val="0"/>
        <w:spacing w:line="360" w:lineRule="auto"/>
        <w:ind w:firstLine="3600" w:firstLineChars="1500"/>
        <w:textAlignment w:val="auto"/>
        <w:rPr>
          <w:rFonts w:hint="eastAsia" w:ascii="宋体" w:hAnsi="宋体" w:eastAsia="宋体" w:cs="宋体"/>
          <w:color w:val="000000" w:themeColor="text1"/>
          <w:sz w:val="24"/>
          <w:szCs w:val="24"/>
          <w14:textFill>
            <w14:solidFill>
              <w14:schemeClr w14:val="tx1"/>
            </w14:solidFill>
          </w14:textFill>
        </w:rPr>
      </w:pPr>
      <w:bookmarkStart w:id="730" w:name="_Toc5760_WPSOffice_Level1"/>
      <w:bookmarkStart w:id="731" w:name="_Toc22377_WPSOffice_Level1"/>
      <w:bookmarkStart w:id="732" w:name="_Toc30936"/>
      <w:bookmarkStart w:id="733" w:name="_Toc5158"/>
      <w:bookmarkStart w:id="734" w:name="_Toc8917"/>
      <w:bookmarkStart w:id="735" w:name="_Toc16384_WPSOffice_Level1"/>
      <w:bookmarkStart w:id="736" w:name="_Toc14096_WPSOffice_Level1"/>
    </w:p>
    <w:p>
      <w:pPr>
        <w:pageBreakBefore w:val="0"/>
        <w:kinsoku/>
        <w:overflowPunct/>
        <w:topLinePunct w:val="0"/>
        <w:bidi w:val="0"/>
        <w:spacing w:line="360" w:lineRule="auto"/>
        <w:ind w:firstLine="5040" w:firstLineChars="2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bookmarkEnd w:id="730"/>
      <w:bookmarkEnd w:id="731"/>
      <w:bookmarkEnd w:id="732"/>
      <w:bookmarkEnd w:id="733"/>
      <w:bookmarkEnd w:id="734"/>
      <w:bookmarkEnd w:id="735"/>
      <w:bookmarkEnd w:id="736"/>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bookmarkStart w:id="737" w:name="_Toc13775"/>
      <w:bookmarkStart w:id="738" w:name="_Toc27823_WPSOffice_Level1"/>
      <w:bookmarkStart w:id="739" w:name="_Toc27759_WPSOffice_Level1"/>
      <w:bookmarkStart w:id="740" w:name="_Toc20319_WPSOffice_Level1"/>
      <w:bookmarkStart w:id="741" w:name="_Toc3501_WPSOffice_Level1"/>
      <w:bookmarkStart w:id="742" w:name="_Toc7680"/>
      <w:bookmarkStart w:id="743" w:name="_Toc22105"/>
    </w:p>
    <w:p>
      <w:pPr>
        <w:pStyle w:val="38"/>
        <w:rPr>
          <w:rFonts w:hint="eastAsia" w:ascii="宋体" w:hAnsi="宋体" w:eastAsia="宋体" w:cs="宋体"/>
          <w:color w:val="000000" w:themeColor="text1"/>
          <w:highlight w:val="none"/>
          <w14:textFill>
            <w14:solidFill>
              <w14:schemeClr w14:val="tx1"/>
            </w14:solidFill>
          </w14:textFill>
        </w:rPr>
      </w:pPr>
    </w:p>
    <w:p>
      <w:pPr>
        <w:pStyle w:val="38"/>
        <w:rPr>
          <w:rFonts w:hint="eastAsia" w:ascii="宋体" w:hAnsi="宋体" w:eastAsia="宋体" w:cs="宋体"/>
          <w:color w:val="000000" w:themeColor="text1"/>
          <w:highlight w:val="none"/>
          <w14:textFill>
            <w14:solidFill>
              <w14:schemeClr w14:val="tx1"/>
            </w14:solidFill>
          </w14:textFill>
        </w:rPr>
      </w:pPr>
    </w:p>
    <w:p>
      <w:pPr>
        <w:pStyle w:val="38"/>
        <w:rPr>
          <w:rFonts w:hint="eastAsia" w:ascii="宋体" w:hAnsi="宋体" w:eastAsia="宋体" w:cs="宋体"/>
          <w:color w:val="000000" w:themeColor="text1"/>
          <w:highlight w:val="none"/>
          <w14:textFill>
            <w14:solidFill>
              <w14:schemeClr w14:val="tx1"/>
            </w14:solidFill>
          </w14:textFill>
        </w:rPr>
      </w:pPr>
    </w:p>
    <w:p>
      <w:pPr>
        <w:pStyle w:val="38"/>
        <w:rPr>
          <w:rFonts w:hint="eastAsia" w:ascii="宋体" w:hAnsi="宋体" w:eastAsia="宋体" w:cs="宋体"/>
          <w:color w:val="000000" w:themeColor="text1"/>
          <w:highlight w:val="none"/>
          <w14:textFill>
            <w14:solidFill>
              <w14:schemeClr w14:val="tx1"/>
            </w14:solidFill>
          </w14:textFill>
        </w:rPr>
      </w:pPr>
    </w:p>
    <w:p>
      <w:pPr>
        <w:pStyle w:val="38"/>
        <w:rPr>
          <w:rFonts w:hint="eastAsia" w:ascii="宋体" w:hAnsi="宋体" w:eastAsia="宋体" w:cs="宋体"/>
          <w:color w:val="000000" w:themeColor="text1"/>
          <w:highlight w:val="none"/>
          <w14:textFill>
            <w14:solidFill>
              <w14:schemeClr w14:val="tx1"/>
            </w14:solidFill>
          </w14:textFill>
        </w:rPr>
      </w:pPr>
    </w:p>
    <w:p>
      <w:pPr>
        <w:pStyle w:val="2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775970</wp:posOffset>
                </wp:positionH>
                <wp:positionV relativeFrom="paragraph">
                  <wp:posOffset>113665</wp:posOffset>
                </wp:positionV>
                <wp:extent cx="1828800" cy="1828800"/>
                <wp:effectExtent l="0" t="0" r="0" b="0"/>
                <wp:wrapSquare wrapText="bothSides"/>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uto"/>
                              <w:ind w:left="-210" w:leftChars="-100" w:firstLine="422" w:firstLineChars="75"/>
                              <w:jc w:val="both"/>
                              <w:textAlignment w:val="auto"/>
                              <w:rPr>
                                <w:rFonts w:hint="eastAsia" w:ascii="宋体" w:hAnsi="宋体" w:eastAsia="宋体" w:cs="宋体"/>
                                <w:b/>
                                <w:bCs/>
                                <w:color w:val="767171" w:themeColor="background2" w:themeShade="80"/>
                                <w:sz w:val="56"/>
                                <w:szCs w:val="56"/>
                                <w14:reflection w14:blurRad="6350" w14:stA="53000" w14:stPos="0" w14:endA="300" w14:endPos="35500" w14:dist="0" w14:dir="5400000" w14:fadeDir="5400000" w14:sx="100000" w14:sy="-90000" w14:kx="0" w14:algn="bl"/>
                                <w14:textFill>
                                  <w14:gradFill>
                                    <w14:gsLst>
                                      <w14:gs w14:pos="50000">
                                        <w14:srgbClr w14:val="9F9967"/>
                                      </w14:gs>
                                      <w14:gs w14:pos="0">
                                        <w14:srgbClr w14:val="BFBB9A"/>
                                      </w14:gs>
                                      <w14:gs w14:pos="100000">
                                        <w14:srgbClr w14:val="7E7634"/>
                                      </w14:gs>
                                    </w14:gsLst>
                                    <w14:lin w14:scaled="1"/>
                                  </w14:gradFill>
                                </w14:textFill>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61.1pt;margin-top:8.95pt;height:144pt;width:144pt;mso-wrap-distance-bottom:0pt;mso-wrap-distance-left:9pt;mso-wrap-distance-right:9pt;mso-wrap-distance-top:0pt;mso-wrap-style:none;z-index:251664384;mso-width-relative:page;mso-height-relative:page;" filled="f" stroked="f" coordsize="21600,21600" o:gfxdata="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IrJFC2AAAAAoBAAAPAAAAAAAAAAEAIAAAACIAAABkcnMvZG93bnJl&#10;di54bWxQSwECFAAUAAAACACHTuJAnRxWdzYCAABnBAAADgAAAAAAAAABACAAAAAnAQAAZHJzL2Uy&#10;b0RvYy54bWxQSwUGAAAAAAYABgBZAQAAzwUAAAAA&#10;">
                <v:fill on="f" focussize="0,0"/>
                <v:stroke on="f" weight="0.5pt"/>
                <v:imagedata o:title=""/>
                <o:lock v:ext="edit" aspectratio="f"/>
                <v:textbox style="mso-fit-shape-to-text:t;">
                  <w:txbxContent>
                    <w:p>
                      <w:pPr>
                        <w:keepNext w:val="0"/>
                        <w:keepLines w:val="0"/>
                        <w:pageBreakBefore w:val="0"/>
                        <w:widowControl w:val="0"/>
                        <w:kinsoku/>
                        <w:wordWrap/>
                        <w:overflowPunct/>
                        <w:topLinePunct w:val="0"/>
                        <w:autoSpaceDE/>
                        <w:autoSpaceDN/>
                        <w:bidi w:val="0"/>
                        <w:adjustRightInd/>
                        <w:snapToGrid/>
                        <w:spacing w:line="240" w:lineRule="auto"/>
                        <w:ind w:left="-210" w:leftChars="-100" w:firstLine="422" w:firstLineChars="75"/>
                        <w:jc w:val="both"/>
                        <w:textAlignment w:val="auto"/>
                        <w:rPr>
                          <w:rFonts w:hint="eastAsia" w:ascii="宋体" w:hAnsi="宋体" w:eastAsia="宋体" w:cs="宋体"/>
                          <w:b/>
                          <w:bCs/>
                          <w:color w:val="767171" w:themeColor="background2" w:themeShade="80"/>
                          <w:sz w:val="56"/>
                          <w:szCs w:val="56"/>
                          <w14:reflection w14:blurRad="6350" w14:stA="53000" w14:stPos="0" w14:endA="300" w14:endPos="35500" w14:dist="0" w14:dir="5400000" w14:fadeDir="5400000" w14:sx="100000" w14:sy="-90000" w14:kx="0" w14:algn="bl"/>
                          <w14:textFill>
                            <w14:gradFill>
                              <w14:gsLst>
                                <w14:gs w14:pos="50000">
                                  <w14:srgbClr w14:val="9F9967"/>
                                </w14:gs>
                                <w14:gs w14:pos="0">
                                  <w14:srgbClr w14:val="BFBB9A"/>
                                </w14:gs>
                                <w14:gs w14:pos="100000">
                                  <w14:srgbClr w14:val="7E7634"/>
                                </w14:gs>
                              </w14:gsLst>
                              <w14:lin w14:scaled="1"/>
                            </w14:gradFill>
                          </w14:textFill>
                        </w:rPr>
                      </w:pPr>
                    </w:p>
                  </w:txbxContent>
                </v:textbox>
                <w10:wrap type="square"/>
              </v:shape>
            </w:pict>
          </mc:Fallback>
        </mc:AlternateContent>
      </w: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p>
    <w:p>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snapToGrid/>
        <w:textAlignment w:val="baseline"/>
        <w:outlineLvl w:val="1"/>
        <w:rPr>
          <w:rFonts w:hint="eastAsia" w:ascii="宋体" w:hAnsi="宋体" w:eastAsia="宋体" w:cs="宋体"/>
          <w:b/>
          <w:color w:val="000000" w:themeColor="text1"/>
          <w:sz w:val="28"/>
          <w:szCs w:val="28"/>
          <w:highlight w:val="none"/>
          <w:u w:val="none" w:color="000000"/>
          <w:lang w:val="en-US" w:eastAsia="zh-CN" w:bidi="ar-SA"/>
          <w14:textFill>
            <w14:solidFill>
              <w14:schemeClr w14:val="tx1"/>
            </w14:solidFill>
          </w14:textFill>
        </w:rPr>
      </w:pPr>
      <w:r>
        <w:rPr>
          <w:rFonts w:hint="eastAsia" w:ascii="宋体" w:hAnsi="宋体" w:cs="宋体"/>
          <w:b/>
          <w:color w:val="000000" w:themeColor="text1"/>
          <w:sz w:val="28"/>
          <w:szCs w:val="28"/>
          <w:highlight w:val="none"/>
          <w:u w:val="none" w:color="000000"/>
          <w:lang w:val="en-US" w:eastAsia="zh-CN" w:bidi="ar-SA"/>
          <w14:textFill>
            <w14:solidFill>
              <w14:schemeClr w14:val="tx1"/>
            </w14:solidFill>
          </w14:textFill>
        </w:rPr>
        <w:t>13.《</w:t>
      </w:r>
      <w:r>
        <w:rPr>
          <w:rFonts w:hint="eastAsia" w:ascii="宋体" w:hAnsi="宋体" w:eastAsia="宋体" w:cs="宋体"/>
          <w:b/>
          <w:color w:val="000000" w:themeColor="text1"/>
          <w:sz w:val="28"/>
          <w:szCs w:val="28"/>
          <w:highlight w:val="none"/>
          <w:u w:val="none" w:color="000000"/>
          <w:lang w:val="en-US" w:eastAsia="zh-CN" w:bidi="ar-SA"/>
          <w14:textFill>
            <w14:solidFill>
              <w14:schemeClr w14:val="tx1"/>
            </w14:solidFill>
          </w14:textFill>
        </w:rPr>
        <w:t>监狱企业证明函</w:t>
      </w:r>
      <w:r>
        <w:rPr>
          <w:rFonts w:hint="eastAsia" w:ascii="宋体" w:hAnsi="宋体" w:cs="宋体"/>
          <w:b/>
          <w:color w:val="000000" w:themeColor="text1"/>
          <w:sz w:val="28"/>
          <w:szCs w:val="28"/>
          <w:highlight w:val="none"/>
          <w:u w:val="none" w:color="000000"/>
          <w:lang w:val="en-US" w:eastAsia="zh-CN" w:bidi="ar-SA"/>
          <w14:textFill>
            <w14:solidFill>
              <w14:schemeClr w14:val="tx1"/>
            </w14:solidFill>
          </w14:textFill>
        </w:rPr>
        <w:t>》（若有）</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说明：当且仅当供应商为监狱企业的，应当提供由省级以上监狱管理局、戒毒管理局（含新疆生产建设兵团）出具的属于监狱企业的证明函（格式不限）。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未提供证明函的，将不能享受招标文件规定的价格优惠政策，但不影响投标文件的有效性。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监狱企业证明函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pPr>
        <w:pageBreakBefore w:val="0"/>
        <w:kinsoku/>
        <w:wordWrap/>
        <w:overflowPunct/>
        <w:topLinePunct w:val="0"/>
        <w:bidi w:val="0"/>
        <w:spacing w:line="36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单位名称（盖章）：</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color w:val="000000" w:themeColor="text1"/>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  期：</w:t>
      </w:r>
      <w:bookmarkEnd w:id="737"/>
      <w:bookmarkEnd w:id="738"/>
      <w:bookmarkEnd w:id="739"/>
      <w:bookmarkEnd w:id="740"/>
      <w:bookmarkEnd w:id="741"/>
      <w:bookmarkEnd w:id="742"/>
      <w:bookmarkEnd w:id="743"/>
      <w:r>
        <w:rPr>
          <w:color w:val="000000" w:themeColor="text1"/>
          <w:sz w:val="2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-29210</wp:posOffset>
                </wp:positionH>
                <wp:positionV relativeFrom="paragraph">
                  <wp:posOffset>90170</wp:posOffset>
                </wp:positionV>
                <wp:extent cx="5887720" cy="9525"/>
                <wp:effectExtent l="0" t="0" r="0" b="0"/>
                <wp:wrapNone/>
                <wp:docPr id="23" name="直接连接符 23"/>
                <wp:cNvGraphicFramePr/>
                <a:graphic xmlns:a="http://schemas.openxmlformats.org/drawingml/2006/main">
                  <a:graphicData uri="http://schemas.microsoft.com/office/word/2010/wordprocessingShape">
                    <wps:wsp>
                      <wps:cNvCnPr/>
                      <wps:spPr>
                        <a:xfrm flipV="1">
                          <a:off x="0" y="0"/>
                          <a:ext cx="5887720" cy="9525"/>
                        </a:xfrm>
                        <a:prstGeom prst="line">
                          <a:avLst/>
                        </a:prstGeom>
                        <a:ln w="22225" cmpd="dbl">
                          <a:noFill/>
                          <a:prstDash val="soli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3pt;margin-top:7.1pt;height:0.75pt;width:463.6pt;z-index:251665408;mso-width-relative:page;mso-height-relative:page;" filled="f" stroked="f" coordsize="21600,21600" o:gfxdata="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rBvEs1QAAAAgBAAAPAAAA&#10;AAAAAAEAIAAAACIAAABkcnMvZG93bnJldi54bWxQSwECFAAUAAAACACHTuJAaESsxt8BAACYAwAA&#10;DgAAAAAAAAABACAAAAAkAQAAZHJzL2Uyb0RvYy54bWxQSwUGAAAAAAYABgBZAQAAdQUAAAAA&#10;">
                <v:fill on="f" focussize="0,0"/>
                <v:stroke on="f" weight="1.75pt" linestyle="thinThin" miterlimit="8" joinstyle="miter"/>
                <v:imagedata o:title=""/>
                <o:lock v:ext="edit" aspectratio="f"/>
              </v:line>
            </w:pict>
          </mc:Fallback>
        </mc:AlternateContent>
      </w:r>
    </w:p>
    <w:sectPr>
      <w:endnotePr>
        <w:numFmt w:val="decimal"/>
      </w:endnotePr>
      <w:pgSz w:w="11907" w:h="16840"/>
      <w:pgMar w:top="1440" w:right="1519" w:bottom="1440" w:left="1519" w:header="851" w:footer="850" w:gutter="0"/>
      <w:pgNumType w:fmt="decimal"/>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80" w:lineRule="exact"/>
      <w:rPr>
        <w:rFonts w:hint="eastAsia"/>
        <w:b/>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140"/>
        <w:tab w:val="right" w:pos="8300"/>
        <w:tab w:val="clear" w:pos="4153"/>
        <w:tab w:val="clear" w:pos="8306"/>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140"/>
        <w:tab w:val="right" w:pos="8300"/>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67</w:t>
    </w:r>
    <w:r>
      <w:rPr>
        <w:b/>
        <w:sz w:val="24"/>
        <w:szCs w:val="24"/>
      </w:rPr>
      <w:fldChar w:fldCharType="end"/>
    </w:r>
  </w:p>
  <w:p>
    <w:pPr>
      <w:spacing w:line="280" w:lineRule="exact"/>
      <w:jc w:val="center"/>
      <w:rPr>
        <w:rStyle w:val="26"/>
        <w:rFonts w:hint="eastAsia"/>
        <w:b/>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both"/>
      <w:rPr>
        <w:b/>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ind w:left="0" w:leftChars="0" w:firstLine="0" w:firstLineChars="0"/>
      <w:rPr>
        <w:rFonts w:hint="eastAsia" w:ascii="宋体" w:hAnsi="宋体" w:eastAsia="宋体" w:cs="宋体"/>
        <w:b/>
        <w:sz w:val="20"/>
        <w:szCs w:val="20"/>
        <w:shd w:val="clear" w:color="auto" w:fill="FFFFFF"/>
        <w:lang w:eastAsia="zh-CN"/>
      </w:rPr>
    </w:pPr>
  </w:p>
  <w:p>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tabs>
        <w:tab w:val="left" w:pos="8190"/>
        <w:tab w:val="right" w:pos="8620"/>
      </w:tabs>
      <w:ind w:left="0" w:leftChars="0" w:right="-313" w:rightChars="-149" w:firstLine="0" w:firstLineChars="0"/>
      <w:rPr>
        <w:rFonts w:hint="default" w:ascii="宋体" w:hAnsi="宋体" w:eastAsia="宋体" w:cs="宋体"/>
        <w:b/>
        <w:sz w:val="20"/>
        <w:szCs w:val="20"/>
        <w:shd w:val="clear" w:color="auto" w:fill="FFFFFF"/>
        <w:lang w:val="en-US" w:eastAsia="zh-CN"/>
      </w:rPr>
    </w:pPr>
    <w:r>
      <w:rPr>
        <w:rFonts w:hint="eastAsia" w:ascii="宋体" w:hAnsi="宋体" w:eastAsia="宋体" w:cs="宋体"/>
        <w:b/>
        <w:sz w:val="20"/>
        <w:szCs w:val="20"/>
        <w:shd w:val="clear" w:color="auto" w:fill="FFFFFF"/>
        <w:lang w:eastAsia="zh-CN"/>
      </w:rPr>
      <w:tab/>
    </w:r>
    <w:r>
      <w:rPr>
        <w:rFonts w:hint="eastAsia" w:ascii="宋体" w:hAnsi="宋体" w:eastAsia="宋体" w:cs="宋体"/>
        <w:b/>
        <w:sz w:val="20"/>
        <w:szCs w:val="20"/>
        <w:shd w:val="clear" w:color="auto" w:fill="FFFFFF"/>
        <w:lang w:val="en-US" w:eastAsia="zh-CN"/>
      </w:rPr>
      <w:t xml:space="preserve">    </w:t>
    </w:r>
  </w:p>
  <w:p>
    <w:pPr>
      <w:keepNext w:val="0"/>
      <w:keepLines w:val="0"/>
      <w:pageBreakBefore w:val="0"/>
      <w:widowControl w:val="0"/>
      <w:pBdr>
        <w:bottom w:val="none" w:color="auto" w:sz="0" w:space="0"/>
      </w:pBdr>
      <w:shd w:val="clear"/>
      <w:kinsoku/>
      <w:wordWrap w:val="0"/>
      <w:overflowPunct/>
      <w:topLinePunct w:val="0"/>
      <w:autoSpaceDE/>
      <w:autoSpaceDN/>
      <w:bidi w:val="0"/>
      <w:adjustRightInd/>
      <w:snapToGrid/>
      <w:spacing w:line="360" w:lineRule="auto"/>
      <w:ind w:right="-92" w:rightChars="-44"/>
      <w:jc w:val="both"/>
      <w:textAlignment w:val="auto"/>
      <w:rPr>
        <w:rFonts w:hint="default" w:ascii="宋体" w:hAnsi="宋体" w:eastAsia="宋体" w:cs="宋体"/>
        <w:b w:val="0"/>
        <w:bCs/>
        <w:i/>
        <w:iCs/>
        <w:sz w:val="13"/>
        <w:szCs w:val="13"/>
        <w:u w:val="none"/>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none" w:color="auto" w:sz="0" w:space="0"/>
      </w:pBdr>
      <w:shd w:val="clear"/>
      <w:kinsoku/>
      <w:wordWrap w:val="0"/>
      <w:overflowPunct/>
      <w:topLinePunct w:val="0"/>
      <w:autoSpaceDE/>
      <w:autoSpaceDN/>
      <w:bidi w:val="0"/>
      <w:adjustRightInd/>
      <w:snapToGrid/>
      <w:spacing w:line="360" w:lineRule="auto"/>
      <w:ind w:right="-92" w:rightChars="-44"/>
      <w:jc w:val="both"/>
      <w:textAlignment w:val="auto"/>
      <w:rPr>
        <w:rFonts w:hint="default" w:ascii="宋体" w:hAnsi="宋体" w:eastAsia="宋体" w:cs="宋体"/>
        <w:b w:val="0"/>
        <w:bCs/>
        <w:i/>
        <w:iCs/>
        <w:sz w:val="13"/>
        <w:szCs w:val="13"/>
        <w:u w:val="none"/>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none" w:color="auto" w:sz="0" w:space="0"/>
      </w:pBdr>
      <w:shd w:val="clear"/>
      <w:kinsoku/>
      <w:wordWrap w:val="0"/>
      <w:overflowPunct/>
      <w:topLinePunct w:val="0"/>
      <w:autoSpaceDE/>
      <w:autoSpaceDN/>
      <w:bidi w:val="0"/>
      <w:adjustRightInd/>
      <w:snapToGrid/>
      <w:spacing w:line="360" w:lineRule="auto"/>
      <w:ind w:right="-92" w:rightChars="-44"/>
      <w:jc w:val="both"/>
      <w:textAlignment w:val="auto"/>
      <w:rPr>
        <w:rFonts w:hint="default" w:ascii="宋体" w:hAnsi="宋体" w:eastAsia="宋体" w:cs="宋体"/>
        <w:b w:val="0"/>
        <w:bCs/>
        <w:i/>
        <w:iCs/>
        <w:sz w:val="13"/>
        <w:szCs w:val="13"/>
        <w:u w:val="none"/>
        <w:lang w:val="en-US"/>
      </w:rPr>
    </w:pPr>
    <w:r>
      <w:rPr>
        <w:rFonts w:hint="eastAsia" w:ascii="宋体" w:hAnsi="宋体" w:eastAsia="宋体" w:cs="宋体"/>
        <w:b w:val="0"/>
        <w:bCs/>
        <w:i/>
        <w:iCs/>
        <w:sz w:val="15"/>
        <w:szCs w:val="15"/>
        <w:u w:val="none"/>
        <w:shd w:val="clear" w:color="auto" w:fill="auto"/>
        <w:lang w:val="en-US" w:eastAsia="zh-CN"/>
      </w:rPr>
      <w:t xml:space="preserve"> </w:t>
    </w:r>
  </w:p>
  <w:p>
    <w:pPr>
      <w:pStyle w:val="15"/>
      <w:pBdr>
        <w:bottom w:val="none" w:color="auto" w:sz="0" w:space="1"/>
      </w:pBdr>
      <w:jc w:val="left"/>
      <w:rPr>
        <w:rFonts w:hint="eastAsia"/>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jc w:val="left"/>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rPr>
        <w:rFonts w:hint="eastAsia" w:eastAsia="宋体"/>
        <w:lang w:eastAsia="zh-CN"/>
      </w:rPr>
    </w:pPr>
    <w:r>
      <w:rPr>
        <w:rFonts w:hint="eastAsia" w:ascii="宋体" w:hAnsi="宋体"/>
        <w:b/>
        <w:sz w:val="18"/>
        <w:szCs w:val="18"/>
        <w:u w:val="single"/>
        <w:shd w:val="pct10" w:color="auto" w:fill="FFFFFF"/>
      </w:rPr>
      <w:t>凤县“8.16”洪水灾后重建水毁堤防修复工程及监理采购项目                            项目编号:</w:t>
    </w:r>
    <w:r>
      <w:rPr>
        <w:rFonts w:hint="eastAsia" w:ascii="宋体" w:hAnsi="宋体"/>
        <w:b/>
        <w:sz w:val="18"/>
        <w:szCs w:val="18"/>
        <w:u w:val="single"/>
        <w:shd w:val="pct10" w:color="auto" w:fill="FFFFFF"/>
        <w:lang w:eastAsia="zh-CN"/>
      </w:rPr>
      <w:t>HRCZB20220003</w:t>
    </w:r>
  </w:p>
  <w:p>
    <w:pPr>
      <w:pStyle w:val="15"/>
      <w:jc w:val="both"/>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33D9DA"/>
    <w:multiLevelType w:val="singleLevel"/>
    <w:tmpl w:val="0533D9DA"/>
    <w:lvl w:ilvl="0" w:tentative="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1MzA0ODJkMzg0ZDliNzJiNTNkMDQ1NGZmMjRmYWIifQ=="/>
  </w:docVars>
  <w:rsids>
    <w:rsidRoot w:val="788B0903"/>
    <w:rsid w:val="00087A7E"/>
    <w:rsid w:val="00166795"/>
    <w:rsid w:val="00615EA1"/>
    <w:rsid w:val="0083050D"/>
    <w:rsid w:val="00936276"/>
    <w:rsid w:val="00977B14"/>
    <w:rsid w:val="00AD558A"/>
    <w:rsid w:val="00B04192"/>
    <w:rsid w:val="00BC6A1E"/>
    <w:rsid w:val="00D01AE7"/>
    <w:rsid w:val="012D66CB"/>
    <w:rsid w:val="01380A9F"/>
    <w:rsid w:val="013C246A"/>
    <w:rsid w:val="014F3925"/>
    <w:rsid w:val="01536131"/>
    <w:rsid w:val="017B3FF0"/>
    <w:rsid w:val="01B14C06"/>
    <w:rsid w:val="01C42B8B"/>
    <w:rsid w:val="01FF1E15"/>
    <w:rsid w:val="02117D9A"/>
    <w:rsid w:val="024141DC"/>
    <w:rsid w:val="025A1169"/>
    <w:rsid w:val="02923124"/>
    <w:rsid w:val="029F6EF5"/>
    <w:rsid w:val="02B41DD9"/>
    <w:rsid w:val="02BF77F6"/>
    <w:rsid w:val="02CE2AFD"/>
    <w:rsid w:val="02D432A2"/>
    <w:rsid w:val="02F53322"/>
    <w:rsid w:val="02F76F90"/>
    <w:rsid w:val="03231B33"/>
    <w:rsid w:val="03247659"/>
    <w:rsid w:val="035A307B"/>
    <w:rsid w:val="036A2E09"/>
    <w:rsid w:val="037B10AC"/>
    <w:rsid w:val="037B196F"/>
    <w:rsid w:val="0388408C"/>
    <w:rsid w:val="0394658D"/>
    <w:rsid w:val="039E6195"/>
    <w:rsid w:val="03B42042"/>
    <w:rsid w:val="03D10309"/>
    <w:rsid w:val="03E14A11"/>
    <w:rsid w:val="040A7470"/>
    <w:rsid w:val="040D2A74"/>
    <w:rsid w:val="04155225"/>
    <w:rsid w:val="041A2636"/>
    <w:rsid w:val="041B6CAE"/>
    <w:rsid w:val="043D36FD"/>
    <w:rsid w:val="04514153"/>
    <w:rsid w:val="046917C8"/>
    <w:rsid w:val="046E3282"/>
    <w:rsid w:val="0470396E"/>
    <w:rsid w:val="047910CD"/>
    <w:rsid w:val="047E530F"/>
    <w:rsid w:val="048101F5"/>
    <w:rsid w:val="04F63980"/>
    <w:rsid w:val="04FA5415"/>
    <w:rsid w:val="04FD7F9C"/>
    <w:rsid w:val="05046833"/>
    <w:rsid w:val="0548177D"/>
    <w:rsid w:val="054F5218"/>
    <w:rsid w:val="05541C6B"/>
    <w:rsid w:val="05542478"/>
    <w:rsid w:val="05663F59"/>
    <w:rsid w:val="05747675"/>
    <w:rsid w:val="058B7B51"/>
    <w:rsid w:val="059E1945"/>
    <w:rsid w:val="05A14F91"/>
    <w:rsid w:val="05A97C75"/>
    <w:rsid w:val="05AF6624"/>
    <w:rsid w:val="05B026F3"/>
    <w:rsid w:val="05BE1FE7"/>
    <w:rsid w:val="05C43E5B"/>
    <w:rsid w:val="05D15877"/>
    <w:rsid w:val="05DD6C55"/>
    <w:rsid w:val="05F05D5C"/>
    <w:rsid w:val="05F257ED"/>
    <w:rsid w:val="06113AEC"/>
    <w:rsid w:val="062F6A41"/>
    <w:rsid w:val="0636392C"/>
    <w:rsid w:val="063E0A32"/>
    <w:rsid w:val="064222D0"/>
    <w:rsid w:val="06473986"/>
    <w:rsid w:val="069D6A09"/>
    <w:rsid w:val="06A5478F"/>
    <w:rsid w:val="06AA3FCE"/>
    <w:rsid w:val="06C62F02"/>
    <w:rsid w:val="06CE625A"/>
    <w:rsid w:val="07177C01"/>
    <w:rsid w:val="072365A6"/>
    <w:rsid w:val="072B0FB7"/>
    <w:rsid w:val="073374A4"/>
    <w:rsid w:val="073E518E"/>
    <w:rsid w:val="074107DA"/>
    <w:rsid w:val="0741494C"/>
    <w:rsid w:val="07535E60"/>
    <w:rsid w:val="077E37DC"/>
    <w:rsid w:val="07850AD3"/>
    <w:rsid w:val="078828AD"/>
    <w:rsid w:val="078E13D2"/>
    <w:rsid w:val="078F7797"/>
    <w:rsid w:val="0792368D"/>
    <w:rsid w:val="07941252"/>
    <w:rsid w:val="07983134"/>
    <w:rsid w:val="07B65912"/>
    <w:rsid w:val="07BD6D6B"/>
    <w:rsid w:val="07D07AAD"/>
    <w:rsid w:val="07DE427B"/>
    <w:rsid w:val="07EA2D47"/>
    <w:rsid w:val="07F502FA"/>
    <w:rsid w:val="07F615C4"/>
    <w:rsid w:val="080261BB"/>
    <w:rsid w:val="080C703A"/>
    <w:rsid w:val="0822151D"/>
    <w:rsid w:val="084A1910"/>
    <w:rsid w:val="08642C7F"/>
    <w:rsid w:val="0868278C"/>
    <w:rsid w:val="08711D91"/>
    <w:rsid w:val="088F2FB3"/>
    <w:rsid w:val="08980420"/>
    <w:rsid w:val="08AE1E9F"/>
    <w:rsid w:val="08CE3219"/>
    <w:rsid w:val="08CF1E16"/>
    <w:rsid w:val="08D35DAA"/>
    <w:rsid w:val="08D833C0"/>
    <w:rsid w:val="08DA2C94"/>
    <w:rsid w:val="08DF3D86"/>
    <w:rsid w:val="09013BB2"/>
    <w:rsid w:val="09077801"/>
    <w:rsid w:val="092263E9"/>
    <w:rsid w:val="09304FAA"/>
    <w:rsid w:val="093525C0"/>
    <w:rsid w:val="093A1985"/>
    <w:rsid w:val="093F2ABC"/>
    <w:rsid w:val="09423355"/>
    <w:rsid w:val="094451A8"/>
    <w:rsid w:val="09524F20"/>
    <w:rsid w:val="0955033B"/>
    <w:rsid w:val="09581E0B"/>
    <w:rsid w:val="09785CB5"/>
    <w:rsid w:val="097A7FD3"/>
    <w:rsid w:val="09811362"/>
    <w:rsid w:val="09815EC8"/>
    <w:rsid w:val="098A2122"/>
    <w:rsid w:val="098D7D07"/>
    <w:rsid w:val="099E5425"/>
    <w:rsid w:val="09AD2157"/>
    <w:rsid w:val="09C000DC"/>
    <w:rsid w:val="09EA33AB"/>
    <w:rsid w:val="09F2013F"/>
    <w:rsid w:val="09F76469"/>
    <w:rsid w:val="0A00497C"/>
    <w:rsid w:val="0A081A83"/>
    <w:rsid w:val="0A124152"/>
    <w:rsid w:val="0A165F4E"/>
    <w:rsid w:val="0A166C7E"/>
    <w:rsid w:val="0A2763AD"/>
    <w:rsid w:val="0A3665F0"/>
    <w:rsid w:val="0A5B40D0"/>
    <w:rsid w:val="0AA51080"/>
    <w:rsid w:val="0AB8072D"/>
    <w:rsid w:val="0AB944A3"/>
    <w:rsid w:val="0AC93570"/>
    <w:rsid w:val="0AD503A8"/>
    <w:rsid w:val="0AE0030A"/>
    <w:rsid w:val="0B3F3282"/>
    <w:rsid w:val="0B4D1E43"/>
    <w:rsid w:val="0B5030C8"/>
    <w:rsid w:val="0B5036E2"/>
    <w:rsid w:val="0B705B32"/>
    <w:rsid w:val="0B884C29"/>
    <w:rsid w:val="0B905DCC"/>
    <w:rsid w:val="0B93537C"/>
    <w:rsid w:val="0B9730BE"/>
    <w:rsid w:val="0BB93035"/>
    <w:rsid w:val="0BC814CA"/>
    <w:rsid w:val="0BD25EA5"/>
    <w:rsid w:val="0BDE7016"/>
    <w:rsid w:val="0C040028"/>
    <w:rsid w:val="0C1A5805"/>
    <w:rsid w:val="0C434FF4"/>
    <w:rsid w:val="0C5114BF"/>
    <w:rsid w:val="0C525237"/>
    <w:rsid w:val="0C550884"/>
    <w:rsid w:val="0C686809"/>
    <w:rsid w:val="0C7E7DDA"/>
    <w:rsid w:val="0C831CE8"/>
    <w:rsid w:val="0C9475FE"/>
    <w:rsid w:val="0CA45EC2"/>
    <w:rsid w:val="0CB3217A"/>
    <w:rsid w:val="0CC47EE3"/>
    <w:rsid w:val="0CE00A95"/>
    <w:rsid w:val="0D0D3811"/>
    <w:rsid w:val="0D0F4ED6"/>
    <w:rsid w:val="0D1424ED"/>
    <w:rsid w:val="0D1F4D85"/>
    <w:rsid w:val="0D216AEF"/>
    <w:rsid w:val="0D682F64"/>
    <w:rsid w:val="0D9E2637"/>
    <w:rsid w:val="0D9E6986"/>
    <w:rsid w:val="0D9F44AC"/>
    <w:rsid w:val="0DA42C2B"/>
    <w:rsid w:val="0DC13FD0"/>
    <w:rsid w:val="0DC857B1"/>
    <w:rsid w:val="0DD95C10"/>
    <w:rsid w:val="0DDE4FD5"/>
    <w:rsid w:val="0DE10274"/>
    <w:rsid w:val="0E010CC3"/>
    <w:rsid w:val="0E0F33E0"/>
    <w:rsid w:val="0E4B1F3E"/>
    <w:rsid w:val="0E5136BE"/>
    <w:rsid w:val="0E527771"/>
    <w:rsid w:val="0E6D45AA"/>
    <w:rsid w:val="0E8536A2"/>
    <w:rsid w:val="0E94313E"/>
    <w:rsid w:val="0E9509E0"/>
    <w:rsid w:val="0ED527DB"/>
    <w:rsid w:val="0EE26D46"/>
    <w:rsid w:val="0EE7610B"/>
    <w:rsid w:val="0F0547B9"/>
    <w:rsid w:val="0F0A1DF9"/>
    <w:rsid w:val="0F2E3D3A"/>
    <w:rsid w:val="0F5F4916"/>
    <w:rsid w:val="0F602A70"/>
    <w:rsid w:val="0F617F00"/>
    <w:rsid w:val="0F673101"/>
    <w:rsid w:val="0F8A6A96"/>
    <w:rsid w:val="0F91415D"/>
    <w:rsid w:val="0FA518C7"/>
    <w:rsid w:val="0FA638D0"/>
    <w:rsid w:val="0FF02D9D"/>
    <w:rsid w:val="10153B61"/>
    <w:rsid w:val="10196798"/>
    <w:rsid w:val="10362DC0"/>
    <w:rsid w:val="10390BE8"/>
    <w:rsid w:val="10413292"/>
    <w:rsid w:val="1045758D"/>
    <w:rsid w:val="104A4BA3"/>
    <w:rsid w:val="104C1533"/>
    <w:rsid w:val="104F30AB"/>
    <w:rsid w:val="107D2218"/>
    <w:rsid w:val="108A4FA0"/>
    <w:rsid w:val="109C4CD3"/>
    <w:rsid w:val="10A87B1C"/>
    <w:rsid w:val="10A96B3E"/>
    <w:rsid w:val="10B172EB"/>
    <w:rsid w:val="10C04426"/>
    <w:rsid w:val="10CA7D05"/>
    <w:rsid w:val="10FB37AB"/>
    <w:rsid w:val="110A4333"/>
    <w:rsid w:val="111156C1"/>
    <w:rsid w:val="11246940"/>
    <w:rsid w:val="11496181"/>
    <w:rsid w:val="11625F1D"/>
    <w:rsid w:val="11703A02"/>
    <w:rsid w:val="117B1D33"/>
    <w:rsid w:val="11B524F0"/>
    <w:rsid w:val="11BA5F58"/>
    <w:rsid w:val="11F71AD2"/>
    <w:rsid w:val="11FF551A"/>
    <w:rsid w:val="12054B8B"/>
    <w:rsid w:val="12440C2E"/>
    <w:rsid w:val="12483364"/>
    <w:rsid w:val="1264592D"/>
    <w:rsid w:val="126B2BAF"/>
    <w:rsid w:val="126B3142"/>
    <w:rsid w:val="127918B2"/>
    <w:rsid w:val="128819B3"/>
    <w:rsid w:val="128B4FFF"/>
    <w:rsid w:val="12AD1419"/>
    <w:rsid w:val="12C66400"/>
    <w:rsid w:val="12CF75E2"/>
    <w:rsid w:val="12D9220E"/>
    <w:rsid w:val="12DF679F"/>
    <w:rsid w:val="12FE1373"/>
    <w:rsid w:val="13250FB0"/>
    <w:rsid w:val="1328154C"/>
    <w:rsid w:val="133C5E41"/>
    <w:rsid w:val="134749AD"/>
    <w:rsid w:val="13561AB1"/>
    <w:rsid w:val="136B6F50"/>
    <w:rsid w:val="13734411"/>
    <w:rsid w:val="13802913"/>
    <w:rsid w:val="13881F85"/>
    <w:rsid w:val="138C463A"/>
    <w:rsid w:val="13A20DB7"/>
    <w:rsid w:val="13C54541"/>
    <w:rsid w:val="13DD7ADC"/>
    <w:rsid w:val="13E64BE3"/>
    <w:rsid w:val="13E744B7"/>
    <w:rsid w:val="13F26B2A"/>
    <w:rsid w:val="13F60B9E"/>
    <w:rsid w:val="14042896"/>
    <w:rsid w:val="14065285"/>
    <w:rsid w:val="141259D8"/>
    <w:rsid w:val="141379A2"/>
    <w:rsid w:val="14207760"/>
    <w:rsid w:val="142E0338"/>
    <w:rsid w:val="145F04F1"/>
    <w:rsid w:val="1471504B"/>
    <w:rsid w:val="148B12E6"/>
    <w:rsid w:val="149C1746"/>
    <w:rsid w:val="14B24AC5"/>
    <w:rsid w:val="14C01A4D"/>
    <w:rsid w:val="14C667C2"/>
    <w:rsid w:val="14DE617B"/>
    <w:rsid w:val="14E81958"/>
    <w:rsid w:val="152139F9"/>
    <w:rsid w:val="15233029"/>
    <w:rsid w:val="156B4679"/>
    <w:rsid w:val="157C149D"/>
    <w:rsid w:val="15871AE3"/>
    <w:rsid w:val="15897F1C"/>
    <w:rsid w:val="159266A5"/>
    <w:rsid w:val="15A101AA"/>
    <w:rsid w:val="15B90272"/>
    <w:rsid w:val="15BE749A"/>
    <w:rsid w:val="15CF16A7"/>
    <w:rsid w:val="15F07F9B"/>
    <w:rsid w:val="15F52AD3"/>
    <w:rsid w:val="15F66C34"/>
    <w:rsid w:val="16190030"/>
    <w:rsid w:val="16447E32"/>
    <w:rsid w:val="16510957"/>
    <w:rsid w:val="16544222"/>
    <w:rsid w:val="16563C07"/>
    <w:rsid w:val="167E4708"/>
    <w:rsid w:val="16873D30"/>
    <w:rsid w:val="16940D0D"/>
    <w:rsid w:val="16961F50"/>
    <w:rsid w:val="16A91EF8"/>
    <w:rsid w:val="16B25250"/>
    <w:rsid w:val="16C3745D"/>
    <w:rsid w:val="16DB47A7"/>
    <w:rsid w:val="16DB6903"/>
    <w:rsid w:val="16E11692"/>
    <w:rsid w:val="17132588"/>
    <w:rsid w:val="172F064F"/>
    <w:rsid w:val="17343EB7"/>
    <w:rsid w:val="174F0CF1"/>
    <w:rsid w:val="17575DF8"/>
    <w:rsid w:val="175C6F6A"/>
    <w:rsid w:val="17695670"/>
    <w:rsid w:val="177625A5"/>
    <w:rsid w:val="17A70B2D"/>
    <w:rsid w:val="17B61794"/>
    <w:rsid w:val="17B648CC"/>
    <w:rsid w:val="17B86896"/>
    <w:rsid w:val="17CC0594"/>
    <w:rsid w:val="17CC2F77"/>
    <w:rsid w:val="17D66D1D"/>
    <w:rsid w:val="17FD6CA6"/>
    <w:rsid w:val="1804388A"/>
    <w:rsid w:val="18200E26"/>
    <w:rsid w:val="18287B3D"/>
    <w:rsid w:val="18583BD5"/>
    <w:rsid w:val="185F4F64"/>
    <w:rsid w:val="18766B23"/>
    <w:rsid w:val="18975673"/>
    <w:rsid w:val="18B232E6"/>
    <w:rsid w:val="18C94AD3"/>
    <w:rsid w:val="18D97ACF"/>
    <w:rsid w:val="18F953B8"/>
    <w:rsid w:val="19006747"/>
    <w:rsid w:val="190F0738"/>
    <w:rsid w:val="19257F5C"/>
    <w:rsid w:val="193816CC"/>
    <w:rsid w:val="193957B5"/>
    <w:rsid w:val="194F4FD8"/>
    <w:rsid w:val="197131A1"/>
    <w:rsid w:val="19742C91"/>
    <w:rsid w:val="197607B7"/>
    <w:rsid w:val="19952AB1"/>
    <w:rsid w:val="19B94B48"/>
    <w:rsid w:val="19BB22B5"/>
    <w:rsid w:val="19E27BFB"/>
    <w:rsid w:val="1A1B4EBB"/>
    <w:rsid w:val="1A2F18F5"/>
    <w:rsid w:val="1A4B1C44"/>
    <w:rsid w:val="1A5605E9"/>
    <w:rsid w:val="1AD31C39"/>
    <w:rsid w:val="1AD75285"/>
    <w:rsid w:val="1ADD2709"/>
    <w:rsid w:val="1AE95B14"/>
    <w:rsid w:val="1AED2CFB"/>
    <w:rsid w:val="1AF06347"/>
    <w:rsid w:val="1AF23E6D"/>
    <w:rsid w:val="1B1F6C2C"/>
    <w:rsid w:val="1B50319F"/>
    <w:rsid w:val="1B593EEC"/>
    <w:rsid w:val="1B7177AB"/>
    <w:rsid w:val="1B7370E9"/>
    <w:rsid w:val="1B744165"/>
    <w:rsid w:val="1B94321A"/>
    <w:rsid w:val="1B96086F"/>
    <w:rsid w:val="1BAF6202"/>
    <w:rsid w:val="1BC11A92"/>
    <w:rsid w:val="1BCB46BE"/>
    <w:rsid w:val="1BCD0437"/>
    <w:rsid w:val="1BEF2AA3"/>
    <w:rsid w:val="1C623275"/>
    <w:rsid w:val="1C742056"/>
    <w:rsid w:val="1C766D20"/>
    <w:rsid w:val="1C8A418B"/>
    <w:rsid w:val="1C931680"/>
    <w:rsid w:val="1CC655B2"/>
    <w:rsid w:val="1CE91C70"/>
    <w:rsid w:val="1D010B33"/>
    <w:rsid w:val="1D015817"/>
    <w:rsid w:val="1D0608B0"/>
    <w:rsid w:val="1D305121"/>
    <w:rsid w:val="1D443682"/>
    <w:rsid w:val="1D497BBF"/>
    <w:rsid w:val="1D542394"/>
    <w:rsid w:val="1D7768AC"/>
    <w:rsid w:val="1D9A4B9E"/>
    <w:rsid w:val="1D9B397C"/>
    <w:rsid w:val="1DAA797A"/>
    <w:rsid w:val="1DB4365C"/>
    <w:rsid w:val="1DE17F63"/>
    <w:rsid w:val="1DEE0346"/>
    <w:rsid w:val="1E3058A4"/>
    <w:rsid w:val="1E354E65"/>
    <w:rsid w:val="1E3E386E"/>
    <w:rsid w:val="1E4075E6"/>
    <w:rsid w:val="1E5A24FE"/>
    <w:rsid w:val="1E786D7F"/>
    <w:rsid w:val="1E9D67E6"/>
    <w:rsid w:val="1EA2070E"/>
    <w:rsid w:val="1EA81514"/>
    <w:rsid w:val="1EBB0A1A"/>
    <w:rsid w:val="1ED41ADC"/>
    <w:rsid w:val="1EE37197"/>
    <w:rsid w:val="1F100D66"/>
    <w:rsid w:val="1F2F7577"/>
    <w:rsid w:val="1F3031B6"/>
    <w:rsid w:val="1F3B4132"/>
    <w:rsid w:val="1F4B28D7"/>
    <w:rsid w:val="1F533349"/>
    <w:rsid w:val="1F6D7F66"/>
    <w:rsid w:val="1FA07131"/>
    <w:rsid w:val="1FB060A5"/>
    <w:rsid w:val="1FB931AC"/>
    <w:rsid w:val="1FC63B1B"/>
    <w:rsid w:val="1FCB1F65"/>
    <w:rsid w:val="1FCD33A1"/>
    <w:rsid w:val="20097E44"/>
    <w:rsid w:val="201A79C2"/>
    <w:rsid w:val="201E5705"/>
    <w:rsid w:val="2020147D"/>
    <w:rsid w:val="20232D1B"/>
    <w:rsid w:val="20372327"/>
    <w:rsid w:val="204625D4"/>
    <w:rsid w:val="20535A3E"/>
    <w:rsid w:val="206C062D"/>
    <w:rsid w:val="2080165E"/>
    <w:rsid w:val="208F16C3"/>
    <w:rsid w:val="20923F96"/>
    <w:rsid w:val="20A35C0A"/>
    <w:rsid w:val="20B41BC5"/>
    <w:rsid w:val="20C84694"/>
    <w:rsid w:val="20D35644"/>
    <w:rsid w:val="20D64231"/>
    <w:rsid w:val="21091F11"/>
    <w:rsid w:val="212B00D9"/>
    <w:rsid w:val="21425977"/>
    <w:rsid w:val="214D44F3"/>
    <w:rsid w:val="215D400B"/>
    <w:rsid w:val="215E639F"/>
    <w:rsid w:val="21767C6B"/>
    <w:rsid w:val="217952E8"/>
    <w:rsid w:val="217E2D67"/>
    <w:rsid w:val="21B445C8"/>
    <w:rsid w:val="21D544E9"/>
    <w:rsid w:val="21E87D78"/>
    <w:rsid w:val="22026B85"/>
    <w:rsid w:val="220628F4"/>
    <w:rsid w:val="223E5BEA"/>
    <w:rsid w:val="226D64CF"/>
    <w:rsid w:val="229B303C"/>
    <w:rsid w:val="22AF14B7"/>
    <w:rsid w:val="22B106FF"/>
    <w:rsid w:val="22BF4C53"/>
    <w:rsid w:val="22C40309"/>
    <w:rsid w:val="22CF718A"/>
    <w:rsid w:val="22F369D5"/>
    <w:rsid w:val="23072480"/>
    <w:rsid w:val="231878DD"/>
    <w:rsid w:val="23244DE0"/>
    <w:rsid w:val="232748D0"/>
    <w:rsid w:val="23386ADD"/>
    <w:rsid w:val="23407D07"/>
    <w:rsid w:val="23422836"/>
    <w:rsid w:val="23445482"/>
    <w:rsid w:val="234A05BF"/>
    <w:rsid w:val="2372272A"/>
    <w:rsid w:val="238F5F77"/>
    <w:rsid w:val="2398783E"/>
    <w:rsid w:val="23B312CA"/>
    <w:rsid w:val="23C86C6B"/>
    <w:rsid w:val="23D22A8E"/>
    <w:rsid w:val="23D92C73"/>
    <w:rsid w:val="23EA6F56"/>
    <w:rsid w:val="23F32A04"/>
    <w:rsid w:val="23F702A0"/>
    <w:rsid w:val="23F70746"/>
    <w:rsid w:val="2406586D"/>
    <w:rsid w:val="240A1DAC"/>
    <w:rsid w:val="244B2840"/>
    <w:rsid w:val="245C2C9F"/>
    <w:rsid w:val="24686FE5"/>
    <w:rsid w:val="247E6772"/>
    <w:rsid w:val="24857B00"/>
    <w:rsid w:val="24877D1C"/>
    <w:rsid w:val="248F6BD1"/>
    <w:rsid w:val="249917FE"/>
    <w:rsid w:val="249935AC"/>
    <w:rsid w:val="249B37C8"/>
    <w:rsid w:val="24A62603"/>
    <w:rsid w:val="24AE32A3"/>
    <w:rsid w:val="24BC729A"/>
    <w:rsid w:val="24C543A1"/>
    <w:rsid w:val="24D91026"/>
    <w:rsid w:val="24F15196"/>
    <w:rsid w:val="24FA1015"/>
    <w:rsid w:val="24FC2C7E"/>
    <w:rsid w:val="250F0372"/>
    <w:rsid w:val="25103203"/>
    <w:rsid w:val="251D6CDB"/>
    <w:rsid w:val="25311A36"/>
    <w:rsid w:val="253A6130"/>
    <w:rsid w:val="253E76F3"/>
    <w:rsid w:val="254A0D4A"/>
    <w:rsid w:val="255120D8"/>
    <w:rsid w:val="25665B84"/>
    <w:rsid w:val="256B319A"/>
    <w:rsid w:val="259E31A9"/>
    <w:rsid w:val="25A62424"/>
    <w:rsid w:val="25B01D86"/>
    <w:rsid w:val="25C1725E"/>
    <w:rsid w:val="25E371D4"/>
    <w:rsid w:val="25EE0477"/>
    <w:rsid w:val="25F211C5"/>
    <w:rsid w:val="261B4262"/>
    <w:rsid w:val="26445799"/>
    <w:rsid w:val="266206C6"/>
    <w:rsid w:val="26631D58"/>
    <w:rsid w:val="268B1A7D"/>
    <w:rsid w:val="26963B99"/>
    <w:rsid w:val="26993D37"/>
    <w:rsid w:val="26B41329"/>
    <w:rsid w:val="26CD39E1"/>
    <w:rsid w:val="26D1527F"/>
    <w:rsid w:val="26D20FF7"/>
    <w:rsid w:val="26E86BAF"/>
    <w:rsid w:val="272051A9"/>
    <w:rsid w:val="272C6959"/>
    <w:rsid w:val="27363334"/>
    <w:rsid w:val="274719E5"/>
    <w:rsid w:val="27636091"/>
    <w:rsid w:val="2768456D"/>
    <w:rsid w:val="276E51C4"/>
    <w:rsid w:val="277D0F63"/>
    <w:rsid w:val="27A02EA3"/>
    <w:rsid w:val="27B626C7"/>
    <w:rsid w:val="27BD5803"/>
    <w:rsid w:val="27D473A5"/>
    <w:rsid w:val="27F868B5"/>
    <w:rsid w:val="27FE455C"/>
    <w:rsid w:val="27FF406E"/>
    <w:rsid w:val="280A10F1"/>
    <w:rsid w:val="28102FD0"/>
    <w:rsid w:val="28113965"/>
    <w:rsid w:val="28215EB7"/>
    <w:rsid w:val="28416434"/>
    <w:rsid w:val="285A12A4"/>
    <w:rsid w:val="287320EC"/>
    <w:rsid w:val="287A5DB9"/>
    <w:rsid w:val="28846321"/>
    <w:rsid w:val="28855713"/>
    <w:rsid w:val="28942A08"/>
    <w:rsid w:val="28A449D2"/>
    <w:rsid w:val="28A80261"/>
    <w:rsid w:val="28A8200F"/>
    <w:rsid w:val="28AF1F8E"/>
    <w:rsid w:val="28B46C06"/>
    <w:rsid w:val="28B9246E"/>
    <w:rsid w:val="28C02B57"/>
    <w:rsid w:val="28F0456F"/>
    <w:rsid w:val="28F25557"/>
    <w:rsid w:val="292813A2"/>
    <w:rsid w:val="292E4C0A"/>
    <w:rsid w:val="29514455"/>
    <w:rsid w:val="29544F52"/>
    <w:rsid w:val="295B52D4"/>
    <w:rsid w:val="297E7214"/>
    <w:rsid w:val="29A13FDE"/>
    <w:rsid w:val="29B844D4"/>
    <w:rsid w:val="29C36976"/>
    <w:rsid w:val="29D55086"/>
    <w:rsid w:val="29DB1642"/>
    <w:rsid w:val="29F57906"/>
    <w:rsid w:val="29FA4AED"/>
    <w:rsid w:val="2A047719"/>
    <w:rsid w:val="2A2658E2"/>
    <w:rsid w:val="2A294281"/>
    <w:rsid w:val="2A3618A2"/>
    <w:rsid w:val="2A41096D"/>
    <w:rsid w:val="2A676AB7"/>
    <w:rsid w:val="2A6F54DA"/>
    <w:rsid w:val="2A84085A"/>
    <w:rsid w:val="2ABA427C"/>
    <w:rsid w:val="2AC03C1F"/>
    <w:rsid w:val="2AEB08D9"/>
    <w:rsid w:val="2AF43C32"/>
    <w:rsid w:val="2B0C0F7B"/>
    <w:rsid w:val="2B5841C1"/>
    <w:rsid w:val="2B6F32B8"/>
    <w:rsid w:val="2B8B1634"/>
    <w:rsid w:val="2B8F1093"/>
    <w:rsid w:val="2B91322F"/>
    <w:rsid w:val="2B914AEA"/>
    <w:rsid w:val="2BA46C8F"/>
    <w:rsid w:val="2BAF625E"/>
    <w:rsid w:val="2BC86CDA"/>
    <w:rsid w:val="2BD15D21"/>
    <w:rsid w:val="2BD375CB"/>
    <w:rsid w:val="2BE23A8A"/>
    <w:rsid w:val="2BE5357A"/>
    <w:rsid w:val="2BFA35F2"/>
    <w:rsid w:val="2C091B04"/>
    <w:rsid w:val="2C124050"/>
    <w:rsid w:val="2C1A1476"/>
    <w:rsid w:val="2C2B2A0E"/>
    <w:rsid w:val="2C2C3005"/>
    <w:rsid w:val="2C4402A1"/>
    <w:rsid w:val="2C732934"/>
    <w:rsid w:val="2C8B5ED0"/>
    <w:rsid w:val="2C8E59C0"/>
    <w:rsid w:val="2CAB47C4"/>
    <w:rsid w:val="2CE16CC0"/>
    <w:rsid w:val="2CFA4E04"/>
    <w:rsid w:val="2D0619FA"/>
    <w:rsid w:val="2D2D2D42"/>
    <w:rsid w:val="2D300825"/>
    <w:rsid w:val="2D3F0D0D"/>
    <w:rsid w:val="2D510F8C"/>
    <w:rsid w:val="2D522E91"/>
    <w:rsid w:val="2D614E83"/>
    <w:rsid w:val="2D6862FA"/>
    <w:rsid w:val="2D825525"/>
    <w:rsid w:val="2D937732"/>
    <w:rsid w:val="2D9B65E7"/>
    <w:rsid w:val="2D9F1707"/>
    <w:rsid w:val="2DA03BFD"/>
    <w:rsid w:val="2DA853C9"/>
    <w:rsid w:val="2DAF2092"/>
    <w:rsid w:val="2DE26B80"/>
    <w:rsid w:val="2DF53F49"/>
    <w:rsid w:val="2E074870"/>
    <w:rsid w:val="2E0E0B66"/>
    <w:rsid w:val="2E2C723F"/>
    <w:rsid w:val="2E3704AE"/>
    <w:rsid w:val="2E3D144C"/>
    <w:rsid w:val="2E4C168F"/>
    <w:rsid w:val="2E60513A"/>
    <w:rsid w:val="2E642E7C"/>
    <w:rsid w:val="2E6B420B"/>
    <w:rsid w:val="2E6E5AA9"/>
    <w:rsid w:val="2E782484"/>
    <w:rsid w:val="2E921798"/>
    <w:rsid w:val="2EA66FF1"/>
    <w:rsid w:val="2EA80FBB"/>
    <w:rsid w:val="2ECF2994"/>
    <w:rsid w:val="2ED578D6"/>
    <w:rsid w:val="2EE70873"/>
    <w:rsid w:val="2EEC6A7E"/>
    <w:rsid w:val="2EF8344A"/>
    <w:rsid w:val="2EFC62B4"/>
    <w:rsid w:val="2F300FB0"/>
    <w:rsid w:val="2F3F11F4"/>
    <w:rsid w:val="2F7D06EE"/>
    <w:rsid w:val="2FBA3671"/>
    <w:rsid w:val="2FC96AAC"/>
    <w:rsid w:val="3025488D"/>
    <w:rsid w:val="302A5C70"/>
    <w:rsid w:val="30825AC3"/>
    <w:rsid w:val="30872E52"/>
    <w:rsid w:val="308800EC"/>
    <w:rsid w:val="30A25EDE"/>
    <w:rsid w:val="30AB089C"/>
    <w:rsid w:val="30B13E81"/>
    <w:rsid w:val="30B20B79"/>
    <w:rsid w:val="30BA3228"/>
    <w:rsid w:val="30BC6FA0"/>
    <w:rsid w:val="30C47C02"/>
    <w:rsid w:val="31091AB9"/>
    <w:rsid w:val="311C37D2"/>
    <w:rsid w:val="31267093"/>
    <w:rsid w:val="31295CB7"/>
    <w:rsid w:val="313A6116"/>
    <w:rsid w:val="315E3BB3"/>
    <w:rsid w:val="31666F0B"/>
    <w:rsid w:val="316D3DF6"/>
    <w:rsid w:val="316F4012"/>
    <w:rsid w:val="31701598"/>
    <w:rsid w:val="3173385E"/>
    <w:rsid w:val="317909ED"/>
    <w:rsid w:val="317F1137"/>
    <w:rsid w:val="318F0210"/>
    <w:rsid w:val="31955495"/>
    <w:rsid w:val="319F049E"/>
    <w:rsid w:val="31AA504A"/>
    <w:rsid w:val="31AC23B2"/>
    <w:rsid w:val="31CB6D6E"/>
    <w:rsid w:val="31F462C5"/>
    <w:rsid w:val="31F6180D"/>
    <w:rsid w:val="32017DF8"/>
    <w:rsid w:val="320756DD"/>
    <w:rsid w:val="321C2A95"/>
    <w:rsid w:val="325B1D30"/>
    <w:rsid w:val="325F5E35"/>
    <w:rsid w:val="329B2BE5"/>
    <w:rsid w:val="329E21EF"/>
    <w:rsid w:val="32B24F24"/>
    <w:rsid w:val="32B5089C"/>
    <w:rsid w:val="32BF2D77"/>
    <w:rsid w:val="32C97752"/>
    <w:rsid w:val="32EE540A"/>
    <w:rsid w:val="32F644CB"/>
    <w:rsid w:val="32FA3DAF"/>
    <w:rsid w:val="330354CD"/>
    <w:rsid w:val="330C763F"/>
    <w:rsid w:val="33177E6B"/>
    <w:rsid w:val="331A7FAD"/>
    <w:rsid w:val="331B019D"/>
    <w:rsid w:val="331F7372"/>
    <w:rsid w:val="332D5F33"/>
    <w:rsid w:val="337D3FD2"/>
    <w:rsid w:val="33CD5020"/>
    <w:rsid w:val="33D97E69"/>
    <w:rsid w:val="33E706C5"/>
    <w:rsid w:val="33F6738A"/>
    <w:rsid w:val="341D71C9"/>
    <w:rsid w:val="34202737"/>
    <w:rsid w:val="3437693D"/>
    <w:rsid w:val="346E05B1"/>
    <w:rsid w:val="34733EE8"/>
    <w:rsid w:val="347E3619"/>
    <w:rsid w:val="348F2B1F"/>
    <w:rsid w:val="34A007F2"/>
    <w:rsid w:val="34AE2A9C"/>
    <w:rsid w:val="34B63DD6"/>
    <w:rsid w:val="34C4575D"/>
    <w:rsid w:val="34D334FB"/>
    <w:rsid w:val="34DB376C"/>
    <w:rsid w:val="34E03D26"/>
    <w:rsid w:val="351A24E7"/>
    <w:rsid w:val="352167CF"/>
    <w:rsid w:val="35284C04"/>
    <w:rsid w:val="355163AB"/>
    <w:rsid w:val="35740C6A"/>
    <w:rsid w:val="357C1B6B"/>
    <w:rsid w:val="359E4EC6"/>
    <w:rsid w:val="35A16764"/>
    <w:rsid w:val="35C175AD"/>
    <w:rsid w:val="35C661CB"/>
    <w:rsid w:val="35D46B3A"/>
    <w:rsid w:val="35DD523A"/>
    <w:rsid w:val="35DE1766"/>
    <w:rsid w:val="35E054DE"/>
    <w:rsid w:val="362A675A"/>
    <w:rsid w:val="368214DA"/>
    <w:rsid w:val="36894ABE"/>
    <w:rsid w:val="36B96CD0"/>
    <w:rsid w:val="36C142B1"/>
    <w:rsid w:val="36D641EB"/>
    <w:rsid w:val="36EA5EE9"/>
    <w:rsid w:val="36F01751"/>
    <w:rsid w:val="37021484"/>
    <w:rsid w:val="37083929"/>
    <w:rsid w:val="3724008B"/>
    <w:rsid w:val="372E5DD5"/>
    <w:rsid w:val="37403D5B"/>
    <w:rsid w:val="37476E97"/>
    <w:rsid w:val="374C0952"/>
    <w:rsid w:val="375021E0"/>
    <w:rsid w:val="376161AB"/>
    <w:rsid w:val="37704640"/>
    <w:rsid w:val="37833EBE"/>
    <w:rsid w:val="37931B73"/>
    <w:rsid w:val="379F0A81"/>
    <w:rsid w:val="37B01EA4"/>
    <w:rsid w:val="37B22EAA"/>
    <w:rsid w:val="37F75AC9"/>
    <w:rsid w:val="38060B00"/>
    <w:rsid w:val="381274A5"/>
    <w:rsid w:val="382C1987"/>
    <w:rsid w:val="38353194"/>
    <w:rsid w:val="38392C84"/>
    <w:rsid w:val="383B2EA0"/>
    <w:rsid w:val="38417D8A"/>
    <w:rsid w:val="38621630"/>
    <w:rsid w:val="3872263A"/>
    <w:rsid w:val="3891053F"/>
    <w:rsid w:val="38926838"/>
    <w:rsid w:val="38973808"/>
    <w:rsid w:val="38A65E3F"/>
    <w:rsid w:val="38B36EDA"/>
    <w:rsid w:val="38BD6B23"/>
    <w:rsid w:val="38C5276A"/>
    <w:rsid w:val="38F10CF7"/>
    <w:rsid w:val="38FB7F7C"/>
    <w:rsid w:val="390239BE"/>
    <w:rsid w:val="3914549F"/>
    <w:rsid w:val="391E7CA1"/>
    <w:rsid w:val="39643D30"/>
    <w:rsid w:val="3986639D"/>
    <w:rsid w:val="39877913"/>
    <w:rsid w:val="399C51C3"/>
    <w:rsid w:val="39A44A75"/>
    <w:rsid w:val="39D215E2"/>
    <w:rsid w:val="39F50B5B"/>
    <w:rsid w:val="39F63BBE"/>
    <w:rsid w:val="3A0579A9"/>
    <w:rsid w:val="3A080B60"/>
    <w:rsid w:val="3A105C66"/>
    <w:rsid w:val="3A1F234D"/>
    <w:rsid w:val="3A2E433E"/>
    <w:rsid w:val="3A602B49"/>
    <w:rsid w:val="3A706705"/>
    <w:rsid w:val="3A7461F5"/>
    <w:rsid w:val="3A8723CC"/>
    <w:rsid w:val="3ABA2AFA"/>
    <w:rsid w:val="3AD80746"/>
    <w:rsid w:val="3ADD1FEC"/>
    <w:rsid w:val="3B0E664A"/>
    <w:rsid w:val="3B1E4E07"/>
    <w:rsid w:val="3B2C4D22"/>
    <w:rsid w:val="3B556027"/>
    <w:rsid w:val="3B712735"/>
    <w:rsid w:val="3B8063B8"/>
    <w:rsid w:val="3B950B19"/>
    <w:rsid w:val="3BAC5E63"/>
    <w:rsid w:val="3BAC7C11"/>
    <w:rsid w:val="3BC2225D"/>
    <w:rsid w:val="3BD80A06"/>
    <w:rsid w:val="3BED2703"/>
    <w:rsid w:val="3BF21AC7"/>
    <w:rsid w:val="3BF76887"/>
    <w:rsid w:val="3BFE77D7"/>
    <w:rsid w:val="3BFE7CD9"/>
    <w:rsid w:val="3C524EFE"/>
    <w:rsid w:val="3C575DCE"/>
    <w:rsid w:val="3C5A58BF"/>
    <w:rsid w:val="3C5E0F0B"/>
    <w:rsid w:val="3C6B3628"/>
    <w:rsid w:val="3C6E1B1B"/>
    <w:rsid w:val="3C737B28"/>
    <w:rsid w:val="3C7F20DE"/>
    <w:rsid w:val="3C88242C"/>
    <w:rsid w:val="3C8B3CCA"/>
    <w:rsid w:val="3CA3737D"/>
    <w:rsid w:val="3CAF0C41"/>
    <w:rsid w:val="3CBB7D2C"/>
    <w:rsid w:val="3CC05722"/>
    <w:rsid w:val="3CEA6C43"/>
    <w:rsid w:val="3CF03B2D"/>
    <w:rsid w:val="3D0372A6"/>
    <w:rsid w:val="3D210AEA"/>
    <w:rsid w:val="3D490BD0"/>
    <w:rsid w:val="3D671D7B"/>
    <w:rsid w:val="3D714C6E"/>
    <w:rsid w:val="3D8734FD"/>
    <w:rsid w:val="3DDD3903"/>
    <w:rsid w:val="3DDF7E2A"/>
    <w:rsid w:val="3DF008AB"/>
    <w:rsid w:val="3E17629B"/>
    <w:rsid w:val="3E2751D8"/>
    <w:rsid w:val="3E312412"/>
    <w:rsid w:val="3E333D2C"/>
    <w:rsid w:val="3E3C527C"/>
    <w:rsid w:val="3E4715EC"/>
    <w:rsid w:val="3E4E3201"/>
    <w:rsid w:val="3E720C9E"/>
    <w:rsid w:val="3E741903"/>
    <w:rsid w:val="3E7E5894"/>
    <w:rsid w:val="3E870B0E"/>
    <w:rsid w:val="3E8804C1"/>
    <w:rsid w:val="3E88226F"/>
    <w:rsid w:val="3EBE6FF1"/>
    <w:rsid w:val="3EC040FF"/>
    <w:rsid w:val="3EC06FE2"/>
    <w:rsid w:val="3EC14315"/>
    <w:rsid w:val="3EC3774B"/>
    <w:rsid w:val="3ED43DC4"/>
    <w:rsid w:val="3ED44AE0"/>
    <w:rsid w:val="3EF23B8C"/>
    <w:rsid w:val="3F051733"/>
    <w:rsid w:val="3F4168C2"/>
    <w:rsid w:val="3F47212A"/>
    <w:rsid w:val="3FA724E7"/>
    <w:rsid w:val="3FB13655"/>
    <w:rsid w:val="3FC8434E"/>
    <w:rsid w:val="3FDE56EE"/>
    <w:rsid w:val="3FE61943"/>
    <w:rsid w:val="3FEB190D"/>
    <w:rsid w:val="400334A7"/>
    <w:rsid w:val="4012098A"/>
    <w:rsid w:val="40155D85"/>
    <w:rsid w:val="401E14E7"/>
    <w:rsid w:val="401F4E55"/>
    <w:rsid w:val="409075E8"/>
    <w:rsid w:val="40D23C76"/>
    <w:rsid w:val="40DC68A2"/>
    <w:rsid w:val="40E2333D"/>
    <w:rsid w:val="40EC575D"/>
    <w:rsid w:val="41055114"/>
    <w:rsid w:val="41077691"/>
    <w:rsid w:val="4120583D"/>
    <w:rsid w:val="41265D6F"/>
    <w:rsid w:val="413E755D"/>
    <w:rsid w:val="41523008"/>
    <w:rsid w:val="41536A5A"/>
    <w:rsid w:val="41B75E7E"/>
    <w:rsid w:val="41CC4B69"/>
    <w:rsid w:val="41CF4F53"/>
    <w:rsid w:val="41E023C2"/>
    <w:rsid w:val="41EC7DAD"/>
    <w:rsid w:val="41F8770C"/>
    <w:rsid w:val="42084F38"/>
    <w:rsid w:val="42336996"/>
    <w:rsid w:val="423975C1"/>
    <w:rsid w:val="424B0183"/>
    <w:rsid w:val="424F34E0"/>
    <w:rsid w:val="4265572A"/>
    <w:rsid w:val="42836415"/>
    <w:rsid w:val="42A33B1C"/>
    <w:rsid w:val="42A94D50"/>
    <w:rsid w:val="42C10446"/>
    <w:rsid w:val="42C848A4"/>
    <w:rsid w:val="42DA1507"/>
    <w:rsid w:val="42E61C5A"/>
    <w:rsid w:val="42F51FEF"/>
    <w:rsid w:val="42F9198D"/>
    <w:rsid w:val="4304244F"/>
    <w:rsid w:val="431E0A3C"/>
    <w:rsid w:val="43394480"/>
    <w:rsid w:val="434F20D4"/>
    <w:rsid w:val="439E2535"/>
    <w:rsid w:val="43A538C3"/>
    <w:rsid w:val="43B24807"/>
    <w:rsid w:val="43C8016E"/>
    <w:rsid w:val="43E16670"/>
    <w:rsid w:val="4407632C"/>
    <w:rsid w:val="441427F7"/>
    <w:rsid w:val="442639F1"/>
    <w:rsid w:val="44476729"/>
    <w:rsid w:val="444F55DD"/>
    <w:rsid w:val="44614E73"/>
    <w:rsid w:val="44691B4C"/>
    <w:rsid w:val="446B6541"/>
    <w:rsid w:val="44784B34"/>
    <w:rsid w:val="447F0E50"/>
    <w:rsid w:val="44931975"/>
    <w:rsid w:val="4494346C"/>
    <w:rsid w:val="44A65B45"/>
    <w:rsid w:val="44A703AC"/>
    <w:rsid w:val="44BD4C3D"/>
    <w:rsid w:val="44E36EBE"/>
    <w:rsid w:val="44EB79FC"/>
    <w:rsid w:val="4508410A"/>
    <w:rsid w:val="450B59A8"/>
    <w:rsid w:val="45280308"/>
    <w:rsid w:val="45351421"/>
    <w:rsid w:val="4541761C"/>
    <w:rsid w:val="455C4456"/>
    <w:rsid w:val="45A2042B"/>
    <w:rsid w:val="45AB0A76"/>
    <w:rsid w:val="45C142B9"/>
    <w:rsid w:val="45CE4629"/>
    <w:rsid w:val="45D109A0"/>
    <w:rsid w:val="45D93BEF"/>
    <w:rsid w:val="45DA4F1C"/>
    <w:rsid w:val="45F428E0"/>
    <w:rsid w:val="46244F73"/>
    <w:rsid w:val="462B4534"/>
    <w:rsid w:val="46357180"/>
    <w:rsid w:val="46362EF9"/>
    <w:rsid w:val="464A0752"/>
    <w:rsid w:val="46687036"/>
    <w:rsid w:val="4669425B"/>
    <w:rsid w:val="46840182"/>
    <w:rsid w:val="468E4AE3"/>
    <w:rsid w:val="46AE6F33"/>
    <w:rsid w:val="46BB51AC"/>
    <w:rsid w:val="46C85ED4"/>
    <w:rsid w:val="46D14781"/>
    <w:rsid w:val="46DC2BC3"/>
    <w:rsid w:val="46FD088A"/>
    <w:rsid w:val="4706325F"/>
    <w:rsid w:val="475278BE"/>
    <w:rsid w:val="475F3D89"/>
    <w:rsid w:val="47695AF4"/>
    <w:rsid w:val="47753672"/>
    <w:rsid w:val="47794686"/>
    <w:rsid w:val="47850B98"/>
    <w:rsid w:val="479271AB"/>
    <w:rsid w:val="479C6D8B"/>
    <w:rsid w:val="47A81BD4"/>
    <w:rsid w:val="47B16CDB"/>
    <w:rsid w:val="47B24801"/>
    <w:rsid w:val="47B82204"/>
    <w:rsid w:val="47FD5DF2"/>
    <w:rsid w:val="48231BCD"/>
    <w:rsid w:val="48256D81"/>
    <w:rsid w:val="48335EE0"/>
    <w:rsid w:val="485853A8"/>
    <w:rsid w:val="4860425D"/>
    <w:rsid w:val="487A531F"/>
    <w:rsid w:val="488D0215"/>
    <w:rsid w:val="48B545A9"/>
    <w:rsid w:val="48BF4A4F"/>
    <w:rsid w:val="48DD765B"/>
    <w:rsid w:val="48FA645F"/>
    <w:rsid w:val="48FF3FE4"/>
    <w:rsid w:val="49172B6D"/>
    <w:rsid w:val="492E6511"/>
    <w:rsid w:val="494D2A33"/>
    <w:rsid w:val="494E2307"/>
    <w:rsid w:val="49724248"/>
    <w:rsid w:val="4979696A"/>
    <w:rsid w:val="49920446"/>
    <w:rsid w:val="49AF0FF8"/>
    <w:rsid w:val="49B20AE8"/>
    <w:rsid w:val="49B77EAC"/>
    <w:rsid w:val="49B93C25"/>
    <w:rsid w:val="49C411CF"/>
    <w:rsid w:val="49CD5922"/>
    <w:rsid w:val="49D12082"/>
    <w:rsid w:val="49E5153C"/>
    <w:rsid w:val="4A2B030E"/>
    <w:rsid w:val="4A4C4A99"/>
    <w:rsid w:val="4A520AB3"/>
    <w:rsid w:val="4A600544"/>
    <w:rsid w:val="4A6749EC"/>
    <w:rsid w:val="4A6D4A0F"/>
    <w:rsid w:val="4A846B18"/>
    <w:rsid w:val="4A926B91"/>
    <w:rsid w:val="4AA40370"/>
    <w:rsid w:val="4AA46683"/>
    <w:rsid w:val="4AC408E4"/>
    <w:rsid w:val="4ACC5BD9"/>
    <w:rsid w:val="4AD14F9E"/>
    <w:rsid w:val="4AF62C56"/>
    <w:rsid w:val="4AF74617"/>
    <w:rsid w:val="4B137364"/>
    <w:rsid w:val="4B1A6945"/>
    <w:rsid w:val="4B2931F4"/>
    <w:rsid w:val="4B386DCB"/>
    <w:rsid w:val="4B3B68BB"/>
    <w:rsid w:val="4B427C4A"/>
    <w:rsid w:val="4B434DED"/>
    <w:rsid w:val="4B533C05"/>
    <w:rsid w:val="4B563451"/>
    <w:rsid w:val="4B5F23C8"/>
    <w:rsid w:val="4B7C6473"/>
    <w:rsid w:val="4BA80878"/>
    <w:rsid w:val="4BBC5C4E"/>
    <w:rsid w:val="4BBD33CE"/>
    <w:rsid w:val="4BD27220"/>
    <w:rsid w:val="4BE33007"/>
    <w:rsid w:val="4BE64A79"/>
    <w:rsid w:val="4BEF1B80"/>
    <w:rsid w:val="4C0F5E32"/>
    <w:rsid w:val="4C1B0BC7"/>
    <w:rsid w:val="4C1B2975"/>
    <w:rsid w:val="4C1C0C5F"/>
    <w:rsid w:val="4C2A421E"/>
    <w:rsid w:val="4C362B8F"/>
    <w:rsid w:val="4C4460A7"/>
    <w:rsid w:val="4C4E60F6"/>
    <w:rsid w:val="4C6D6F48"/>
    <w:rsid w:val="4C72630D"/>
    <w:rsid w:val="4C89377B"/>
    <w:rsid w:val="4C997D3D"/>
    <w:rsid w:val="4C9C15DC"/>
    <w:rsid w:val="4CA77B53"/>
    <w:rsid w:val="4CC50B32"/>
    <w:rsid w:val="4CD26EC1"/>
    <w:rsid w:val="4CEB205F"/>
    <w:rsid w:val="4CEC4311"/>
    <w:rsid w:val="4CFC66B4"/>
    <w:rsid w:val="4D0101DE"/>
    <w:rsid w:val="4D096C71"/>
    <w:rsid w:val="4D1626E7"/>
    <w:rsid w:val="4D487F82"/>
    <w:rsid w:val="4D616AAD"/>
    <w:rsid w:val="4D7F33D7"/>
    <w:rsid w:val="4D9329DF"/>
    <w:rsid w:val="4DA44BEC"/>
    <w:rsid w:val="4DD112ED"/>
    <w:rsid w:val="4DEA6175"/>
    <w:rsid w:val="4DF94E97"/>
    <w:rsid w:val="4E2D53D4"/>
    <w:rsid w:val="4E3157B9"/>
    <w:rsid w:val="4E355844"/>
    <w:rsid w:val="4E37780E"/>
    <w:rsid w:val="4E546612"/>
    <w:rsid w:val="4E6C5F3F"/>
    <w:rsid w:val="4E6D1482"/>
    <w:rsid w:val="4EA84268"/>
    <w:rsid w:val="4EAC06BA"/>
    <w:rsid w:val="4EBF33BF"/>
    <w:rsid w:val="4EC372F3"/>
    <w:rsid w:val="4ECA657F"/>
    <w:rsid w:val="4ECB7DF8"/>
    <w:rsid w:val="4ECD1F20"/>
    <w:rsid w:val="4ED72392"/>
    <w:rsid w:val="4EE51018"/>
    <w:rsid w:val="4EF13E61"/>
    <w:rsid w:val="4EFA48EA"/>
    <w:rsid w:val="4EFB2A70"/>
    <w:rsid w:val="4F18319B"/>
    <w:rsid w:val="4F202E8B"/>
    <w:rsid w:val="4F2902CC"/>
    <w:rsid w:val="4F5D5052"/>
    <w:rsid w:val="4F63587C"/>
    <w:rsid w:val="4F802737"/>
    <w:rsid w:val="4F8B474F"/>
    <w:rsid w:val="4F9111A0"/>
    <w:rsid w:val="4F98652A"/>
    <w:rsid w:val="4FAE66AC"/>
    <w:rsid w:val="4FC13833"/>
    <w:rsid w:val="4FE06FCB"/>
    <w:rsid w:val="4FEE0289"/>
    <w:rsid w:val="501A6E72"/>
    <w:rsid w:val="50221540"/>
    <w:rsid w:val="50414974"/>
    <w:rsid w:val="50416722"/>
    <w:rsid w:val="5043693E"/>
    <w:rsid w:val="507F4483"/>
    <w:rsid w:val="50955E5F"/>
    <w:rsid w:val="50B05655"/>
    <w:rsid w:val="50BE4216"/>
    <w:rsid w:val="50BE7306"/>
    <w:rsid w:val="50C1205C"/>
    <w:rsid w:val="50D34447"/>
    <w:rsid w:val="50D457E8"/>
    <w:rsid w:val="50DB5400"/>
    <w:rsid w:val="50DE0415"/>
    <w:rsid w:val="50EA561A"/>
    <w:rsid w:val="50ED14DC"/>
    <w:rsid w:val="50FE0AB7"/>
    <w:rsid w:val="5114609D"/>
    <w:rsid w:val="51273B6A"/>
    <w:rsid w:val="512C73D2"/>
    <w:rsid w:val="51363DAD"/>
    <w:rsid w:val="516A3A56"/>
    <w:rsid w:val="517843C5"/>
    <w:rsid w:val="518C7E71"/>
    <w:rsid w:val="518F6B5E"/>
    <w:rsid w:val="51954F77"/>
    <w:rsid w:val="51A0391C"/>
    <w:rsid w:val="51B05DB2"/>
    <w:rsid w:val="51BD002A"/>
    <w:rsid w:val="51BD2325"/>
    <w:rsid w:val="52046E9E"/>
    <w:rsid w:val="52336279"/>
    <w:rsid w:val="52397FF8"/>
    <w:rsid w:val="523F3135"/>
    <w:rsid w:val="525941F7"/>
    <w:rsid w:val="52612D59"/>
    <w:rsid w:val="52636E23"/>
    <w:rsid w:val="52641324"/>
    <w:rsid w:val="52970E19"/>
    <w:rsid w:val="52A5743C"/>
    <w:rsid w:val="52AA2CA4"/>
    <w:rsid w:val="52C15887"/>
    <w:rsid w:val="52E8610E"/>
    <w:rsid w:val="52F703CB"/>
    <w:rsid w:val="52FB705C"/>
    <w:rsid w:val="53095C1D"/>
    <w:rsid w:val="531225F7"/>
    <w:rsid w:val="53130849"/>
    <w:rsid w:val="53202F66"/>
    <w:rsid w:val="53253ACD"/>
    <w:rsid w:val="533D58C6"/>
    <w:rsid w:val="533E519B"/>
    <w:rsid w:val="534064B2"/>
    <w:rsid w:val="5349426B"/>
    <w:rsid w:val="534D3630"/>
    <w:rsid w:val="535449BE"/>
    <w:rsid w:val="53582700"/>
    <w:rsid w:val="537165BA"/>
    <w:rsid w:val="537312E8"/>
    <w:rsid w:val="53733096"/>
    <w:rsid w:val="537642E8"/>
    <w:rsid w:val="53A07C03"/>
    <w:rsid w:val="53BD6A07"/>
    <w:rsid w:val="53BF0089"/>
    <w:rsid w:val="53F65A75"/>
    <w:rsid w:val="53FC752F"/>
    <w:rsid w:val="541A1764"/>
    <w:rsid w:val="543845C8"/>
    <w:rsid w:val="5449029B"/>
    <w:rsid w:val="545F1E11"/>
    <w:rsid w:val="54977805"/>
    <w:rsid w:val="54A03833"/>
    <w:rsid w:val="54CD2714"/>
    <w:rsid w:val="54FC355F"/>
    <w:rsid w:val="55305519"/>
    <w:rsid w:val="55313209"/>
    <w:rsid w:val="55392A77"/>
    <w:rsid w:val="553A74F5"/>
    <w:rsid w:val="554A42CB"/>
    <w:rsid w:val="55515659"/>
    <w:rsid w:val="555337F2"/>
    <w:rsid w:val="55794BB0"/>
    <w:rsid w:val="55A15EC4"/>
    <w:rsid w:val="55BF05E4"/>
    <w:rsid w:val="55DB1F32"/>
    <w:rsid w:val="56294CA7"/>
    <w:rsid w:val="56327239"/>
    <w:rsid w:val="5637666F"/>
    <w:rsid w:val="5647426A"/>
    <w:rsid w:val="565B7DEB"/>
    <w:rsid w:val="56705FB3"/>
    <w:rsid w:val="56725887"/>
    <w:rsid w:val="567622C8"/>
    <w:rsid w:val="56AD4B11"/>
    <w:rsid w:val="56C1680E"/>
    <w:rsid w:val="56D227CA"/>
    <w:rsid w:val="56D54068"/>
    <w:rsid w:val="56D976B4"/>
    <w:rsid w:val="56F00EA2"/>
    <w:rsid w:val="56F30EB4"/>
    <w:rsid w:val="56F40BA6"/>
    <w:rsid w:val="56FC7846"/>
    <w:rsid w:val="570F30D6"/>
    <w:rsid w:val="57256D9D"/>
    <w:rsid w:val="572A6162"/>
    <w:rsid w:val="573050F9"/>
    <w:rsid w:val="57342B3C"/>
    <w:rsid w:val="573645C8"/>
    <w:rsid w:val="57616811"/>
    <w:rsid w:val="576A2A02"/>
    <w:rsid w:val="57811AFA"/>
    <w:rsid w:val="57833AC4"/>
    <w:rsid w:val="579637F7"/>
    <w:rsid w:val="57984EF3"/>
    <w:rsid w:val="57B53B27"/>
    <w:rsid w:val="57CF062F"/>
    <w:rsid w:val="57DD1426"/>
    <w:rsid w:val="57F95B34"/>
    <w:rsid w:val="580E4E79"/>
    <w:rsid w:val="58296419"/>
    <w:rsid w:val="583354EA"/>
    <w:rsid w:val="584D79BB"/>
    <w:rsid w:val="586A7ED7"/>
    <w:rsid w:val="58873140"/>
    <w:rsid w:val="588E44CE"/>
    <w:rsid w:val="58931AE5"/>
    <w:rsid w:val="58937D37"/>
    <w:rsid w:val="58953AAF"/>
    <w:rsid w:val="58A3441E"/>
    <w:rsid w:val="58A43CF2"/>
    <w:rsid w:val="58BF0414"/>
    <w:rsid w:val="58E14F46"/>
    <w:rsid w:val="58F957FD"/>
    <w:rsid w:val="590A1717"/>
    <w:rsid w:val="590B509E"/>
    <w:rsid w:val="5935134A"/>
    <w:rsid w:val="5935215E"/>
    <w:rsid w:val="59480B21"/>
    <w:rsid w:val="595219A0"/>
    <w:rsid w:val="596545F4"/>
    <w:rsid w:val="596A6CE9"/>
    <w:rsid w:val="596F2A33"/>
    <w:rsid w:val="597638E0"/>
    <w:rsid w:val="598D4624"/>
    <w:rsid w:val="59E85675"/>
    <w:rsid w:val="59F01E42"/>
    <w:rsid w:val="59FA62BF"/>
    <w:rsid w:val="5A06635E"/>
    <w:rsid w:val="5A252C10"/>
    <w:rsid w:val="5A3442E8"/>
    <w:rsid w:val="5A393967"/>
    <w:rsid w:val="5A443759"/>
    <w:rsid w:val="5A9102A6"/>
    <w:rsid w:val="5A9C06CC"/>
    <w:rsid w:val="5AA07E5F"/>
    <w:rsid w:val="5AA75D1B"/>
    <w:rsid w:val="5AAA410D"/>
    <w:rsid w:val="5AD07BFB"/>
    <w:rsid w:val="5AD54636"/>
    <w:rsid w:val="5ADA1C4D"/>
    <w:rsid w:val="5AF2100E"/>
    <w:rsid w:val="5AF32D0E"/>
    <w:rsid w:val="5AF42587"/>
    <w:rsid w:val="5B03273B"/>
    <w:rsid w:val="5B123195"/>
    <w:rsid w:val="5B286E5C"/>
    <w:rsid w:val="5B484E08"/>
    <w:rsid w:val="5B5A2D8E"/>
    <w:rsid w:val="5B690172"/>
    <w:rsid w:val="5BA97484"/>
    <w:rsid w:val="5BAC69F5"/>
    <w:rsid w:val="5BB756DE"/>
    <w:rsid w:val="5BE54D4D"/>
    <w:rsid w:val="5BFA4F23"/>
    <w:rsid w:val="5C0276AD"/>
    <w:rsid w:val="5C313AEE"/>
    <w:rsid w:val="5C504816"/>
    <w:rsid w:val="5C52370C"/>
    <w:rsid w:val="5C5A1297"/>
    <w:rsid w:val="5C625904"/>
    <w:rsid w:val="5C87251B"/>
    <w:rsid w:val="5CC11316"/>
    <w:rsid w:val="5CC95CB1"/>
    <w:rsid w:val="5CCF7D06"/>
    <w:rsid w:val="5CD50A5E"/>
    <w:rsid w:val="5CD84DF2"/>
    <w:rsid w:val="5CE15514"/>
    <w:rsid w:val="5CF1327E"/>
    <w:rsid w:val="5D112702"/>
    <w:rsid w:val="5D1A7137"/>
    <w:rsid w:val="5D4B6E32"/>
    <w:rsid w:val="5D5977A1"/>
    <w:rsid w:val="5D5E05E7"/>
    <w:rsid w:val="5D6B6623"/>
    <w:rsid w:val="5D81328C"/>
    <w:rsid w:val="5DAF37EE"/>
    <w:rsid w:val="5DB85011"/>
    <w:rsid w:val="5DDB1F64"/>
    <w:rsid w:val="5DE30E18"/>
    <w:rsid w:val="5DE71271"/>
    <w:rsid w:val="5E162B17"/>
    <w:rsid w:val="5E1B4A56"/>
    <w:rsid w:val="5E265463"/>
    <w:rsid w:val="5E331368"/>
    <w:rsid w:val="5E3850FB"/>
    <w:rsid w:val="5E3E0745"/>
    <w:rsid w:val="5E40270F"/>
    <w:rsid w:val="5E4E4E2C"/>
    <w:rsid w:val="5E542A51"/>
    <w:rsid w:val="5E6301AB"/>
    <w:rsid w:val="5E6468C4"/>
    <w:rsid w:val="5E654E01"/>
    <w:rsid w:val="5E734892"/>
    <w:rsid w:val="5E7A5342"/>
    <w:rsid w:val="5E9A3402"/>
    <w:rsid w:val="5EAC56AE"/>
    <w:rsid w:val="5EAE58CA"/>
    <w:rsid w:val="5EB84053"/>
    <w:rsid w:val="5EC13A65"/>
    <w:rsid w:val="5EFC4888"/>
    <w:rsid w:val="5F0C1FF0"/>
    <w:rsid w:val="5F200A95"/>
    <w:rsid w:val="5F304531"/>
    <w:rsid w:val="5F887EC9"/>
    <w:rsid w:val="5F993E84"/>
    <w:rsid w:val="5FA23A48"/>
    <w:rsid w:val="5FB213EA"/>
    <w:rsid w:val="5FC5111D"/>
    <w:rsid w:val="5FC92290"/>
    <w:rsid w:val="5FD65829"/>
    <w:rsid w:val="5FED68B4"/>
    <w:rsid w:val="5FF8024C"/>
    <w:rsid w:val="603A36F2"/>
    <w:rsid w:val="6043540C"/>
    <w:rsid w:val="60487659"/>
    <w:rsid w:val="60504E56"/>
    <w:rsid w:val="6051292B"/>
    <w:rsid w:val="60593614"/>
    <w:rsid w:val="60714E01"/>
    <w:rsid w:val="607501B7"/>
    <w:rsid w:val="60850056"/>
    <w:rsid w:val="60AC0F03"/>
    <w:rsid w:val="60BD1DF5"/>
    <w:rsid w:val="60C56EFB"/>
    <w:rsid w:val="60CA62C0"/>
    <w:rsid w:val="61194F1E"/>
    <w:rsid w:val="61411B23"/>
    <w:rsid w:val="615734FE"/>
    <w:rsid w:val="615D5386"/>
    <w:rsid w:val="61736957"/>
    <w:rsid w:val="617F1981"/>
    <w:rsid w:val="618941C1"/>
    <w:rsid w:val="618B5A4F"/>
    <w:rsid w:val="61C3168D"/>
    <w:rsid w:val="61DA3F3F"/>
    <w:rsid w:val="61E41603"/>
    <w:rsid w:val="61E433B1"/>
    <w:rsid w:val="61FC06FB"/>
    <w:rsid w:val="62041471"/>
    <w:rsid w:val="620A09E6"/>
    <w:rsid w:val="624A76B8"/>
    <w:rsid w:val="626D21B5"/>
    <w:rsid w:val="628232F6"/>
    <w:rsid w:val="62943029"/>
    <w:rsid w:val="62966DA1"/>
    <w:rsid w:val="62B64D4D"/>
    <w:rsid w:val="62DF233A"/>
    <w:rsid w:val="62EA0E9B"/>
    <w:rsid w:val="62ED58C4"/>
    <w:rsid w:val="62EE2739"/>
    <w:rsid w:val="62EF64B1"/>
    <w:rsid w:val="6300246C"/>
    <w:rsid w:val="630F445E"/>
    <w:rsid w:val="6336692D"/>
    <w:rsid w:val="633F11E7"/>
    <w:rsid w:val="63443890"/>
    <w:rsid w:val="63473BF7"/>
    <w:rsid w:val="63533323"/>
    <w:rsid w:val="63586960"/>
    <w:rsid w:val="63822E81"/>
    <w:rsid w:val="638C5281"/>
    <w:rsid w:val="63936E3D"/>
    <w:rsid w:val="63952BB5"/>
    <w:rsid w:val="63970843"/>
    <w:rsid w:val="63A15192"/>
    <w:rsid w:val="63B249CD"/>
    <w:rsid w:val="63B76FCF"/>
    <w:rsid w:val="63ED29F1"/>
    <w:rsid w:val="63ED66EE"/>
    <w:rsid w:val="63F41FD1"/>
    <w:rsid w:val="63F7741D"/>
    <w:rsid w:val="63FF32E1"/>
    <w:rsid w:val="64065861"/>
    <w:rsid w:val="6408065A"/>
    <w:rsid w:val="640A6788"/>
    <w:rsid w:val="641A130C"/>
    <w:rsid w:val="64237560"/>
    <w:rsid w:val="64366440"/>
    <w:rsid w:val="644753AB"/>
    <w:rsid w:val="644A6189"/>
    <w:rsid w:val="64552EF0"/>
    <w:rsid w:val="647629E6"/>
    <w:rsid w:val="648F5856"/>
    <w:rsid w:val="64AC63B8"/>
    <w:rsid w:val="64C85B83"/>
    <w:rsid w:val="64D70D63"/>
    <w:rsid w:val="64E21E2A"/>
    <w:rsid w:val="652F7039"/>
    <w:rsid w:val="653569B5"/>
    <w:rsid w:val="653647A3"/>
    <w:rsid w:val="657C5702"/>
    <w:rsid w:val="65883653"/>
    <w:rsid w:val="659A0956"/>
    <w:rsid w:val="659A2704"/>
    <w:rsid w:val="659B777B"/>
    <w:rsid w:val="659F41BF"/>
    <w:rsid w:val="65C6174B"/>
    <w:rsid w:val="65DB492F"/>
    <w:rsid w:val="66015101"/>
    <w:rsid w:val="66154481"/>
    <w:rsid w:val="66210A79"/>
    <w:rsid w:val="66263F98"/>
    <w:rsid w:val="66320B8F"/>
    <w:rsid w:val="665F0FD8"/>
    <w:rsid w:val="66A24CCE"/>
    <w:rsid w:val="66A55805"/>
    <w:rsid w:val="66A6332B"/>
    <w:rsid w:val="66AD6051"/>
    <w:rsid w:val="66AF21DF"/>
    <w:rsid w:val="66B3520C"/>
    <w:rsid w:val="66B772E6"/>
    <w:rsid w:val="66BE00B1"/>
    <w:rsid w:val="66C11F13"/>
    <w:rsid w:val="66CA6058"/>
    <w:rsid w:val="66CD2666"/>
    <w:rsid w:val="66D923D5"/>
    <w:rsid w:val="66DB1226"/>
    <w:rsid w:val="66FD119D"/>
    <w:rsid w:val="67074CD5"/>
    <w:rsid w:val="67334BBF"/>
    <w:rsid w:val="673E54E3"/>
    <w:rsid w:val="6751773B"/>
    <w:rsid w:val="67525C10"/>
    <w:rsid w:val="67584625"/>
    <w:rsid w:val="67641AF1"/>
    <w:rsid w:val="67760F4F"/>
    <w:rsid w:val="67780823"/>
    <w:rsid w:val="678C6785"/>
    <w:rsid w:val="67B657F0"/>
    <w:rsid w:val="67B72CDC"/>
    <w:rsid w:val="67D63318"/>
    <w:rsid w:val="67DA7730"/>
    <w:rsid w:val="67F3434E"/>
    <w:rsid w:val="67F76A84"/>
    <w:rsid w:val="6853303E"/>
    <w:rsid w:val="68583FA6"/>
    <w:rsid w:val="68784853"/>
    <w:rsid w:val="687E455F"/>
    <w:rsid w:val="688A17C5"/>
    <w:rsid w:val="68907DEF"/>
    <w:rsid w:val="68953657"/>
    <w:rsid w:val="68997F4C"/>
    <w:rsid w:val="689B6EBF"/>
    <w:rsid w:val="68AD4482"/>
    <w:rsid w:val="68C301C4"/>
    <w:rsid w:val="68E02B24"/>
    <w:rsid w:val="68F04CD2"/>
    <w:rsid w:val="68F16D4C"/>
    <w:rsid w:val="69012A9A"/>
    <w:rsid w:val="69074555"/>
    <w:rsid w:val="690B56C7"/>
    <w:rsid w:val="69146C72"/>
    <w:rsid w:val="69344C1E"/>
    <w:rsid w:val="69375DCF"/>
    <w:rsid w:val="696C260A"/>
    <w:rsid w:val="69787200"/>
    <w:rsid w:val="697A2F79"/>
    <w:rsid w:val="697B45FB"/>
    <w:rsid w:val="698257CF"/>
    <w:rsid w:val="699456BD"/>
    <w:rsid w:val="69A973BA"/>
    <w:rsid w:val="69AC2A06"/>
    <w:rsid w:val="69B47B0D"/>
    <w:rsid w:val="69E409F3"/>
    <w:rsid w:val="69E95A08"/>
    <w:rsid w:val="69EE74C3"/>
    <w:rsid w:val="6A040074"/>
    <w:rsid w:val="6A152CA1"/>
    <w:rsid w:val="6A164324"/>
    <w:rsid w:val="6A22716C"/>
    <w:rsid w:val="6A3F1ACC"/>
    <w:rsid w:val="6A6D488B"/>
    <w:rsid w:val="6A6D6A76"/>
    <w:rsid w:val="6A6F7E15"/>
    <w:rsid w:val="6A9E4112"/>
    <w:rsid w:val="6AA16837"/>
    <w:rsid w:val="6AEF52A0"/>
    <w:rsid w:val="6AFB248B"/>
    <w:rsid w:val="6B272C8C"/>
    <w:rsid w:val="6B2807B2"/>
    <w:rsid w:val="6B2961F0"/>
    <w:rsid w:val="6B451E1B"/>
    <w:rsid w:val="6B4E646B"/>
    <w:rsid w:val="6B4E6A13"/>
    <w:rsid w:val="6B680D89"/>
    <w:rsid w:val="6B8F438D"/>
    <w:rsid w:val="6BC9782A"/>
    <w:rsid w:val="6BCE4EB6"/>
    <w:rsid w:val="6BDA6B65"/>
    <w:rsid w:val="6BE7241B"/>
    <w:rsid w:val="6BF40832"/>
    <w:rsid w:val="6C00528B"/>
    <w:rsid w:val="6C101972"/>
    <w:rsid w:val="6C3367E9"/>
    <w:rsid w:val="6C37748A"/>
    <w:rsid w:val="6C53360D"/>
    <w:rsid w:val="6C6144B2"/>
    <w:rsid w:val="6C64581A"/>
    <w:rsid w:val="6C6E0447"/>
    <w:rsid w:val="6C773A55"/>
    <w:rsid w:val="6C783074"/>
    <w:rsid w:val="6C7A3290"/>
    <w:rsid w:val="6C8B2DA7"/>
    <w:rsid w:val="6C9B39BA"/>
    <w:rsid w:val="6CB542C8"/>
    <w:rsid w:val="6CEB5D86"/>
    <w:rsid w:val="6D0D7C60"/>
    <w:rsid w:val="6D725D15"/>
    <w:rsid w:val="6D800432"/>
    <w:rsid w:val="6DA87988"/>
    <w:rsid w:val="6DBD3434"/>
    <w:rsid w:val="6DC42A14"/>
    <w:rsid w:val="6DC823FB"/>
    <w:rsid w:val="6DCB09D1"/>
    <w:rsid w:val="6DCE3893"/>
    <w:rsid w:val="6DD020E1"/>
    <w:rsid w:val="6DDC581A"/>
    <w:rsid w:val="6DE07122"/>
    <w:rsid w:val="6DF45878"/>
    <w:rsid w:val="6E070B53"/>
    <w:rsid w:val="6E172BE7"/>
    <w:rsid w:val="6E241705"/>
    <w:rsid w:val="6E274D51"/>
    <w:rsid w:val="6E363B46"/>
    <w:rsid w:val="6E3D2F8F"/>
    <w:rsid w:val="6E46167B"/>
    <w:rsid w:val="6E4969E0"/>
    <w:rsid w:val="6E5A7CC0"/>
    <w:rsid w:val="6E6B10E2"/>
    <w:rsid w:val="6E85363C"/>
    <w:rsid w:val="6E8C1058"/>
    <w:rsid w:val="6E9015B7"/>
    <w:rsid w:val="6EB34837"/>
    <w:rsid w:val="6EB42D97"/>
    <w:rsid w:val="6EC729AA"/>
    <w:rsid w:val="6ED053E9"/>
    <w:rsid w:val="6EDE7B06"/>
    <w:rsid w:val="6F006F6E"/>
    <w:rsid w:val="6F071EF0"/>
    <w:rsid w:val="6F127604"/>
    <w:rsid w:val="6F321C00"/>
    <w:rsid w:val="6F4436E1"/>
    <w:rsid w:val="6F4F630E"/>
    <w:rsid w:val="6F667AFB"/>
    <w:rsid w:val="6F7246F2"/>
    <w:rsid w:val="6F745D74"/>
    <w:rsid w:val="6FC330B5"/>
    <w:rsid w:val="6FE54D8D"/>
    <w:rsid w:val="6FFF4155"/>
    <w:rsid w:val="70301F1E"/>
    <w:rsid w:val="703419A7"/>
    <w:rsid w:val="703740CD"/>
    <w:rsid w:val="70476FDA"/>
    <w:rsid w:val="704E73AD"/>
    <w:rsid w:val="70761505"/>
    <w:rsid w:val="7080699B"/>
    <w:rsid w:val="708F59A7"/>
    <w:rsid w:val="70932B72"/>
    <w:rsid w:val="709D12FB"/>
    <w:rsid w:val="70B22514"/>
    <w:rsid w:val="70B4759B"/>
    <w:rsid w:val="70BA2758"/>
    <w:rsid w:val="70C20D61"/>
    <w:rsid w:val="70D171F6"/>
    <w:rsid w:val="70D70CB1"/>
    <w:rsid w:val="70D867D7"/>
    <w:rsid w:val="70E61887"/>
    <w:rsid w:val="70FD0E77"/>
    <w:rsid w:val="70FD7FEB"/>
    <w:rsid w:val="7130216F"/>
    <w:rsid w:val="714300F4"/>
    <w:rsid w:val="71467BE4"/>
    <w:rsid w:val="71500A63"/>
    <w:rsid w:val="71502811"/>
    <w:rsid w:val="715C2F64"/>
    <w:rsid w:val="71C01745"/>
    <w:rsid w:val="71D13952"/>
    <w:rsid w:val="71D147B7"/>
    <w:rsid w:val="71D451F0"/>
    <w:rsid w:val="71DE606F"/>
    <w:rsid w:val="71E16406"/>
    <w:rsid w:val="71FA5FC9"/>
    <w:rsid w:val="72000B4C"/>
    <w:rsid w:val="720A6E64"/>
    <w:rsid w:val="720C498A"/>
    <w:rsid w:val="72161365"/>
    <w:rsid w:val="72323CC5"/>
    <w:rsid w:val="72356B79"/>
    <w:rsid w:val="724539F8"/>
    <w:rsid w:val="727F56B0"/>
    <w:rsid w:val="729055BB"/>
    <w:rsid w:val="7292340F"/>
    <w:rsid w:val="729A1F96"/>
    <w:rsid w:val="729C3F60"/>
    <w:rsid w:val="72A916D5"/>
    <w:rsid w:val="72AD351E"/>
    <w:rsid w:val="72B55021"/>
    <w:rsid w:val="72DD1E82"/>
    <w:rsid w:val="72E06587"/>
    <w:rsid w:val="72E2393D"/>
    <w:rsid w:val="7302206A"/>
    <w:rsid w:val="73090EC9"/>
    <w:rsid w:val="730C2768"/>
    <w:rsid w:val="731E2B7F"/>
    <w:rsid w:val="732A5BCE"/>
    <w:rsid w:val="73306456"/>
    <w:rsid w:val="7349576A"/>
    <w:rsid w:val="735C724B"/>
    <w:rsid w:val="735E1215"/>
    <w:rsid w:val="737547B1"/>
    <w:rsid w:val="738F7621"/>
    <w:rsid w:val="73AF7CC3"/>
    <w:rsid w:val="73B057E9"/>
    <w:rsid w:val="73B76B77"/>
    <w:rsid w:val="73BE334D"/>
    <w:rsid w:val="73D47729"/>
    <w:rsid w:val="73D67DE2"/>
    <w:rsid w:val="73E536E4"/>
    <w:rsid w:val="73EF00BF"/>
    <w:rsid w:val="73EF379D"/>
    <w:rsid w:val="7400051E"/>
    <w:rsid w:val="7400407A"/>
    <w:rsid w:val="742C4E6F"/>
    <w:rsid w:val="74434366"/>
    <w:rsid w:val="74512B28"/>
    <w:rsid w:val="74612384"/>
    <w:rsid w:val="74637F1A"/>
    <w:rsid w:val="7467234B"/>
    <w:rsid w:val="74695916"/>
    <w:rsid w:val="748544EE"/>
    <w:rsid w:val="7499627D"/>
    <w:rsid w:val="74AC0E38"/>
    <w:rsid w:val="74B11819"/>
    <w:rsid w:val="74B84955"/>
    <w:rsid w:val="74C14349"/>
    <w:rsid w:val="74CC6652"/>
    <w:rsid w:val="74CF1091"/>
    <w:rsid w:val="74D55507"/>
    <w:rsid w:val="74D74F0B"/>
    <w:rsid w:val="74DA5A88"/>
    <w:rsid w:val="74EE481B"/>
    <w:rsid w:val="74F040EF"/>
    <w:rsid w:val="75006EBC"/>
    <w:rsid w:val="7506180F"/>
    <w:rsid w:val="750B0F29"/>
    <w:rsid w:val="751D1E98"/>
    <w:rsid w:val="7526640C"/>
    <w:rsid w:val="75463CF0"/>
    <w:rsid w:val="75596D31"/>
    <w:rsid w:val="75826D11"/>
    <w:rsid w:val="758E7F20"/>
    <w:rsid w:val="758F7D6B"/>
    <w:rsid w:val="75AB270C"/>
    <w:rsid w:val="75B261C1"/>
    <w:rsid w:val="75C30BCE"/>
    <w:rsid w:val="75D73501"/>
    <w:rsid w:val="75F145C2"/>
    <w:rsid w:val="75F93477"/>
    <w:rsid w:val="760829DD"/>
    <w:rsid w:val="76126817"/>
    <w:rsid w:val="76277FE4"/>
    <w:rsid w:val="762D5E4E"/>
    <w:rsid w:val="766034F6"/>
    <w:rsid w:val="768947FB"/>
    <w:rsid w:val="769431A0"/>
    <w:rsid w:val="769B04D6"/>
    <w:rsid w:val="76AE24B4"/>
    <w:rsid w:val="76C021E7"/>
    <w:rsid w:val="76D460F5"/>
    <w:rsid w:val="76DC307E"/>
    <w:rsid w:val="76EC08E6"/>
    <w:rsid w:val="76EE465E"/>
    <w:rsid w:val="76F01F3C"/>
    <w:rsid w:val="76F46D26"/>
    <w:rsid w:val="77297D8C"/>
    <w:rsid w:val="77395E4F"/>
    <w:rsid w:val="77440114"/>
    <w:rsid w:val="774424D0"/>
    <w:rsid w:val="7753310E"/>
    <w:rsid w:val="776C2C3B"/>
    <w:rsid w:val="77802537"/>
    <w:rsid w:val="778D031B"/>
    <w:rsid w:val="77AF64E3"/>
    <w:rsid w:val="77C16217"/>
    <w:rsid w:val="77CC339C"/>
    <w:rsid w:val="77CE623E"/>
    <w:rsid w:val="77D85354"/>
    <w:rsid w:val="77E617D9"/>
    <w:rsid w:val="77EB6DF0"/>
    <w:rsid w:val="77F1305D"/>
    <w:rsid w:val="77F75794"/>
    <w:rsid w:val="77F9775E"/>
    <w:rsid w:val="7803603C"/>
    <w:rsid w:val="78191BAF"/>
    <w:rsid w:val="781E5417"/>
    <w:rsid w:val="78212811"/>
    <w:rsid w:val="78280044"/>
    <w:rsid w:val="78372035"/>
    <w:rsid w:val="78401CBA"/>
    <w:rsid w:val="78591FAB"/>
    <w:rsid w:val="786906A9"/>
    <w:rsid w:val="78697846"/>
    <w:rsid w:val="787A54C6"/>
    <w:rsid w:val="788B0903"/>
    <w:rsid w:val="78BF6AF9"/>
    <w:rsid w:val="78D21D5D"/>
    <w:rsid w:val="78DF3738"/>
    <w:rsid w:val="78EA00BA"/>
    <w:rsid w:val="78EE4DE9"/>
    <w:rsid w:val="78FB5758"/>
    <w:rsid w:val="791526DA"/>
    <w:rsid w:val="79393B8B"/>
    <w:rsid w:val="79425135"/>
    <w:rsid w:val="794E5AB1"/>
    <w:rsid w:val="7956473D"/>
    <w:rsid w:val="796B01E8"/>
    <w:rsid w:val="796F5D4B"/>
    <w:rsid w:val="79740AF2"/>
    <w:rsid w:val="79752EC5"/>
    <w:rsid w:val="7998397B"/>
    <w:rsid w:val="799D53E3"/>
    <w:rsid w:val="79A6671B"/>
    <w:rsid w:val="79B67668"/>
    <w:rsid w:val="79CA31CA"/>
    <w:rsid w:val="79DC50C3"/>
    <w:rsid w:val="79DD09BA"/>
    <w:rsid w:val="79E93803"/>
    <w:rsid w:val="79F44681"/>
    <w:rsid w:val="79FA207F"/>
    <w:rsid w:val="79FC3536"/>
    <w:rsid w:val="7A067F11"/>
    <w:rsid w:val="7A187C44"/>
    <w:rsid w:val="7A320D06"/>
    <w:rsid w:val="7A3A405E"/>
    <w:rsid w:val="7A41363F"/>
    <w:rsid w:val="7A470DF5"/>
    <w:rsid w:val="7A5B64AE"/>
    <w:rsid w:val="7A664E53"/>
    <w:rsid w:val="7A6D61E2"/>
    <w:rsid w:val="7A8552D9"/>
    <w:rsid w:val="7A965738"/>
    <w:rsid w:val="7AA11299"/>
    <w:rsid w:val="7AAA71E5"/>
    <w:rsid w:val="7AB636E5"/>
    <w:rsid w:val="7ABB613D"/>
    <w:rsid w:val="7AE2272C"/>
    <w:rsid w:val="7AF35055"/>
    <w:rsid w:val="7AF82284"/>
    <w:rsid w:val="7AFD7566"/>
    <w:rsid w:val="7B007056"/>
    <w:rsid w:val="7B06349B"/>
    <w:rsid w:val="7B0D6732"/>
    <w:rsid w:val="7B226FCC"/>
    <w:rsid w:val="7B3665D4"/>
    <w:rsid w:val="7B3D3E06"/>
    <w:rsid w:val="7B486307"/>
    <w:rsid w:val="7B5A49B8"/>
    <w:rsid w:val="7B6121DD"/>
    <w:rsid w:val="7B7A0E72"/>
    <w:rsid w:val="7B86755B"/>
    <w:rsid w:val="7BB35E76"/>
    <w:rsid w:val="7BC6204D"/>
    <w:rsid w:val="7BCB7664"/>
    <w:rsid w:val="7BE95D3C"/>
    <w:rsid w:val="7BF618EA"/>
    <w:rsid w:val="7C3C5E6C"/>
    <w:rsid w:val="7C413482"/>
    <w:rsid w:val="7C8C49A4"/>
    <w:rsid w:val="7C95557C"/>
    <w:rsid w:val="7C9C2DAE"/>
    <w:rsid w:val="7CBE227C"/>
    <w:rsid w:val="7CC61BD9"/>
    <w:rsid w:val="7CD24A22"/>
    <w:rsid w:val="7CF02A33"/>
    <w:rsid w:val="7CF6426C"/>
    <w:rsid w:val="7D080444"/>
    <w:rsid w:val="7D123E77"/>
    <w:rsid w:val="7D240BEB"/>
    <w:rsid w:val="7D506401"/>
    <w:rsid w:val="7D5A52EE"/>
    <w:rsid w:val="7D5B4A17"/>
    <w:rsid w:val="7D5B67C5"/>
    <w:rsid w:val="7D68482F"/>
    <w:rsid w:val="7D845D1C"/>
    <w:rsid w:val="7D893333"/>
    <w:rsid w:val="7D9B4E14"/>
    <w:rsid w:val="7DAE4B47"/>
    <w:rsid w:val="7DAF266D"/>
    <w:rsid w:val="7DBF0B02"/>
    <w:rsid w:val="7DBF6D54"/>
    <w:rsid w:val="7DCA74A7"/>
    <w:rsid w:val="7DEB1FAC"/>
    <w:rsid w:val="7DF1369B"/>
    <w:rsid w:val="7E0D5D12"/>
    <w:rsid w:val="7E1F5A45"/>
    <w:rsid w:val="7E327BA3"/>
    <w:rsid w:val="7E590F57"/>
    <w:rsid w:val="7E696CC0"/>
    <w:rsid w:val="7E6B47E6"/>
    <w:rsid w:val="7E74183B"/>
    <w:rsid w:val="7E835FD4"/>
    <w:rsid w:val="7E8A7362"/>
    <w:rsid w:val="7EB50157"/>
    <w:rsid w:val="7EC82C67"/>
    <w:rsid w:val="7ECD54A1"/>
    <w:rsid w:val="7ED71E7C"/>
    <w:rsid w:val="7EE852E6"/>
    <w:rsid w:val="7EEA7E01"/>
    <w:rsid w:val="7F3A3964"/>
    <w:rsid w:val="7F442849"/>
    <w:rsid w:val="7F6F7D72"/>
    <w:rsid w:val="7F7122D0"/>
    <w:rsid w:val="7F825D8F"/>
    <w:rsid w:val="7F8A15E4"/>
    <w:rsid w:val="7FC1385A"/>
    <w:rsid w:val="7FC70142"/>
    <w:rsid w:val="7FD85EAB"/>
    <w:rsid w:val="7FEC1957"/>
    <w:rsid w:val="7FEE3921"/>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cs="Times New Roman" w:eastAsiaTheme="minorEastAsia"/>
      <w:kern w:val="1"/>
      <w:sz w:val="21"/>
      <w:szCs w:val="22"/>
      <w:lang w:val="en-US" w:eastAsia="zh-CN" w:bidi="ar-SA"/>
    </w:rPr>
  </w:style>
  <w:style w:type="paragraph" w:styleId="3">
    <w:name w:val="heading 1"/>
    <w:basedOn w:val="1"/>
    <w:next w:val="1"/>
    <w:qFormat/>
    <w:uiPriority w:val="0"/>
    <w:pPr>
      <w:keepNext/>
      <w:keepLines/>
      <w:widowControl w:val="0"/>
      <w:spacing w:before="340" w:after="330" w:line="578" w:lineRule="auto"/>
      <w:jc w:val="both"/>
      <w:outlineLvl w:val="0"/>
    </w:pPr>
    <w:rPr>
      <w:rFonts w:ascii="Calibri" w:hAnsi="Calibri" w:cs="Times New Roman" w:eastAsiaTheme="minorEastAsia"/>
      <w:b/>
      <w:bCs/>
      <w:kern w:val="1"/>
      <w:sz w:val="44"/>
      <w:szCs w:val="44"/>
      <w:lang w:val="en-US" w:eastAsia="zh-CN" w:bidi="ar-SA"/>
    </w:rPr>
  </w:style>
  <w:style w:type="paragraph" w:styleId="4">
    <w:name w:val="heading 2"/>
    <w:basedOn w:val="1"/>
    <w:next w:val="1"/>
    <w:qFormat/>
    <w:uiPriority w:val="0"/>
    <w:pPr>
      <w:keepNext/>
      <w:keepLines/>
      <w:widowControl w:val="0"/>
      <w:spacing w:before="260" w:after="260" w:line="415" w:lineRule="auto"/>
      <w:jc w:val="both"/>
      <w:outlineLvl w:val="1"/>
    </w:pPr>
    <w:rPr>
      <w:rFonts w:ascii="Calibri Light" w:hAnsi="Calibri Light" w:eastAsia="Calibri Light" w:cs="Times New Roman"/>
      <w:b/>
      <w:bCs/>
      <w:kern w:val="1"/>
      <w:sz w:val="32"/>
      <w:szCs w:val="32"/>
      <w:lang w:val="en-US" w:eastAsia="zh-CN" w:bidi="ar-SA"/>
    </w:rPr>
  </w:style>
  <w:style w:type="paragraph" w:styleId="5">
    <w:name w:val="heading 3"/>
    <w:basedOn w:val="1"/>
    <w:next w:val="1"/>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8">
    <w:name w:val="Normal Indent"/>
    <w:basedOn w:val="1"/>
    <w:next w:val="1"/>
    <w:qFormat/>
    <w:uiPriority w:val="0"/>
    <w:pPr>
      <w:ind w:firstLine="420" w:firstLineChars="200"/>
    </w:pPr>
  </w:style>
  <w:style w:type="paragraph" w:styleId="9">
    <w:name w:val="annotation text"/>
    <w:basedOn w:val="1"/>
    <w:qFormat/>
    <w:uiPriority w:val="0"/>
    <w:pPr>
      <w:jc w:val="left"/>
    </w:pPr>
  </w:style>
  <w:style w:type="paragraph" w:styleId="10">
    <w:name w:val="Body Text"/>
    <w:basedOn w:val="1"/>
    <w:next w:val="1"/>
    <w:qFormat/>
    <w:uiPriority w:val="0"/>
    <w:pPr>
      <w:spacing w:line="480" w:lineRule="auto"/>
    </w:pPr>
    <w:rPr>
      <w:rFonts w:ascii="宋体" w:eastAsia="宋体"/>
      <w:kern w:val="2"/>
      <w:sz w:val="24"/>
      <w:szCs w:val="20"/>
    </w:rPr>
  </w:style>
  <w:style w:type="paragraph" w:styleId="11">
    <w:name w:val="Body Text Indent"/>
    <w:basedOn w:val="1"/>
    <w:next w:val="1"/>
    <w:qFormat/>
    <w:uiPriority w:val="0"/>
    <w:pPr>
      <w:ind w:left="420" w:leftChars="200"/>
    </w:pPr>
  </w:style>
  <w:style w:type="paragraph" w:styleId="12">
    <w:name w:val="Plain Text"/>
    <w:basedOn w:val="1"/>
    <w:qFormat/>
    <w:uiPriority w:val="0"/>
    <w:pPr>
      <w:widowControl w:val="0"/>
      <w:spacing w:line="240" w:lineRule="auto"/>
      <w:textAlignment w:val="auto"/>
    </w:pPr>
    <w:rPr>
      <w:rFonts w:ascii="宋体" w:hAnsi="Courier New"/>
      <w:color w:val="auto"/>
      <w:kern w:val="2"/>
      <w:u w:val="none" w:color="auto"/>
    </w:rPr>
  </w:style>
  <w:style w:type="paragraph" w:styleId="13">
    <w:name w:val="Date"/>
    <w:basedOn w:val="1"/>
    <w:next w:val="1"/>
    <w:qFormat/>
    <w:uiPriority w:val="0"/>
    <w:pPr>
      <w:ind w:left="100" w:leftChars="2500"/>
    </w:pPr>
  </w:style>
  <w:style w:type="paragraph" w:styleId="14">
    <w:name w:val="footer"/>
    <w:basedOn w:val="1"/>
    <w:qFormat/>
    <w:uiPriority w:val="99"/>
    <w:pPr>
      <w:widowControl w:val="0"/>
      <w:tabs>
        <w:tab w:val="center" w:pos="4153"/>
        <w:tab w:val="right" w:pos="8306"/>
      </w:tabs>
    </w:pPr>
    <w:rPr>
      <w:rFonts w:ascii="Calibri" w:hAnsi="Calibri" w:cs="Times New Roman" w:eastAsiaTheme="minorEastAsia"/>
      <w:kern w:val="1"/>
      <w:sz w:val="18"/>
      <w:szCs w:val="18"/>
      <w:lang w:val="en-US" w:eastAsia="zh-CN" w:bidi="ar-SA"/>
    </w:rPr>
  </w:style>
  <w:style w:type="paragraph" w:styleId="15">
    <w:name w:val="header"/>
    <w:basedOn w:val="1"/>
    <w:link w:val="5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unhideWhenUsed/>
    <w:qFormat/>
    <w:uiPriority w:val="39"/>
  </w:style>
  <w:style w:type="paragraph" w:styleId="17">
    <w:name w:val="Body Text 2"/>
    <w:basedOn w:val="1"/>
    <w:unhideWhenUsed/>
    <w:qFormat/>
    <w:uiPriority w:val="99"/>
    <w:rPr>
      <w:sz w:val="28"/>
    </w:rPr>
  </w:style>
  <w:style w:type="paragraph" w:styleId="18">
    <w:name w:val="Normal (Web)"/>
    <w:basedOn w:val="1"/>
    <w:qFormat/>
    <w:uiPriority w:val="0"/>
    <w:pPr>
      <w:spacing w:before="0" w:beforeAutospacing="0" w:after="0" w:afterAutospacing="0"/>
      <w:ind w:left="0" w:right="0"/>
      <w:jc w:val="left"/>
    </w:pPr>
    <w:rPr>
      <w:kern w:val="0"/>
      <w:sz w:val="24"/>
      <w:lang w:val="en-US" w:eastAsia="zh-CN" w:bidi="ar"/>
    </w:rPr>
  </w:style>
  <w:style w:type="paragraph" w:styleId="19">
    <w:name w:val="Title"/>
    <w:basedOn w:val="1"/>
    <w:next w:val="11"/>
    <w:qFormat/>
    <w:uiPriority w:val="0"/>
    <w:pPr>
      <w:adjustRightInd w:val="0"/>
      <w:spacing w:before="240" w:beforeLines="0" w:after="60" w:afterLines="0" w:line="420" w:lineRule="atLeast"/>
      <w:jc w:val="center"/>
      <w:textAlignment w:val="baseline"/>
      <w:outlineLvl w:val="0"/>
    </w:pPr>
    <w:rPr>
      <w:rFonts w:ascii="Arial" w:hAnsi="Arial" w:eastAsia="宋体"/>
      <w:b/>
      <w:sz w:val="32"/>
      <w:lang w:val="en-US" w:eastAsia="zh-CN" w:bidi="ar-SA"/>
    </w:rPr>
  </w:style>
  <w:style w:type="paragraph" w:styleId="20">
    <w:name w:val="Body Text First Indent"/>
    <w:basedOn w:val="10"/>
    <w:next w:val="21"/>
    <w:unhideWhenUsed/>
    <w:qFormat/>
    <w:uiPriority w:val="0"/>
    <w:pPr>
      <w:ind w:firstLine="420" w:firstLineChars="100"/>
    </w:pPr>
    <w:rPr>
      <w:sz w:val="18"/>
      <w:szCs w:val="18"/>
    </w:rPr>
  </w:style>
  <w:style w:type="paragraph" w:styleId="21">
    <w:name w:val="Body Text First Indent 2"/>
    <w:basedOn w:val="11"/>
    <w:next w:val="1"/>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bCs/>
    </w:rPr>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rPr>
      <w:i/>
      <w:iCs/>
    </w:rPr>
  </w:style>
  <w:style w:type="character" w:styleId="30">
    <w:name w:val="HTML Typewriter"/>
    <w:basedOn w:val="24"/>
    <w:qFormat/>
    <w:uiPriority w:val="0"/>
    <w:rPr>
      <w:rFonts w:ascii="monospace" w:hAnsi="monospace" w:eastAsia="monospace" w:cs="monospace"/>
      <w:sz w:val="20"/>
    </w:rPr>
  </w:style>
  <w:style w:type="character" w:styleId="31">
    <w:name w:val="HTML Acronym"/>
    <w:basedOn w:val="24"/>
    <w:qFormat/>
    <w:uiPriority w:val="0"/>
    <w:rPr>
      <w:bdr w:val="single" w:color="D6D6D6" w:sz="2" w:space="0"/>
      <w:shd w:val="clear" w:fill="F9F9F9"/>
    </w:rPr>
  </w:style>
  <w:style w:type="character" w:styleId="32">
    <w:name w:val="HTML Variable"/>
    <w:basedOn w:val="24"/>
    <w:qFormat/>
    <w:uiPriority w:val="0"/>
  </w:style>
  <w:style w:type="character" w:styleId="33">
    <w:name w:val="Hyperlink"/>
    <w:basedOn w:val="24"/>
    <w:unhideWhenUsed/>
    <w:qFormat/>
    <w:uiPriority w:val="99"/>
    <w:rPr>
      <w:color w:val="0563C1" w:themeColor="hyperlink"/>
      <w:u w:val="single"/>
      <w14:textFill>
        <w14:solidFill>
          <w14:schemeClr w14:val="hlink"/>
        </w14:solidFill>
      </w14:textFill>
    </w:rPr>
  </w:style>
  <w:style w:type="character" w:styleId="34">
    <w:name w:val="HTML Code"/>
    <w:basedOn w:val="24"/>
    <w:qFormat/>
    <w:uiPriority w:val="0"/>
    <w:rPr>
      <w:rFonts w:ascii="Consolas" w:hAnsi="Consolas" w:eastAsia="Consolas" w:cs="Consolas"/>
      <w:color w:val="C7254E"/>
      <w:sz w:val="21"/>
      <w:szCs w:val="21"/>
      <w:shd w:val="clear" w:fill="F9F2F4"/>
    </w:rPr>
  </w:style>
  <w:style w:type="character" w:styleId="35">
    <w:name w:val="HTML Cite"/>
    <w:basedOn w:val="24"/>
    <w:qFormat/>
    <w:uiPriority w:val="0"/>
  </w:style>
  <w:style w:type="character" w:styleId="36">
    <w:name w:val="HTML Keyboard"/>
    <w:basedOn w:val="24"/>
    <w:qFormat/>
    <w:uiPriority w:val="0"/>
    <w:rPr>
      <w:rFonts w:hint="default" w:ascii="Consolas" w:hAnsi="Consolas" w:eastAsia="Consolas" w:cs="Consolas"/>
      <w:color w:val="FFFFFF"/>
      <w:sz w:val="21"/>
      <w:szCs w:val="21"/>
      <w:shd w:val="clear" w:fill="333333"/>
    </w:rPr>
  </w:style>
  <w:style w:type="character" w:styleId="37">
    <w:name w:val="HTML Sample"/>
    <w:basedOn w:val="24"/>
    <w:qFormat/>
    <w:uiPriority w:val="0"/>
    <w:rPr>
      <w:rFonts w:hint="default" w:ascii="Consolas" w:hAnsi="Consolas" w:eastAsia="Consolas" w:cs="Consolas"/>
      <w:sz w:val="21"/>
      <w:szCs w:val="21"/>
    </w:rPr>
  </w:style>
  <w:style w:type="paragraph" w:customStyle="1" w:styleId="38">
    <w:name w:val="列出段落1"/>
    <w:basedOn w:val="1"/>
    <w:qFormat/>
    <w:uiPriority w:val="34"/>
    <w:pPr>
      <w:ind w:firstLine="420" w:firstLineChars="200"/>
    </w:pPr>
    <w:rPr>
      <w:rFonts w:ascii="Times New Roman" w:hAnsi="Times New Roman" w:eastAsia="宋体"/>
      <w:szCs w:val="21"/>
    </w:rPr>
  </w:style>
  <w:style w:type="paragraph" w:customStyle="1" w:styleId="3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0">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41">
    <w:name w:val="4"/>
    <w:basedOn w:val="1"/>
    <w:qFormat/>
    <w:uiPriority w:val="0"/>
    <w:pPr>
      <w:spacing w:line="560" w:lineRule="exact"/>
      <w:ind w:firstLine="560" w:firstLineChars="200"/>
    </w:pPr>
    <w:rPr>
      <w:rFonts w:hAnsi="宋体" w:eastAsia="宋体"/>
      <w:kern w:val="0"/>
      <w:sz w:val="24"/>
    </w:rPr>
  </w:style>
  <w:style w:type="paragraph" w:customStyle="1" w:styleId="42">
    <w:name w:val="p15"/>
    <w:qFormat/>
    <w:uiPriority w:val="99"/>
    <w:pPr>
      <w:jc w:val="both"/>
    </w:pPr>
    <w:rPr>
      <w:rFonts w:ascii="Calibri" w:hAnsi="Calibri" w:cs="Times New Roman" w:eastAsiaTheme="minorEastAsia"/>
      <w:kern w:val="1"/>
      <w:sz w:val="21"/>
      <w:szCs w:val="21"/>
      <w:lang w:val="en-US" w:eastAsia="zh-CN" w:bidi="ar-SA"/>
    </w:rPr>
  </w:style>
  <w:style w:type="paragraph" w:customStyle="1" w:styleId="43">
    <w:name w:val="批注文字1"/>
    <w:qFormat/>
    <w:uiPriority w:val="0"/>
    <w:pPr>
      <w:widowControl w:val="0"/>
    </w:pPr>
    <w:rPr>
      <w:rFonts w:ascii="Calibri" w:hAnsi="Calibri" w:cs="Times New Roman" w:eastAsiaTheme="minorEastAsia"/>
      <w:kern w:val="1"/>
      <w:sz w:val="21"/>
      <w:szCs w:val="22"/>
      <w:lang w:val="en-US" w:eastAsia="zh-CN" w:bidi="ar-SA"/>
    </w:rPr>
  </w:style>
  <w:style w:type="paragraph" w:customStyle="1" w:styleId="44">
    <w:name w:val="09正文_wh"/>
    <w:qFormat/>
    <w:uiPriority w:val="0"/>
    <w:pPr>
      <w:spacing w:line="300" w:lineRule="auto"/>
      <w:ind w:firstLine="200"/>
      <w:jc w:val="both"/>
    </w:pPr>
    <w:rPr>
      <w:rFonts w:ascii="Times New Roman" w:hAnsi="Times New Roman" w:eastAsia="宋体" w:cs="Times New Roman"/>
      <w:sz w:val="28"/>
      <w:szCs w:val="22"/>
      <w:lang w:val="en-US" w:eastAsia="zh-CN" w:bidi="ar-SA"/>
    </w:rPr>
  </w:style>
  <w:style w:type="paragraph" w:customStyle="1" w:styleId="45">
    <w:name w:val="正文 New"/>
    <w:qFormat/>
    <w:uiPriority w:val="99"/>
    <w:pPr>
      <w:widowControl w:val="0"/>
      <w:jc w:val="both"/>
    </w:pPr>
    <w:rPr>
      <w:rFonts w:ascii="Times New Roman" w:hAnsi="Times New Roman" w:eastAsia="微软雅黑" w:cs="Times New Roman"/>
      <w:lang w:val="en-US" w:eastAsia="zh-CN" w:bidi="ar-SA"/>
    </w:rPr>
  </w:style>
  <w:style w:type="character" w:customStyle="1" w:styleId="46">
    <w:name w:val="button"/>
    <w:basedOn w:val="24"/>
    <w:qFormat/>
    <w:uiPriority w:val="0"/>
  </w:style>
  <w:style w:type="character" w:customStyle="1" w:styleId="47">
    <w:name w:val="hover"/>
    <w:basedOn w:val="24"/>
    <w:qFormat/>
    <w:uiPriority w:val="0"/>
    <w:rPr>
      <w:shd w:val="clear" w:fill="EEEEEE"/>
    </w:rPr>
  </w:style>
  <w:style w:type="character" w:customStyle="1" w:styleId="48">
    <w:name w:val="old"/>
    <w:basedOn w:val="24"/>
    <w:qFormat/>
    <w:uiPriority w:val="0"/>
    <w:rPr>
      <w:color w:val="999999"/>
    </w:rPr>
  </w:style>
  <w:style w:type="character" w:customStyle="1" w:styleId="49">
    <w:name w:val="hour_am"/>
    <w:basedOn w:val="24"/>
    <w:qFormat/>
    <w:uiPriority w:val="0"/>
  </w:style>
  <w:style w:type="character" w:customStyle="1" w:styleId="50">
    <w:name w:val="hour_pm"/>
    <w:basedOn w:val="24"/>
    <w:qFormat/>
    <w:uiPriority w:val="0"/>
  </w:style>
  <w:style w:type="character" w:customStyle="1" w:styleId="51">
    <w:name w:val="glyphicon4"/>
    <w:basedOn w:val="24"/>
    <w:qFormat/>
    <w:uiPriority w:val="0"/>
  </w:style>
  <w:style w:type="character" w:customStyle="1" w:styleId="52">
    <w:name w:val="indent"/>
    <w:basedOn w:val="24"/>
    <w:qFormat/>
    <w:uiPriority w:val="0"/>
  </w:style>
  <w:style w:type="character" w:customStyle="1" w:styleId="53">
    <w:name w:val="tmpztreemove_arrow"/>
    <w:basedOn w:val="24"/>
    <w:qFormat/>
    <w:uiPriority w:val="0"/>
    <w:rPr>
      <w:shd w:val="clear" w:fill="FFFFFF"/>
    </w:rPr>
  </w:style>
  <w:style w:type="character" w:customStyle="1" w:styleId="54">
    <w:name w:val="hover3"/>
    <w:basedOn w:val="24"/>
    <w:qFormat/>
    <w:uiPriority w:val="0"/>
    <w:rPr>
      <w:shd w:val="clear" w:fill="EEEEEE"/>
    </w:rPr>
  </w:style>
  <w:style w:type="paragraph" w:customStyle="1" w:styleId="55">
    <w:name w:val="WPSOffice手动目录 1"/>
    <w:qFormat/>
    <w:uiPriority w:val="0"/>
    <w:pPr>
      <w:ind w:leftChars="0"/>
    </w:pPr>
    <w:rPr>
      <w:rFonts w:ascii="Times New Roman" w:hAnsi="Times New Roman" w:eastAsia="宋体" w:cs="Times New Roman"/>
      <w:sz w:val="20"/>
      <w:szCs w:val="20"/>
    </w:rPr>
  </w:style>
  <w:style w:type="character" w:customStyle="1" w:styleId="56">
    <w:name w:val="NormalCharacter"/>
    <w:qFormat/>
    <w:uiPriority w:val="0"/>
    <w:rPr>
      <w:kern w:val="2"/>
      <w:sz w:val="21"/>
      <w:szCs w:val="24"/>
      <w:lang w:val="en-US" w:eastAsia="zh-CN" w:bidi="ar-SA"/>
    </w:rPr>
  </w:style>
  <w:style w:type="paragraph" w:customStyle="1" w:styleId="57">
    <w:name w:val="UserStyle_7"/>
    <w:basedOn w:val="1"/>
    <w:qFormat/>
    <w:uiPriority w:val="0"/>
    <w:pPr>
      <w:spacing w:line="240" w:lineRule="auto"/>
      <w:ind w:firstLineChars="0"/>
      <w:jc w:val="both"/>
      <w:textAlignment w:val="baseline"/>
    </w:pPr>
    <w:rPr>
      <w:rFonts w:ascii="Times New Roman" w:hAnsi="Times New Roman" w:eastAsia="宋体"/>
      <w:kern w:val="2"/>
      <w:sz w:val="28"/>
      <w:szCs w:val="24"/>
      <w:lang w:val="en-US" w:eastAsia="zh-CN" w:bidi="ar-SA"/>
    </w:rPr>
  </w:style>
  <w:style w:type="character" w:customStyle="1" w:styleId="58">
    <w:name w:val="页眉 Char1"/>
    <w:link w:val="15"/>
    <w:qFormat/>
    <w:uiPriority w:val="0"/>
    <w:rPr>
      <w:sz w:val="18"/>
    </w:rPr>
  </w:style>
  <w:style w:type="paragraph" w:customStyle="1" w:styleId="59">
    <w:name w:val="WPSOffice手动目录 2"/>
    <w:qFormat/>
    <w:uiPriority w:val="0"/>
    <w:pPr>
      <w:ind w:leftChars="200"/>
    </w:pPr>
    <w:rPr>
      <w:rFonts w:ascii="Times New Roman" w:hAnsi="Times New Roman" w:eastAsia="宋体" w:cs="Times New Roman"/>
      <w:sz w:val="20"/>
      <w:szCs w:val="20"/>
    </w:rPr>
  </w:style>
  <w:style w:type="paragraph" w:customStyle="1" w:styleId="60">
    <w:name w:val="样式 10 磅"/>
    <w:basedOn w:val="1"/>
    <w:qFormat/>
    <w:uiPriority w:val="0"/>
  </w:style>
  <w:style w:type="paragraph" w:customStyle="1" w:styleId="6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34836</Words>
  <Characters>37061</Characters>
  <Lines>0</Lines>
  <Paragraphs>0</Paragraphs>
  <TotalTime>82</TotalTime>
  <ScaleCrop>false</ScaleCrop>
  <LinksUpToDate>false</LinksUpToDate>
  <CharactersWithSpaces>39646</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2020-12-02T07:31:00Z</dcterms:created>
  <dc:creator>Administrator</dc:creator>
  <cp:lastModifiedBy>peng</cp:lastModifiedBy>
  <cp:lastPrinted>2025-11-17T05:58:00Z</cp:lastPrinted>
  <dcterms:modified xsi:type="dcterms:W3CDTF">2026-08-12T07:49:26Z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A1235A681ED24A58AD9FA5B339729DBF_13</vt:lpwstr>
  </property>
  <property fmtid="{D5CDD505-2E9C-101B-9397-08002B2CF9AE}" pid="4" name="KSOTemplateDocerSaveRecord">
    <vt:lpwstr>eyJoZGlkIjoiZGYwMTMxYjA1ZmMwODRhOGI5MDZjZGNiMGRlZDAxOGUiLCJ1c2VySWQiOiI1Mzc2Mjk5OTQifQ==</vt:lpwstr>
  </property>
</Properties>
</file>