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版本号：ZC2F2026-FW-00820260814001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镇巴县渚(楮)河幸福河湖建设项目勘察设计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ZC2F2026-FW-008</w:t>
      </w:r>
      <w:r>
        <w:br/>
      </w:r>
      <w:r>
        <w:br/>
      </w:r>
      <w:r>
        <w:br/>
      </w:r>
    </w:p>
    <w:p>
      <w:pPr>
        <w:pStyle w:val="null3"/>
        <w:jc w:val="center"/>
        <w:outlineLvl w:val="2"/>
      </w:pPr>
      <w:r>
        <w:rPr>
          <w:rFonts w:ascii="仿宋_GB2312" w:hAnsi="仿宋_GB2312" w:cs="仿宋_GB2312" w:eastAsia="仿宋_GB2312"/>
          <w:sz w:val="28"/>
          <w:b/>
        </w:rPr>
        <w:t>镇巴县水利局</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镇巴县水利局</w:t>
      </w:r>
      <w:r>
        <w:rPr>
          <w:rFonts w:ascii="仿宋_GB2312" w:hAnsi="仿宋_GB2312" w:cs="仿宋_GB2312" w:eastAsia="仿宋_GB2312"/>
        </w:rPr>
        <w:t>委托，拟对</w:t>
      </w:r>
      <w:r>
        <w:rPr>
          <w:rFonts w:ascii="仿宋_GB2312" w:hAnsi="仿宋_GB2312" w:cs="仿宋_GB2312" w:eastAsia="仿宋_GB2312"/>
        </w:rPr>
        <w:t>镇巴县渚(楮)河幸福河湖建设项目勘察设计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ZC2F2026-FW-008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镇巴县渚(楮)河幸福河湖建设项目勘察设计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1.1项⽬背景： 渚（楮）河（FFIEB000000R），系任河⼀级⽀流，汉江的⼆级⽀流，⼲流⻓度124.49km，其中 镇巴县境内⼲流⻓度95.8km。渚（楮）河发源于镇巴县⼤巴⼭的平安镇锅⼚坪村⼗⼆岭⼭下，由北向南流过兴隆镇，到观⾳镇折向东流，从巴庙镇⻢头岭葫芦头出境⼊紫阳县红椿镇尚坝村，于紫阳县向阳镇汇⼊任河。 渚（楮）河⼲流⽬前主要存在现状河段岸线⽣态性不⾜，河道⽣态廊道缺乏连续性、部分⽔域空间需要保护修复、局部河段底质较差，⽔⽣动植物存活困难，⽔⽂化挖掘弘扬不⾜等问题，河湖⽔域岸线管理保护、流域科学管护能⼒⽋缺。 1.2项⽬建设地点：渚（楮）河流域镇巴县境内平安镇、兴隆镇、观⾳镇、巴庙镇。 1.3项⽬建设内容：堤防⽣态化改造、⽣态堰、⽔域空间修复、岸坡绿化、⽔⽂化保护传承提升管护能⼒等。项⽬总投资约3000万元。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采购包1（镇巴县渚(楮)河幸福河湖建设项目勘察设计）：属于专门面向中小企业采购。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其他组织或自然人，并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法定代表人或委托代理人身份证明：法定代表人或委托代理人身份证明：法定代表人直接参加磋商的，须提供《法定代表人身份证明》及法定代表人身份证复印件;法定代表人授权他人参加磋商的，须提供《法定代表人授权委托书》及委托代理人身份证复印件。(材料应清晰可辨并进行电子签章)</w:t>
      </w:r>
    </w:p>
    <w:p>
      <w:pPr>
        <w:pStyle w:val="null3"/>
      </w:pPr>
      <w:r>
        <w:rPr>
          <w:rFonts w:ascii="仿宋_GB2312" w:hAnsi="仿宋_GB2312" w:cs="仿宋_GB2312" w:eastAsia="仿宋_GB2312"/>
        </w:rPr>
        <w:t>3、供应商资质要求：供应商须具备行业主管部门颁发的 ①勘察资质：工程勘察综合甲级资质，或工程勘察专业资质（岩土工程）乙级及以上资质； ②设计资质：工程设计综合资质甲级；或工程设计水利行业乙级及以上资质，或水利行业（河道整治与城市防洪、灌溉排涝）专业乙级及以上资质。供应商两项资质须同时具备。(材料应清晰可辨并进行电子签章)</w:t>
      </w:r>
    </w:p>
    <w:p>
      <w:pPr>
        <w:pStyle w:val="null3"/>
      </w:pPr>
      <w:r>
        <w:rPr>
          <w:rFonts w:ascii="仿宋_GB2312" w:hAnsi="仿宋_GB2312" w:cs="仿宋_GB2312" w:eastAsia="仿宋_GB2312"/>
        </w:rPr>
        <w:t>4、拟派项目负责人资质要求：拟派项目负责人应具备⽔利相关专业⾼级⼯程师及以上职称证书；或具备注册⼟⽊⼯程师(岩⼟)执业资格证书。(材料应清晰可辨并进⾏电⼦签章)</w:t>
      </w:r>
    </w:p>
    <w:p>
      <w:pPr>
        <w:pStyle w:val="null3"/>
      </w:pPr>
      <w:r>
        <w:rPr>
          <w:rFonts w:ascii="仿宋_GB2312" w:hAnsi="仿宋_GB2312" w:cs="仿宋_GB2312" w:eastAsia="仿宋_GB2312"/>
        </w:rPr>
        <w:t>5、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材料应清晰可辨并进行电子签章)</w:t>
      </w:r>
    </w:p>
    <w:p>
      <w:pPr>
        <w:pStyle w:val="null3"/>
      </w:pPr>
      <w:r>
        <w:rPr>
          <w:rFonts w:ascii="仿宋_GB2312" w:hAnsi="仿宋_GB2312" w:cs="仿宋_GB2312" w:eastAsia="仿宋_GB2312"/>
        </w:rPr>
        <w:t>6、非联合体磋商：本项目不接受联合体磋商，单位负责人为同一人或者存在控股、管理关系的不同单位，不得参加同一项目的磋商（提供非联合体声明函）。(材料应清晰可辨并进行电子签章)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镇巴县泾洋街道办新街20号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镇巴县水利局经办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15091617555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南郑区大河坎镇臻华府东门 21—118 号商铺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侯喜萍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17392033221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开户名称：陕西中采项目管理有限公司第二分公司</w:t>
            </w:r>
          </w:p>
          <w:p>
            <w:pPr>
              <w:pStyle w:val="null3"/>
            </w:pPr>
            <w:r>
              <w:rPr>
                <w:rFonts w:ascii="仿宋_GB2312" w:hAnsi="仿宋_GB2312" w:cs="仿宋_GB2312" w:eastAsia="仿宋_GB2312"/>
              </w:rPr>
              <w:t>开户银行：中国建设银行股份有限公司汉中南郑区龙岗路支行</w:t>
            </w:r>
          </w:p>
          <w:p>
            <w:pPr>
              <w:pStyle w:val="null3"/>
            </w:pPr>
            <w:r>
              <w:rPr>
                <w:rFonts w:ascii="仿宋_GB2312" w:hAnsi="仿宋_GB2312" w:cs="仿宋_GB2312" w:eastAsia="仿宋_GB2312"/>
              </w:rPr>
              <w:t>银行账号：61050110066800000943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镇巴县水利局</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1.1本项目完成的全部勘察、设计成果文件（报告、图纸、测绘资料等）著作权自交付且款项结清之日起归采购人所有。成交供应商仅可用于本项目履约存档，未经采购人书面许可不得擅自转发、用于其他项目。 1.2供应商在项目实施过程中如需使用自有或者第三方知识成果的，相关知识产权事宜由双方在合同细化约定；成交供应商保证所有成果及引用资料不存在权属侵权。 1.3若实施过程中需要使用供应商不享有所有权的第三方知识产权，投标报价须包含全部合法许可使用费，采购人不另行付费。 1.4因供应商擅自使用未取得授权的第三方知识产权引发的索赔、诉讼、行政处罚等所有责任与费用，均由成交供应商承担；造成采购人经济损失、名誉损害的，采购人有权追究赔偿责任。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勘察设计成果符合《中华人民共和国水法》《建设工程勘察设计管理条例》等法律法规要求； 严格遵循国家、水利工程现行相关规范、标准及地方相关技术规定； 勘察设计成果贴合项目现场实际，顺利通过相关主管部门审查评审； 全面完成采购文件及合同约定全部工作内容，全过程技术服务响应及时、保障到位。</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联系人：侯喜萍</w:t>
      </w:r>
    </w:p>
    <w:p>
      <w:pPr>
        <w:pStyle w:val="null3"/>
      </w:pPr>
      <w:r>
        <w:rPr>
          <w:rFonts w:ascii="仿宋_GB2312" w:hAnsi="仿宋_GB2312" w:cs="仿宋_GB2312" w:eastAsia="仿宋_GB2312"/>
        </w:rPr>
        <w:t>联系电话：17392033221</w:t>
      </w:r>
    </w:p>
    <w:p>
      <w:pPr>
        <w:pStyle w:val="null3"/>
      </w:pPr>
      <w:r>
        <w:rPr>
          <w:rFonts w:ascii="仿宋_GB2312" w:hAnsi="仿宋_GB2312" w:cs="仿宋_GB2312" w:eastAsia="仿宋_GB2312"/>
        </w:rPr>
        <w:t>地址：南郑区大河坎镇臻华府东门 21—118 号商铺</w:t>
      </w:r>
    </w:p>
    <w:p>
      <w:pPr>
        <w:pStyle w:val="null3"/>
      </w:pPr>
      <w:r>
        <w:rPr>
          <w:rFonts w:ascii="仿宋_GB2312" w:hAnsi="仿宋_GB2312" w:cs="仿宋_GB2312" w:eastAsia="仿宋_GB2312"/>
        </w:rPr>
        <w:t>邮编：723102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1.1项目背景： 渚（楮）河（FFIEB000000R），系任河一级支流，汉江的二级支流，干流长度124.49km，其中镇巴县境内干流长度95.8km。渚（楮）河发源于镇巴县大巴山的平安镇锅厂坪村十二岭山下，由北向南流过兴隆镇，到观音镇折向东流，从巴庙镇马头岭葫芦头出境入紫阳县红椿镇尚坝村，于紫阳县向阳镇汇入任河。 渚（楮）河干流目前主要存在现状河段岸线生态性不足，河道生态廊道缺乏连续性、部分水域空间需要保护修复、局部河段底质较差，水生动植物存活困难，水文化挖掘弘扬不足等问题，河湖水域岸线管理保护、流域科学管护能力欠缺。 1.2项目建设地点：渚（楮）河流域镇巴县境内平安镇、兴隆镇、观音镇、巴庙镇。 1.3项目建设内容：堤防生态化改造、生态堰、水域空间修复、岸坡绿化、水文化保护传承提升管护能力等。项目总投资约3000万元。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镇巴县渚(楮)河幸福河湖建设项目勘察设计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标的名称：镇巴县渚(楮)河幸福河湖建设项目勘察设计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一、具体采购内容和技术规格要求</w:t>
            </w:r>
          </w:p>
          <w:p>
            <w:pPr>
              <w:pStyle w:val="null3"/>
              <w:ind w:firstLine="565"/>
              <w:jc w:val="both"/>
            </w:pPr>
            <w:r>
              <w:rPr>
                <w:rFonts w:ascii="仿宋_GB2312" w:hAnsi="仿宋_GB2312" w:cs="仿宋_GB2312" w:eastAsia="仿宋_GB2312"/>
                <w:sz w:val="21"/>
              </w:rPr>
              <w:t>1.1采购内容</w:t>
            </w:r>
          </w:p>
          <w:p>
            <w:pPr>
              <w:pStyle w:val="null3"/>
              <w:ind w:firstLine="565"/>
              <w:jc w:val="both"/>
            </w:pPr>
            <w:r>
              <w:rPr>
                <w:rFonts w:ascii="仿宋_GB2312" w:hAnsi="仿宋_GB2312" w:cs="仿宋_GB2312" w:eastAsia="仿宋_GB2312"/>
                <w:sz w:val="21"/>
              </w:rPr>
              <w:t>本次采购为镇巴县渚（楮）河幸福河湖建设项目勘察设计服务，主要包含项目工程测量、工程地质勘察、水文分析计算、现状调查、可行性研究报告编制、初步设计编制、施工图设计编制、工程概算编制及配套技术服务等全部内容。涵盖生态修复、岸线治理、亲水设施、绿化提升、管护设施、配套附属工程的全过程勘察设计及投资测算、技术报审、施工配合、验收配合等全流程服务。</w:t>
            </w:r>
          </w:p>
          <w:p>
            <w:pPr>
              <w:pStyle w:val="null3"/>
              <w:ind w:firstLine="565"/>
              <w:jc w:val="both"/>
            </w:pPr>
            <w:r>
              <w:rPr>
                <w:rFonts w:ascii="仿宋_GB2312" w:hAnsi="仿宋_GB2312" w:cs="仿宋_GB2312" w:eastAsia="仿宋_GB2312"/>
                <w:sz w:val="21"/>
              </w:rPr>
              <w:t>1.2质量、安全、技术规格及标准要求</w:t>
            </w:r>
          </w:p>
          <w:p>
            <w:pPr>
              <w:pStyle w:val="null3"/>
              <w:ind w:firstLine="565"/>
              <w:jc w:val="both"/>
            </w:pPr>
            <w:r>
              <w:rPr>
                <w:rFonts w:ascii="仿宋_GB2312" w:hAnsi="仿宋_GB2312" w:cs="仿宋_GB2312" w:eastAsia="仿宋_GB2312"/>
                <w:sz w:val="21"/>
              </w:rPr>
              <w:t>（1）质量要求：所有勘察设计成果必须符合国家、水利行业、陕西省现行规范、标准及幸福河湖建设相关导则、技术指南。成果真实、准确、完整、合理，满足方案审批、施工图审查、财政评审、工程施工及竣工验收要求，杜绝错项、漏项、数据失真、方案不合理等质量问题，确保成果一次性通过各级主管部门审查、评审及备案。</w:t>
            </w:r>
          </w:p>
          <w:p>
            <w:pPr>
              <w:pStyle w:val="null3"/>
              <w:ind w:firstLine="565"/>
              <w:jc w:val="both"/>
            </w:pPr>
            <w:r>
              <w:rPr>
                <w:rFonts w:ascii="仿宋_GB2312" w:hAnsi="仿宋_GB2312" w:cs="仿宋_GB2312" w:eastAsia="仿宋_GB2312"/>
                <w:sz w:val="21"/>
              </w:rPr>
              <w:t>（2）安全要求：中标人现场勘察作业须严格遵守安全生产管理规定，落实野外作业安全、地质勘查安全、交通出行安全等安全管理制度，杜绝安全事故。设计方案须满足防洪安全、结构安全、生态安全、运行安全要求，工程设计安全储备充足，符合山区河道治理安全标准。</w:t>
            </w:r>
          </w:p>
          <w:p>
            <w:pPr>
              <w:pStyle w:val="null3"/>
              <w:ind w:firstLine="565"/>
              <w:jc w:val="both"/>
            </w:pPr>
            <w:r>
              <w:rPr>
                <w:rFonts w:ascii="仿宋_GB2312" w:hAnsi="仿宋_GB2312" w:cs="仿宋_GB2312" w:eastAsia="仿宋_GB2312"/>
                <w:sz w:val="21"/>
              </w:rPr>
              <w:t>（3）技术规格要求：严格按照现行《水利水电工程等级划分及洪水标准》、《河道整治工程设计规范》、《水利工程勘察规范》、《水利工程设计概（估）算编制规定》及幸福河湖建设技术标准开展工作。测量、勘察精度满足规范要求，设计方案科学合理、因地制宜，贴合镇巴县山区河道地形、地质、水文特点，满足生态治理、防洪保安全、水环境提升、亲水便民、长效管护等技术指标。</w:t>
            </w:r>
          </w:p>
          <w:p>
            <w:pPr>
              <w:pStyle w:val="null3"/>
              <w:ind w:firstLine="565"/>
              <w:jc w:val="both"/>
            </w:pPr>
            <w:r>
              <w:rPr>
                <w:rFonts w:ascii="仿宋_GB2312" w:hAnsi="仿宋_GB2312" w:cs="仿宋_GB2312" w:eastAsia="仿宋_GB2312"/>
                <w:sz w:val="21"/>
              </w:rPr>
              <w:t>（4）物理特性及成果规格要求：所有报告、图纸、计算书、造价文件格式规范、图表清晰、签章齐全、装订规整。电子成果为PDF版本，图纸符合水利工程制图标准，图层规范、比例准确、标注完整，满足报审、施工、归档、审计使用要求。</w:t>
            </w:r>
          </w:p>
          <w:p>
            <w:pPr>
              <w:pStyle w:val="null3"/>
              <w:ind w:firstLine="565"/>
              <w:jc w:val="both"/>
            </w:pPr>
            <w:r>
              <w:rPr>
                <w:rFonts w:ascii="仿宋_GB2312" w:hAnsi="仿宋_GB2312" w:cs="仿宋_GB2312" w:eastAsia="仿宋_GB2312"/>
                <w:sz w:val="21"/>
              </w:rPr>
              <w:t>1.3采购数量、交付地点及交付内容</w:t>
            </w:r>
          </w:p>
          <w:p>
            <w:pPr>
              <w:pStyle w:val="null3"/>
              <w:ind w:firstLine="565"/>
              <w:jc w:val="both"/>
            </w:pPr>
            <w:r>
              <w:rPr>
                <w:rFonts w:ascii="仿宋_GB2312" w:hAnsi="仿宋_GB2312" w:cs="仿宋_GB2312" w:eastAsia="仿宋_GB2312"/>
                <w:sz w:val="21"/>
              </w:rPr>
              <w:t>（1）采购数量：本次采购为镇巴县渚（楮）河幸福河湖建设项目全过程勘察设计服务1项，包含项目可研、初设、施工图、概算、现场服务、报审配合、验收配合等全部服务内容。</w:t>
            </w:r>
          </w:p>
          <w:p>
            <w:pPr>
              <w:pStyle w:val="null3"/>
              <w:ind w:firstLine="565"/>
              <w:jc w:val="both"/>
            </w:pPr>
            <w:r>
              <w:rPr>
                <w:rFonts w:ascii="仿宋_GB2312" w:hAnsi="仿宋_GB2312" w:cs="仿宋_GB2312" w:eastAsia="仿宋_GB2312"/>
                <w:sz w:val="21"/>
              </w:rPr>
              <w:t>（2）交付地点：陕西省汉中市镇巴县水利局。</w:t>
            </w:r>
          </w:p>
          <w:p>
            <w:pPr>
              <w:pStyle w:val="null3"/>
              <w:ind w:firstLine="565"/>
              <w:jc w:val="both"/>
            </w:pPr>
            <w:r>
              <w:rPr>
                <w:rFonts w:ascii="仿宋_GB2312" w:hAnsi="仿宋_GB2312" w:cs="仿宋_GB2312" w:eastAsia="仿宋_GB2312"/>
                <w:sz w:val="21"/>
              </w:rPr>
              <w:t>（3）交付成果：可行性研究报告及附图、初步设计报告及图纸、施工图全套图纸、工程概算书、勘察测绘资料、报审修改资料、全过程技术服务资料等全套成果资料。</w:t>
            </w:r>
          </w:p>
          <w:p>
            <w:pPr>
              <w:pStyle w:val="null3"/>
              <w:ind w:firstLine="565"/>
              <w:jc w:val="both"/>
            </w:pPr>
            <w:r>
              <w:rPr>
                <w:rFonts w:ascii="仿宋_GB2312" w:hAnsi="仿宋_GB2312" w:cs="仿宋_GB2312" w:eastAsia="仿宋_GB2312"/>
                <w:sz w:val="21"/>
              </w:rPr>
              <w:t>1.4服务标准、服务期限、服务效率要求</w:t>
            </w:r>
          </w:p>
          <w:p>
            <w:pPr>
              <w:pStyle w:val="null3"/>
              <w:ind w:firstLine="565"/>
              <w:jc w:val="both"/>
            </w:pPr>
            <w:r>
              <w:rPr>
                <w:rFonts w:ascii="仿宋_GB2312" w:hAnsi="仿宋_GB2312" w:cs="仿宋_GB2312" w:eastAsia="仿宋_GB2312"/>
                <w:sz w:val="21"/>
              </w:rPr>
              <w:t>（1）服务标准：中标人须提供全过程、专业化技术服务，严格遵守行业服务规范及采购人管理制度，服从项目整体建设安排，积极配合各级主管部门审查、评审、督导检查工作，服务态度规范、技术响应专业、成果质量可靠。</w:t>
            </w:r>
          </w:p>
          <w:p>
            <w:pPr>
              <w:pStyle w:val="null3"/>
              <w:ind w:firstLine="565"/>
              <w:jc w:val="both"/>
            </w:pPr>
            <w:r>
              <w:rPr>
                <w:rFonts w:ascii="仿宋_GB2312" w:hAnsi="仿宋_GB2312" w:cs="仿宋_GB2312" w:eastAsia="仿宋_GB2312"/>
                <w:sz w:val="21"/>
              </w:rPr>
              <w:t>（2）服务效率要求：接到采购人修改意见、技术咨询、现场服务通知后，一般性技术问题24小时内完成答复及资料修改；现场技术问题、紧急变更问题48小时内抵达现场处置；报审资料严格按照采购人及主管部门时限要求限时办结，不得拖延项目整体推进进度，保障项目各阶段工作按期顺利完成。</w:t>
            </w:r>
          </w:p>
          <w:p>
            <w:pPr>
              <w:pStyle w:val="null3"/>
              <w:jc w:val="both"/>
            </w:pPr>
            <w:r>
              <w:rPr>
                <w:rFonts w:ascii="仿宋_GB2312" w:hAnsi="仿宋_GB2312" w:cs="仿宋_GB2312" w:eastAsia="仿宋_GB2312"/>
                <w:sz w:val="21"/>
              </w:rPr>
              <w:t>二、技术标准要求（依照标准、参照标准）</w:t>
            </w:r>
          </w:p>
          <w:p>
            <w:pPr>
              <w:pStyle w:val="null3"/>
              <w:ind w:firstLine="708"/>
              <w:jc w:val="both"/>
            </w:pPr>
            <w:r>
              <w:rPr>
                <w:rFonts w:ascii="仿宋_GB2312" w:hAnsi="仿宋_GB2312" w:cs="仿宋_GB2312" w:eastAsia="仿宋_GB2312"/>
                <w:sz w:val="21"/>
              </w:rPr>
              <w:t>2.1法律法规</w:t>
            </w:r>
          </w:p>
          <w:p>
            <w:pPr>
              <w:pStyle w:val="null3"/>
              <w:ind w:firstLine="708"/>
              <w:jc w:val="both"/>
            </w:pPr>
            <w:r>
              <w:rPr>
                <w:rFonts w:ascii="仿宋_GB2312" w:hAnsi="仿宋_GB2312" w:cs="仿宋_GB2312" w:eastAsia="仿宋_GB2312"/>
                <w:sz w:val="21"/>
              </w:rPr>
              <w:t>（1）《中华人民共和国水法》（2016年修订）；</w:t>
            </w:r>
          </w:p>
          <w:p>
            <w:pPr>
              <w:pStyle w:val="null3"/>
              <w:ind w:firstLine="708"/>
              <w:jc w:val="both"/>
            </w:pPr>
            <w:r>
              <w:rPr>
                <w:rFonts w:ascii="仿宋_GB2312" w:hAnsi="仿宋_GB2312" w:cs="仿宋_GB2312" w:eastAsia="仿宋_GB2312"/>
                <w:sz w:val="21"/>
              </w:rPr>
              <w:t>（2）《中华人民共和国防洪法》（2016年修订）；</w:t>
            </w:r>
          </w:p>
          <w:p>
            <w:pPr>
              <w:pStyle w:val="null3"/>
              <w:ind w:firstLine="708"/>
              <w:jc w:val="both"/>
            </w:pPr>
            <w:r>
              <w:rPr>
                <w:rFonts w:ascii="仿宋_GB2312" w:hAnsi="仿宋_GB2312" w:cs="仿宋_GB2312" w:eastAsia="仿宋_GB2312"/>
                <w:sz w:val="21"/>
              </w:rPr>
              <w:t>（3）《中华人民共和国河道管理条例》（2026年修订）；</w:t>
            </w:r>
          </w:p>
          <w:p>
            <w:pPr>
              <w:pStyle w:val="null3"/>
              <w:ind w:firstLine="708"/>
              <w:jc w:val="both"/>
            </w:pPr>
            <w:r>
              <w:rPr>
                <w:rFonts w:ascii="仿宋_GB2312" w:hAnsi="仿宋_GB2312" w:cs="仿宋_GB2312" w:eastAsia="仿宋_GB2312"/>
                <w:sz w:val="21"/>
              </w:rPr>
              <w:t>（4）《陕西省河道管理条例》（2024年修订）；</w:t>
            </w:r>
          </w:p>
          <w:p>
            <w:pPr>
              <w:pStyle w:val="null3"/>
              <w:ind w:firstLine="708"/>
              <w:jc w:val="both"/>
            </w:pPr>
            <w:r>
              <w:rPr>
                <w:rFonts w:ascii="仿宋_GB2312" w:hAnsi="仿宋_GB2312" w:cs="仿宋_GB2312" w:eastAsia="仿宋_GB2312"/>
                <w:sz w:val="21"/>
              </w:rPr>
              <w:t>（5）《水功能区监督管理办法》（2017年）；</w:t>
            </w:r>
          </w:p>
          <w:p>
            <w:pPr>
              <w:pStyle w:val="null3"/>
              <w:ind w:firstLine="708"/>
              <w:jc w:val="both"/>
            </w:pPr>
            <w:r>
              <w:rPr>
                <w:rFonts w:ascii="仿宋_GB2312" w:hAnsi="仿宋_GB2312" w:cs="仿宋_GB2312" w:eastAsia="仿宋_GB2312"/>
                <w:sz w:val="21"/>
              </w:rPr>
              <w:t>（6）《水行政处罚实施办法》（2023年）；</w:t>
            </w:r>
          </w:p>
          <w:p>
            <w:pPr>
              <w:pStyle w:val="null3"/>
              <w:ind w:firstLine="708"/>
              <w:jc w:val="both"/>
            </w:pPr>
            <w:r>
              <w:rPr>
                <w:rFonts w:ascii="仿宋_GB2312" w:hAnsi="仿宋_GB2312" w:cs="仿宋_GB2312" w:eastAsia="仿宋_GB2312"/>
                <w:sz w:val="21"/>
              </w:rPr>
              <w:t>（7）《中华人民共和国水土保持法》（2010年修订）；</w:t>
            </w:r>
          </w:p>
          <w:p>
            <w:pPr>
              <w:pStyle w:val="null3"/>
              <w:ind w:firstLine="708"/>
              <w:jc w:val="both"/>
            </w:pPr>
            <w:r>
              <w:rPr>
                <w:rFonts w:ascii="仿宋_GB2312" w:hAnsi="仿宋_GB2312" w:cs="仿宋_GB2312" w:eastAsia="仿宋_GB2312"/>
                <w:sz w:val="21"/>
              </w:rPr>
              <w:t>（8）《中华人民共和国土地管理法》（2019年修订）；</w:t>
            </w:r>
          </w:p>
          <w:p>
            <w:pPr>
              <w:pStyle w:val="null3"/>
              <w:ind w:firstLine="708"/>
              <w:jc w:val="both"/>
            </w:pPr>
            <w:r>
              <w:rPr>
                <w:rFonts w:ascii="仿宋_GB2312" w:hAnsi="仿宋_GB2312" w:cs="仿宋_GB2312" w:eastAsia="仿宋_GB2312"/>
                <w:sz w:val="21"/>
              </w:rPr>
              <w:t>（9）《中华人民共和国环境保护法》（2014年修订）；</w:t>
            </w:r>
          </w:p>
          <w:p>
            <w:pPr>
              <w:pStyle w:val="null3"/>
              <w:ind w:firstLine="708"/>
              <w:jc w:val="both"/>
            </w:pPr>
            <w:r>
              <w:rPr>
                <w:rFonts w:ascii="仿宋_GB2312" w:hAnsi="仿宋_GB2312" w:cs="仿宋_GB2312" w:eastAsia="仿宋_GB2312"/>
                <w:sz w:val="21"/>
              </w:rPr>
              <w:t>（10）《中华人民共和国水污染防治法》（2017修订）；</w:t>
            </w:r>
          </w:p>
          <w:p>
            <w:pPr>
              <w:pStyle w:val="null3"/>
              <w:ind w:firstLine="708"/>
              <w:jc w:val="both"/>
            </w:pPr>
            <w:r>
              <w:rPr>
                <w:rFonts w:ascii="仿宋_GB2312" w:hAnsi="仿宋_GB2312" w:cs="仿宋_GB2312" w:eastAsia="仿宋_GB2312"/>
                <w:sz w:val="21"/>
              </w:rPr>
              <w:t>（11）《入河排污口监督管理办法》（2024年）；</w:t>
            </w:r>
          </w:p>
          <w:p>
            <w:pPr>
              <w:pStyle w:val="null3"/>
              <w:ind w:firstLine="708"/>
              <w:jc w:val="both"/>
            </w:pPr>
            <w:r>
              <w:rPr>
                <w:rFonts w:ascii="仿宋_GB2312" w:hAnsi="仿宋_GB2312" w:cs="仿宋_GB2312" w:eastAsia="仿宋_GB2312"/>
                <w:sz w:val="21"/>
              </w:rPr>
              <w:t>（12）《中华人民共和国民法典》；</w:t>
            </w:r>
          </w:p>
          <w:p>
            <w:pPr>
              <w:pStyle w:val="null3"/>
              <w:ind w:firstLine="708"/>
              <w:jc w:val="both"/>
            </w:pPr>
            <w:r>
              <w:rPr>
                <w:rFonts w:ascii="仿宋_GB2312" w:hAnsi="仿宋_GB2312" w:cs="仿宋_GB2312" w:eastAsia="仿宋_GB2312"/>
                <w:sz w:val="21"/>
              </w:rPr>
              <w:t>（13）其他相关法律、法规。</w:t>
            </w:r>
          </w:p>
          <w:p>
            <w:pPr>
              <w:pStyle w:val="null3"/>
              <w:ind w:firstLine="708"/>
              <w:jc w:val="both"/>
            </w:pPr>
            <w:r>
              <w:rPr>
                <w:rFonts w:ascii="仿宋_GB2312" w:hAnsi="仿宋_GB2312" w:cs="仿宋_GB2312" w:eastAsia="仿宋_GB2312"/>
                <w:sz w:val="21"/>
              </w:rPr>
              <w:t>2.2规范性文件</w:t>
            </w:r>
          </w:p>
          <w:p>
            <w:pPr>
              <w:pStyle w:val="null3"/>
              <w:ind w:firstLine="708"/>
              <w:jc w:val="both"/>
            </w:pPr>
            <w:r>
              <w:rPr>
                <w:rFonts w:ascii="仿宋_GB2312" w:hAnsi="仿宋_GB2312" w:cs="仿宋_GB2312" w:eastAsia="仿宋_GB2312"/>
                <w:sz w:val="21"/>
              </w:rPr>
              <w:t>（1）《国务院关于实行最严格水资源管理制度的意见》（国发〔2012〕3 号）；</w:t>
            </w:r>
          </w:p>
          <w:p>
            <w:pPr>
              <w:pStyle w:val="null3"/>
              <w:ind w:firstLine="708"/>
              <w:jc w:val="both"/>
            </w:pPr>
            <w:r>
              <w:rPr>
                <w:rFonts w:ascii="仿宋_GB2312" w:hAnsi="仿宋_GB2312" w:cs="仿宋_GB2312" w:eastAsia="仿宋_GB2312"/>
                <w:sz w:val="21"/>
              </w:rPr>
              <w:t>（2）《国务院关于印发水污染防治行动计划的通知》（国发〔2015〕17 号）；</w:t>
            </w:r>
          </w:p>
          <w:p>
            <w:pPr>
              <w:pStyle w:val="null3"/>
              <w:ind w:firstLine="708"/>
              <w:jc w:val="both"/>
            </w:pPr>
            <w:r>
              <w:rPr>
                <w:rFonts w:ascii="仿宋_GB2312" w:hAnsi="仿宋_GB2312" w:cs="仿宋_GB2312" w:eastAsia="仿宋_GB2312"/>
                <w:sz w:val="21"/>
              </w:rPr>
              <w:t>（3）《国务院办公厅关于坚决制止耕地“非农化”行为的通知》（国办发明电〔2020〕24 号）；</w:t>
            </w:r>
          </w:p>
          <w:p>
            <w:pPr>
              <w:pStyle w:val="null3"/>
              <w:ind w:firstLine="708"/>
              <w:jc w:val="both"/>
            </w:pPr>
            <w:r>
              <w:rPr>
                <w:rFonts w:ascii="仿宋_GB2312" w:hAnsi="仿宋_GB2312" w:cs="仿宋_GB2312" w:eastAsia="仿宋_GB2312"/>
                <w:sz w:val="21"/>
              </w:rPr>
              <w:t>（4）《水利部关于加强河湖水域岸线空间管控的指导意见》（水河湖〔2022〕216 号）；</w:t>
            </w:r>
          </w:p>
          <w:p>
            <w:pPr>
              <w:pStyle w:val="null3"/>
              <w:ind w:firstLine="708"/>
              <w:jc w:val="both"/>
            </w:pPr>
            <w:r>
              <w:rPr>
                <w:rFonts w:ascii="仿宋_GB2312" w:hAnsi="仿宋_GB2312" w:cs="仿宋_GB2312" w:eastAsia="仿宋_GB2312"/>
                <w:sz w:val="21"/>
              </w:rPr>
              <w:t>（5）《水利部办公厅关于开展 2024 年幸福河湖建设的通知》（办河函〔2024〕149 号）；</w:t>
            </w:r>
          </w:p>
          <w:p>
            <w:pPr>
              <w:pStyle w:val="null3"/>
              <w:ind w:firstLine="708"/>
              <w:jc w:val="both"/>
            </w:pPr>
            <w:r>
              <w:rPr>
                <w:rFonts w:ascii="仿宋_GB2312" w:hAnsi="仿宋_GB2312" w:cs="仿宋_GB2312" w:eastAsia="仿宋_GB2312"/>
                <w:sz w:val="21"/>
              </w:rPr>
              <w:t>（6）水利部河湖管理司关于印发《幸福河湖建设项目实施方案编制指南（试行）》的通知（河湖函〔2024〕9 号）；</w:t>
            </w:r>
          </w:p>
          <w:p>
            <w:pPr>
              <w:pStyle w:val="null3"/>
              <w:ind w:firstLine="708"/>
              <w:jc w:val="both"/>
            </w:pPr>
            <w:r>
              <w:rPr>
                <w:rFonts w:ascii="仿宋_GB2312" w:hAnsi="仿宋_GB2312" w:cs="仿宋_GB2312" w:eastAsia="仿宋_GB2312"/>
                <w:sz w:val="21"/>
              </w:rPr>
              <w:t>（7）水利部办公厅关于印发《幸福河湖建设项目负面清单指南（试行）》的通知（办河湖〔2024〕154 号）；</w:t>
            </w:r>
          </w:p>
          <w:p>
            <w:pPr>
              <w:pStyle w:val="null3"/>
              <w:ind w:firstLine="708"/>
              <w:jc w:val="both"/>
            </w:pPr>
            <w:r>
              <w:rPr>
                <w:rFonts w:ascii="仿宋_GB2312" w:hAnsi="仿宋_GB2312" w:cs="仿宋_GB2312" w:eastAsia="仿宋_GB2312"/>
                <w:sz w:val="21"/>
              </w:rPr>
              <w:t>（8）关于印发《幸福河湖建设成效评估方案（试行）的通知》（水利部河长办）；</w:t>
            </w:r>
          </w:p>
          <w:p>
            <w:pPr>
              <w:pStyle w:val="null3"/>
              <w:ind w:firstLine="708"/>
              <w:jc w:val="both"/>
            </w:pPr>
            <w:r>
              <w:rPr>
                <w:rFonts w:ascii="仿宋_GB2312" w:hAnsi="仿宋_GB2312" w:cs="仿宋_GB2312" w:eastAsia="仿宋_GB2312"/>
                <w:sz w:val="21"/>
              </w:rPr>
              <w:t>（9）《水利部关于加强河湖水域岸线空间管控的指导意见》；</w:t>
            </w:r>
          </w:p>
          <w:p>
            <w:pPr>
              <w:pStyle w:val="null3"/>
              <w:ind w:firstLine="708"/>
              <w:jc w:val="both"/>
            </w:pPr>
            <w:r>
              <w:rPr>
                <w:rFonts w:ascii="仿宋_GB2312" w:hAnsi="仿宋_GB2312" w:cs="仿宋_GB2312" w:eastAsia="仿宋_GB2312"/>
                <w:sz w:val="21"/>
              </w:rPr>
              <w:t>（10）其他相关文件。</w:t>
            </w:r>
          </w:p>
          <w:p>
            <w:pPr>
              <w:pStyle w:val="null3"/>
              <w:ind w:firstLine="708"/>
              <w:jc w:val="both"/>
            </w:pPr>
            <w:r>
              <w:rPr>
                <w:rFonts w:ascii="仿宋_GB2312" w:hAnsi="仿宋_GB2312" w:cs="仿宋_GB2312" w:eastAsia="仿宋_GB2312"/>
                <w:sz w:val="21"/>
              </w:rPr>
              <w:t>2.3技术标准及规范</w:t>
            </w:r>
          </w:p>
          <w:p>
            <w:pPr>
              <w:pStyle w:val="null3"/>
              <w:ind w:firstLine="708"/>
              <w:jc w:val="both"/>
            </w:pPr>
            <w:r>
              <w:rPr>
                <w:rFonts w:ascii="仿宋_GB2312" w:hAnsi="仿宋_GB2312" w:cs="仿宋_GB2312" w:eastAsia="仿宋_GB2312"/>
                <w:sz w:val="21"/>
              </w:rPr>
              <w:t>（1）《防洪标准》（GB 50201-2014）；</w:t>
            </w:r>
          </w:p>
          <w:p>
            <w:pPr>
              <w:pStyle w:val="null3"/>
              <w:ind w:firstLine="708"/>
              <w:jc w:val="both"/>
            </w:pPr>
            <w:r>
              <w:rPr>
                <w:rFonts w:ascii="仿宋_GB2312" w:hAnsi="仿宋_GB2312" w:cs="仿宋_GB2312" w:eastAsia="仿宋_GB2312"/>
                <w:sz w:val="21"/>
              </w:rPr>
              <w:t>（2）《河道整治设计规范》（GB 50707-2011）；</w:t>
            </w:r>
          </w:p>
          <w:p>
            <w:pPr>
              <w:pStyle w:val="null3"/>
              <w:ind w:firstLine="708"/>
              <w:jc w:val="both"/>
            </w:pPr>
            <w:r>
              <w:rPr>
                <w:rFonts w:ascii="仿宋_GB2312" w:hAnsi="仿宋_GB2312" w:cs="仿宋_GB2312" w:eastAsia="仿宋_GB2312"/>
                <w:sz w:val="21"/>
              </w:rPr>
              <w:t>（3）《堤防工程设计规范》（GB 50286-2013）；</w:t>
            </w:r>
          </w:p>
          <w:p>
            <w:pPr>
              <w:pStyle w:val="null3"/>
              <w:ind w:firstLine="708"/>
              <w:jc w:val="both"/>
            </w:pPr>
            <w:r>
              <w:rPr>
                <w:rFonts w:ascii="仿宋_GB2312" w:hAnsi="仿宋_GB2312" w:cs="仿宋_GB2312" w:eastAsia="仿宋_GB2312"/>
                <w:sz w:val="21"/>
              </w:rPr>
              <w:t>（4）《地表水环境质量标准》（GB 3838-2002）；</w:t>
            </w:r>
          </w:p>
          <w:p>
            <w:pPr>
              <w:pStyle w:val="null3"/>
              <w:ind w:firstLine="708"/>
              <w:jc w:val="both"/>
            </w:pPr>
            <w:r>
              <w:rPr>
                <w:rFonts w:ascii="仿宋_GB2312" w:hAnsi="仿宋_GB2312" w:cs="仿宋_GB2312" w:eastAsia="仿宋_GB2312"/>
                <w:sz w:val="21"/>
              </w:rPr>
              <w:t>（5）《污水综合排放标准》（GB 8978-2002）；</w:t>
            </w:r>
          </w:p>
          <w:p>
            <w:pPr>
              <w:pStyle w:val="null3"/>
              <w:ind w:firstLine="708"/>
              <w:jc w:val="both"/>
            </w:pPr>
            <w:r>
              <w:rPr>
                <w:rFonts w:ascii="仿宋_GB2312" w:hAnsi="仿宋_GB2312" w:cs="仿宋_GB2312" w:eastAsia="仿宋_GB2312"/>
                <w:sz w:val="21"/>
              </w:rPr>
              <w:t>（6）《生活饮用水卫生标准》（GB 5749-2022）；</w:t>
            </w:r>
          </w:p>
          <w:p>
            <w:pPr>
              <w:pStyle w:val="null3"/>
              <w:ind w:firstLine="708"/>
              <w:jc w:val="both"/>
            </w:pPr>
            <w:r>
              <w:rPr>
                <w:rFonts w:ascii="仿宋_GB2312" w:hAnsi="仿宋_GB2312" w:cs="仿宋_GB2312" w:eastAsia="仿宋_GB2312"/>
                <w:sz w:val="21"/>
              </w:rPr>
              <w:t>（7）《城镇污水厂污染物排放标准》（GB 18918-2002）；</w:t>
            </w:r>
          </w:p>
          <w:p>
            <w:pPr>
              <w:pStyle w:val="null3"/>
              <w:ind w:firstLine="708"/>
              <w:jc w:val="both"/>
            </w:pPr>
            <w:r>
              <w:rPr>
                <w:rFonts w:ascii="仿宋_GB2312" w:hAnsi="仿宋_GB2312" w:cs="仿宋_GB2312" w:eastAsia="仿宋_GB2312"/>
                <w:sz w:val="21"/>
              </w:rPr>
              <w:t>（8）《水土保持综合治理技术规范-坡耕地治理技术》（GB/T16453.1-2008）；</w:t>
            </w:r>
          </w:p>
          <w:p>
            <w:pPr>
              <w:pStyle w:val="null3"/>
              <w:ind w:firstLine="708"/>
              <w:jc w:val="both"/>
            </w:pPr>
            <w:r>
              <w:rPr>
                <w:rFonts w:ascii="仿宋_GB2312" w:hAnsi="仿宋_GB2312" w:cs="仿宋_GB2312" w:eastAsia="仿宋_GB2312"/>
                <w:sz w:val="21"/>
              </w:rPr>
              <w:t>（9）《水土保持综合治理技术规范-荒地治理技术》（GB/T16453.2-2008）；</w:t>
            </w:r>
          </w:p>
          <w:p>
            <w:pPr>
              <w:pStyle w:val="null3"/>
              <w:ind w:firstLine="708"/>
              <w:jc w:val="both"/>
            </w:pPr>
            <w:r>
              <w:rPr>
                <w:rFonts w:ascii="仿宋_GB2312" w:hAnsi="仿宋_GB2312" w:cs="仿宋_GB2312" w:eastAsia="仿宋_GB2312"/>
                <w:sz w:val="21"/>
              </w:rPr>
              <w:t>（10）《水土保持综合治理技术规范-沟壑治理技术》（GB/T16453.3-2008）；</w:t>
            </w:r>
          </w:p>
          <w:p>
            <w:pPr>
              <w:pStyle w:val="null3"/>
              <w:ind w:firstLine="708"/>
              <w:jc w:val="both"/>
            </w:pPr>
            <w:r>
              <w:rPr>
                <w:rFonts w:ascii="仿宋_GB2312" w:hAnsi="仿宋_GB2312" w:cs="仿宋_GB2312" w:eastAsia="仿宋_GB2312"/>
                <w:sz w:val="21"/>
              </w:rPr>
              <w:t>（11）《水土保持综合治理技术规范-小型蓄排引水工程》（GB/T16453.4-2008）</w:t>
            </w:r>
          </w:p>
          <w:p>
            <w:pPr>
              <w:pStyle w:val="null3"/>
              <w:ind w:firstLine="708"/>
              <w:jc w:val="both"/>
            </w:pPr>
            <w:r>
              <w:rPr>
                <w:rFonts w:ascii="仿宋_GB2312" w:hAnsi="仿宋_GB2312" w:cs="仿宋_GB2312" w:eastAsia="仿宋_GB2312"/>
                <w:sz w:val="21"/>
              </w:rPr>
              <w:t>（12）《主要造林树种苗木质量分级标准》（GB6000-1999）；</w:t>
            </w:r>
          </w:p>
          <w:p>
            <w:pPr>
              <w:pStyle w:val="null3"/>
              <w:ind w:firstLine="708"/>
              <w:jc w:val="both"/>
            </w:pPr>
            <w:r>
              <w:rPr>
                <w:rFonts w:ascii="仿宋_GB2312" w:hAnsi="仿宋_GB2312" w:cs="仿宋_GB2312" w:eastAsia="仿宋_GB2312"/>
                <w:sz w:val="21"/>
              </w:rPr>
              <w:t>（13）《造林技术规程》（GB/T15776-2023）；</w:t>
            </w:r>
          </w:p>
          <w:p>
            <w:pPr>
              <w:pStyle w:val="null3"/>
              <w:ind w:firstLine="708"/>
              <w:jc w:val="both"/>
            </w:pPr>
            <w:r>
              <w:rPr>
                <w:rFonts w:ascii="仿宋_GB2312" w:hAnsi="仿宋_GB2312" w:cs="仿宋_GB2312" w:eastAsia="仿宋_GB2312"/>
                <w:sz w:val="21"/>
              </w:rPr>
              <w:t>（14）《雨水集蓄利用工程技术规范》（GB/T50596-2010）；</w:t>
            </w:r>
          </w:p>
          <w:p>
            <w:pPr>
              <w:pStyle w:val="null3"/>
              <w:ind w:firstLine="708"/>
              <w:jc w:val="both"/>
            </w:pPr>
            <w:r>
              <w:rPr>
                <w:rFonts w:ascii="仿宋_GB2312" w:hAnsi="仿宋_GB2312" w:cs="仿宋_GB2312" w:eastAsia="仿宋_GB2312"/>
                <w:sz w:val="21"/>
              </w:rPr>
              <w:t>（15）《水利水电工程等级划分及洪水标准》（SL252-2017）；</w:t>
            </w:r>
          </w:p>
          <w:p>
            <w:pPr>
              <w:pStyle w:val="null3"/>
              <w:ind w:firstLine="708"/>
              <w:jc w:val="both"/>
            </w:pPr>
            <w:r>
              <w:rPr>
                <w:rFonts w:ascii="仿宋_GB2312" w:hAnsi="仿宋_GB2312" w:cs="仿宋_GB2312" w:eastAsia="仿宋_GB2312"/>
                <w:sz w:val="21"/>
              </w:rPr>
              <w:t>（16）《水利水电工程设计洪水计算规范》（SL44-2006）；</w:t>
            </w:r>
          </w:p>
          <w:p>
            <w:pPr>
              <w:pStyle w:val="null3"/>
              <w:ind w:firstLine="708"/>
              <w:jc w:val="both"/>
            </w:pPr>
            <w:r>
              <w:rPr>
                <w:rFonts w:ascii="仿宋_GB2312" w:hAnsi="仿宋_GB2312" w:cs="仿宋_GB2312" w:eastAsia="仿宋_GB2312"/>
                <w:sz w:val="21"/>
              </w:rPr>
              <w:t>（17）《水域纳污能力计算规程》（SL348-2006）；</w:t>
            </w:r>
          </w:p>
          <w:p>
            <w:pPr>
              <w:pStyle w:val="null3"/>
              <w:ind w:firstLine="708"/>
              <w:jc w:val="both"/>
            </w:pPr>
            <w:r>
              <w:rPr>
                <w:rFonts w:ascii="仿宋_GB2312" w:hAnsi="仿宋_GB2312" w:cs="仿宋_GB2312" w:eastAsia="仿宋_GB2312"/>
                <w:sz w:val="21"/>
              </w:rPr>
              <w:t>（18）陕西省地方标准《造林技术规范》（DB61/T-142-2021）；</w:t>
            </w:r>
          </w:p>
          <w:p>
            <w:pPr>
              <w:pStyle w:val="null3"/>
              <w:ind w:firstLine="708"/>
              <w:jc w:val="both"/>
            </w:pPr>
            <w:r>
              <w:rPr>
                <w:rFonts w:ascii="仿宋_GB2312" w:hAnsi="仿宋_GB2312" w:cs="仿宋_GB2312" w:eastAsia="仿宋_GB2312"/>
                <w:sz w:val="21"/>
              </w:rPr>
              <w:t>（19）《雨水控制与利用工程设计规范》（DB11/685-2013）；</w:t>
            </w:r>
          </w:p>
          <w:p>
            <w:pPr>
              <w:pStyle w:val="null3"/>
              <w:ind w:firstLine="708"/>
              <w:jc w:val="both"/>
            </w:pPr>
            <w:r>
              <w:rPr>
                <w:rFonts w:ascii="仿宋_GB2312" w:hAnsi="仿宋_GB2312" w:cs="仿宋_GB2312" w:eastAsia="仿宋_GB2312"/>
                <w:sz w:val="21"/>
              </w:rPr>
              <w:t>（20）《陕西省主要造林苗木质量分级》（DB61/T378-2006）；</w:t>
            </w:r>
          </w:p>
          <w:p>
            <w:pPr>
              <w:pStyle w:val="null3"/>
              <w:ind w:firstLine="708"/>
              <w:jc w:val="both"/>
            </w:pPr>
            <w:r>
              <w:rPr>
                <w:rFonts w:ascii="仿宋_GB2312" w:hAnsi="仿宋_GB2312" w:cs="仿宋_GB2312" w:eastAsia="仿宋_GB2312"/>
                <w:sz w:val="21"/>
              </w:rPr>
              <w:t>（21）其他相关规程、规范及技术标准。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按照磋商文件要求，结合本项目实际情况配备合理人员。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按照磋商文件要求，结合本项目实际情况配备合理设施设备。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1.具体采购内容和技术规格要求 1.1质量、安全、技术规格及标准要求 （1）质量要求：所有勘察设计成果必须符合国家、水利行业、陕西省现行规范、标准及幸福河湖建设相关导则、技术指南。成果真实、准确、完整、合理，满足方案审批、施工图审查、财政评审、工程施工及竣工验收要求，杜绝错项、漏项、数据失真、方案不合理等质量问题，确保成果一次性通过各级主管部门审查、评审及备案。 （2）安全要求：中标人现场勘察作业须严格遵守安全生产管理规定，落实野外作业安全、地质勘查安全、交通出行安全等安全管理制度，杜绝安全事故。设计方案须满足防洪安全、结构安全、生态安全、运行安全要求，工程设计安全储备充足，符合山区河道治理安全标准。 （3）技术规格要求：严格按照现行《水利水电工程等级划分及洪水标准》、《河道整治工程设计规范》、《水利工程勘察规范》、《水利工程设计概（估）算编制规定》及幸福河湖建设技术标准开展工作。测量、勘察精度满足规范要求，设计方案科学合理、因地制宜，贴合镇巴县山区河道地形、地质、水文特点，满足生态治理、防洪保安全、水环境提升、亲水便民、长效管护等技术指标。 （4）物理特性及成果规格要求：所有报告、图纸、计算书、造价文件格式规范、图表清晰、签章齐全、装订规整。电子成果为PDF版本，图纸符合水利工程制图标准，图层规范、比例准确、标注完整，满足报审、施工、归档、审计使用要求。 1.2采购数量、交付地点及交付内容 （1）采购数量：本次采购为镇巴县渚（楮）河幸福河湖建设项目全过程勘察设计服务1项，包含项目可研、初设、施工图、概算、现场服务、报审配合、验收配合等全部服务内容。 （2）交付地点：陕西省汉中市镇巴县水利局。 （3）交付成果：可行性研究报告及附图、初步设计报告及图纸、施工图全套图纸、工程概算书、勘察测绘资料、报审修改资料、全过程技术服务资料等全套成果资料。 1.3服务标准、服务期限、服务效率要求 （1）服务标准：中标人须提供全过程、专业化技术服务，严格遵守行业服务规范及采购人管理制度，服从项目整体建设安排，积极配合各级主管部门审查、评审、督导检查工作，服务态度规范、技术响应专业、成果质量可靠。 （2）服务效率要求：接到采购人修改意见、技术咨询、现场服务通知后，一般性技术问题24小时内完成答复及资料修改；现场技术问题、紧急变更问题48小时内抵达现场处置；报审资料严格按照采购人及主管部门时限要求限时办结，不得拖延项目整体推进进度，保障项目各阶段工作按期顺利完成。 1.4售后服务要求 本项目售后服务覆盖项目可研、初设、施工图、施工全过程全周期，中标单位须提供全程技术后续服务，具体要求如下： （1）成果修改与报审配合服务 中标人须全程配合项目各阶段报告、图纸、概算的评审、审查、报批工作，根据业主、主管部门、评审专家、财政评审等提出的审查意见，及时修改、完善勘察设计成果，直至所有报告、图纸、造价文件全部通过审批、备案。 （2）工程变更、签证及造价配合服务 施工期针对工程现场实际情况产生的设计变更、工程量调整、现场签证、方案优化等，须及时出具变更说明、变更图纸、工程量复核及造价调整说明，配合业主完成变更审批、造价复核及财政评审工作，确保变更资料完整、依据充分、数据准确。 （3）竣工验收及资料配合服务 全程配合项目分部验收、完工验收、竣工验收、幸福河湖创建验收等各项验收工作。按验收规范要求整理、补充、完善全套设计资料、竣工对接资料、图纸归档资料，配合业主完成项目归档、审计、绩效评价及河湖创建考核工作。 （4）质保与承诺要求 投标人须保证提交的勘察、测量、设计、造价成果真实准确、合规合法，符合现行水利规范、幸福河湖建设标准及地方行业要求。 1.5报价 （1）、报价⽅式 本项⽬勘察设计费采⽤综合下浮率（%）⽅式报价，投标报价结果保留两位⼩数。 （2）、计费依据及基数 本次报价计费测算严格执⾏《陕西省⽔利⼯程设计（估）算编制规定（2024 年修正）》（陕⽔规计发〔2024〕107 号）相关规定。计费基数取本项⽬批复初步设计概算中的建筑安装⼯程费，不计⼊设备购置费、建设征地移⺠安置费、建设期融资利息、流动资⾦及勘察设计费本⾝费⽤。 （3）、基准费界定 以建筑 安装⼯程费为基数，依据陕⽔规计发〔2024〕107 号测算得出本项⽬完整⼯程勘测设计基准费（含税价）；该基准费全额涵盖本项⽬全部勘察测绘、可⾏性研究报告编制、初步设计、施⼯图设计及⼯程建设全过程配套勘察设计服务等全部采购⼯作内容，⽆遗漏费⽤项。 说明：已删除原冲突的 “以概算勘测设计费作为基数” 表述，统⼀按省⽔利计费⽂件建安费基数⼝径。 （4）、费⽤计算⽅式及结算原则 合同勘察设计服务费计算公式：勘察设计服务费 = 基准费 ×(1 - 中标综合下浮率) 本项。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90 日历天内完成全部勘察设计成果提交；项目建设期内持续提供施工配合、现场技术服务直至工程竣工验收完毕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渚（楮）河流域镇巴县境内平安镇、兴隆镇、观音镇、巴庙镇</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1、验收方法及标准 1.1验收依据 本项目验收严格按照本项目采购合同、招标文件、投标文件承诺、国家及水利行业现行勘察设计规范、《幸福河湖建设技术导则》、陕西省水利工程设计审查管理规定、项目主管部门批复及评审意见、财政评审相关要求开展验收工作。 1.2验收内容 验收范围包含本项目全部勘察设计成果，主要包括：可行性研究报告及图纸、初步设计报告及全套图纸、施工图设计图纸及说明、工程概算书、全过程修改完善资料、技术服务资料及项目报审、施工配合、验收配合全套服务成果。 1.3验收方法 （1）资料审查法：采购人对中标人提交的全套勘察设计成果资料进行完整性、规范性、逻辑性、合规性逐项审查，核查资料是否齐全、签章是否完备、格式是否规范、内容是否完整。 （2）专家评审验收法：配合行业主管部门组织专家评审，以专家评审意见、审查批复意见作为核心验收依据。 （3）现场核查法：结合项目现场实际地形、河道现状、治理条件，核查勘察数据真实性、设计方案符合性、工程布置合理性。 （4）全过程服务考核法：对中标人报审修改效率、现场技术服务响应速度、变更配合、验收配合、资料整改闭环情况进行综合考核验收。 1.4验收标准 （1）成果完整性合格：提交的勘察、设计、造价、附图附表等全套资料完整无缺项，成果份数、电子档、纸质档满足归档及报审要求。 （2）质量合规合格：所有成果均符合国家、行业、地方现行规范及幸福河湖建设标准，勘察数据真实准确，设计方案科学合理、安全可行、经济节约，无原则性错误、无重大漏项、无数据失真。 （3）审查通过合格：可研、初设、施工图、概算全部通过主管部门、评审专家、财政评审审查，取得批复或审查合格意见，根据审查意见完成全部修改闭环。 （4）技术服务合格：服务周期内响应及时、配合到位，按时完成资料修改、现场技术指导、变更论证、验收配合，满足项目建设进度要求，无服务滞后、推诿、拖延情况。 （5）项目符合性合格：设计内容完全贴合镇巴县渚河河道治理实际，满足生态修复、水环境治理、亲水提升、河湖管护、幸福河湖创建验收要求，符合区域国土空间、生态保护、水土保持管控规定。 1.5验收结论要求 所有勘察设计成果及服务全部满足上述标准即为验收合格。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预付款，项目签订合同后，达到付款条件起7个工作日内，支付合同总金额的40.0%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进度款，项目初步设计审查批复完成后，达到付款条件起15个工作日内，支付合同总金额的25.0%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进度款，项目施工图完成并完成技术交底后，达到付款条件起15个工作日内，支付合同总金额的30.0%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进度款，工程竣工验收合格后，达到付款条件起30个工作日内，支付合同总金额的5.0%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按照甲乙双方签订合同为准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报价 （1）、报价⽅式 本项⽬勘察设计费采⽤综合下浮率（%）⽅式报价，投标报价结果保留两位⼩数。 （2）、计费依据及基数 本次报价计费测算严格执⾏《陕西省⽔利⼯程设计（估）算编制规定（2024 年修正）》（陕⽔规计发〔2024〕107 号）相关规定。计费基数取本项⽬批复初步设计概算中的建筑安装⼯程费，不计⼊设备购置费、建设征地移⺠安置费、建设期融资利息、流动资⾦及勘察设计费本⾝费⽤。 （3）、基准费界定 以建筑 安装⼯程费为基数，依据陕⽔规计发〔2024〕107 号测算得出本项⽬完整⼯程勘测设计基准费（含税价）；该基准费全额涵盖本项⽬全部勘察测绘、可⾏性研究报告编制、初步设计、施⼯图设计及⼯程建设全过程配套勘察设计服务等全部采购⼯作内容，⽆遗漏费⽤项。 说明：已删除原冲突的 “以概算勘测设计费作为基数” 表述，统⼀按省⽔利计费⽂件建安费基数⼝径。 （4）、费⽤计算⽅式及结算原则 合同勘察设计服务费计算公式：勘察设计服务费 = 基准费 ×(1 - 中标综合下浮率) 本项。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供应商须具有良好的商业信誉和健全的财务会计制度、具有履⾏合同所必需的设备和专业技术能⼒、具有依法缴纳税收和社会保障资⾦的良好记录，参加本项⽬采购活动前三年内在经营活动中⽆重⼤违法活动记录，未列⼊在信⽤中国⽹站“失信被执⾏⼈”、“重⼤税收违法案件当事⼈名单”中(www.creditchina.gov.cn)，未列⼊中国政府采购⽹“政府采购严重违法失信⾏为记录名单”中（www.ccgp.gov.cn），供应商应按照汉中市财政局《关于全⾯推⾏政府采购供应商基本资格条件承诺制的通知》（汉采办采管〔2024〕20号）⽂件要求，须提供加盖公章的《汉中市政府采购供应商资格承诺函》。(材料应清晰可辨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供应商为具有独立承担民事责任能力的法人、其他组织或自然人，并出具合法有效的营业执照或事业单位法人证书等国家规定的相关证明，自然人参与的提供其身份证明。(材料应清晰可辨并进行电子签章)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或委托代理人身份证明：法定代表人直接参加磋商的，须提供《法定代表人身份证明》及法定代表人身份证复印件;法定代表人授权他人参加磋商的，须提供《法定代表人授权委托书》及委托代理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供应商须具备行业主管部门颁发的 ①勘察资质：工程勘察综合甲级资质，或工程勘察专业资质（岩土工程）乙级及以上资质； ②设计资质：工程设计综合资质甲级；或工程设计水利行业乙级及以上资质，或水利行业（河道整治与城市防洪、灌溉排涝）专业乙级及以上资质。供应商两项资质须同时具备。(材料应清晰可辨并进行电子签章)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拟派项目负责人资质要求</w:t>
            </w:r>
          </w:p>
        </w:tc>
        <w:tc>
          <w:tcPr>
            <w:tcW w:type="dxa" w:w="3322"/>
          </w:tcPr>
          <w:p>
            <w:pPr>
              <w:pStyle w:val="null3"/>
            </w:pPr>
            <w:r>
              <w:rPr>
                <w:rFonts w:ascii="仿宋_GB2312" w:hAnsi="仿宋_GB2312" w:cs="仿宋_GB2312" w:eastAsia="仿宋_GB2312"/>
              </w:rPr>
              <w:t>拟派项目负责人应具备⽔利相关专业⾼级⼯程师及以上职称证书；或具备注册⼟⽊⼯程师(岩⼟)执业资格证书。(材料应清晰可辨并进⾏电⼦签章)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本项目不接受联合体磋商，单位负责人为同一人或者存在控股、管理关系的不同单位，不得参加同一项目的磋商（提供非联合体声明函）。(材料应清晰可辨并进行电子签章)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业绩一览表.docx 中小企业声明函 供应商认为需要提供的其他材料.docx 商务应答表 服务内容及服务要求应答表 报价表 团队人员配置.docx 响应文件封面 分项报价表.docx 供应商应提交的相关资格证明材料.docx 残疾人福利性单位声明函 服务方案 标的清单 响应函 保证金粘贴处.docx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商务应答表 服务方案 标的清单 服务内容及服务要求应答表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保证金粘贴处.docx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一、评审内容：供应商提供针对本项目需求，提供详细、清晰、科学、合理的服务方案，包含但不限于：1. 勘察设计工作范围、内容及编制依据 2. 项目总体工作目标与整体技术实施方案 3. 野外勘察作业方案及安全应急预案 4. 项目组织架构、人员团队配置与保障措施 5. 内部校审、质量安全全管控制度 6. 人员纪律、野外作业安全生产管理制度 7. 专项质量保证措施与全流程质量管控方案 8. 总体进度计划及关键节点工期保障措施 9. 项目重难点分析及对应解决对策 10. 成果报审、施工配合、竣工归档全周期服务方案 ⼆、评审标准： 1.完整、针对性：内容须全⾯，对评审内容中的各项要求有详细描述，⽅案能够紧扣项⽬实际情况，内容科学合理。 2.可实施性：切合本项⽬实际情况，实施步骤清晰、合理。 上述10项评审内容每⼀项都全部满⾜评审标准得40分，每有⼀项评审内容缺项扣4分，每⼀项评审内容中每出现⼀处缺陷扣1分，扣完为⽌。 备注 ：缺陷是指（简略缺失关键要点，表述空洞片面；套用通用模板，未结合本项目实际情况；方案前后说法冲突，存在逻辑、专业常识错误；引用法律法规、行业规范标准存在错误；项目名称、实施地点、范围描述有误；章节标题和正文内容不匹配，文字错漏较多；方案措施脱离现场实际，无落地可行性；设计思路、实施办法不利于本项目建设目标达成）供应商未提供完整技术服务方案的，本项整体不得分；单个评审内容分值最低计 0 分，本大项总分扣至 0 分为止。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在满足资格审查人员配置基础上，额外配备勘察水文工程师、水工工程师、造价人员，注册土木工程师（岩土），每人 3 分，最高 12 分。以上⼈员应提供相关的资格证书（岗位证书）。注：响应⽂件内附相应⼈员⾝份证及相关证书证件复印件并签章。注：项目负责人持有的注册岩土证书不计入团队加分人员）</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团队人员配置.docx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1.资质：拟派项⽬负责⼈除⽔利相关⾼级⼯程师外，额外持有一级造价工程师（水利水电专业），得2分；仅具备⾼级⼯程师不加分；2.项⽬负责⼈业绩：⾃投标截⽌之⽇前 3 年内（合同签订时间为准）担任项⽬负责⼈完成类似⽔利勘察设计项⽬业绩，每个业绩 2.5 分，最⾼ 5 分。须提供清晰可辨的证书扫描件，全部佐证材料加盖电⼦签章。未提供不得分。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团队人员配置.docx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提供自投标截止之日起前 3 年内（以合同签订时间为准）类似项⽬业绩；每提供⼀个业绩得2.5分，本项最⾼得5分。（业绩证明材料需提供勘察设计合同或中标通知书复印件并加盖投标供应商公章。)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勘察设计承诺</w:t>
            </w:r>
          </w:p>
        </w:tc>
        <w:tc>
          <w:tcPr>
            <w:tcW w:type="dxa" w:w="2492"/>
          </w:tcPr>
          <w:p>
            <w:pPr>
              <w:pStyle w:val="null3"/>
            </w:pPr>
            <w:r>
              <w:rPr>
                <w:rFonts w:ascii="仿宋_GB2312" w:hAnsi="仿宋_GB2312" w:cs="仿宋_GB2312" w:eastAsia="仿宋_GB2312"/>
              </w:rPr>
              <w:t>⼀、评审内容：响应⼈针对本项⽬特点提供切实可⾏的勘察成果质量承诺、勘察设计安全生产承诺、服务工期保障承诺、成果文件合规性承诺、后期全过程技术服务承诺，保障高质量按期完成本项目全部勘察设计工作。 ⼆、赋分标准：每提供⼀项承诺得2分，满分10分。未提供此项内容不得分。注：承诺事项必须是和本项目履约直接相关，不要增设无关承诺条款。</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后续服务⽅案</w:t>
            </w:r>
          </w:p>
        </w:tc>
        <w:tc>
          <w:tcPr>
            <w:tcW w:type="dxa" w:w="2492"/>
          </w:tcPr>
          <w:p>
            <w:pPr>
              <w:pStyle w:val="null3"/>
            </w:pPr>
            <w:r>
              <w:rPr>
                <w:rFonts w:ascii="仿宋_GB2312" w:hAnsi="仿宋_GB2312" w:cs="仿宋_GB2312" w:eastAsia="仿宋_GB2312"/>
              </w:rPr>
              <w:t>一、评审内容 ①后续服务内容与范围（覆盖阶段、服务覆盖区域、服务工作边界、人员保障范围）；②全过程技术支持保障方案（线上技术响应机制、线下现场处置机制、多级校审技术保障、主管部门技术对接）；③工程变更、现场签证及财政评审、竣工归档专项配合方案（施工期变更服务、现场签证配合、财政评审专项服务、审计及档案归档服务）； 二、赋分标准 3 大项全部完整响应，且每一大项括号内所有细分要点均无缺项，每项得 2 分，合计满分 6 分。注：单一大项缺项或细分要点缺项，该大项计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价格分应当采用低价优先法计算，即满足磋商文件要求且综合下浮率最高的报价为评标基准价，其价格分为满分。其他供应商的价格分统一按照下列公式计算：磋商报价得分 =(有效磋商综合下浮率 ÷ 评标基准下浮率)× 20 注：1. 计算得分四舍五入保留两位小数；2. 本项目专门面向中小企业采购，不再执行小微企业价格评审扣除优惠；3. 评标委员会发现投标人下浮率明显偏低，可能影响履约质量的，应当要求投标人作出书面说明并提供相关证明材料；投标人不能合理说明或者不能提供相应证明材料的，评标委员会有权审慎评判。 （一、报价方式 本项目勘察设计费采用综合下浮率（%）方式报价，投标报价结果保留两位小数。 二、计费依据及基数 本次报价计费测算严格执行《陕西省水利工程设计概（估）算编制规定（2024 年修正）》（陕水规计发〔2024〕107 号）相关规定。计费基数取本项目批复初步设计概算中的建筑安装工程费，不计入设备购置费、建设征地移民安置费、建设期融资利息、流动资金及勘察设计费本身费用。 三、基准费界定 以建筑安装工程费为基数，依据陕水规计发〔2024〕107 号测算得出本项目完整工程勘测设计基准费（含税价）；该基准费全额涵盖本项目全部勘察测绘、可行性研究报告编制、初步设计、施工图设计及工程建设全过程配套勘察设计服务等全部采购工作内容，无遗漏费用项。 说明：已删除原冲突的 “以概算勘测设计费作为基数” 表述，统一按省水利计费文件建安费基数口径。 四、费用计算方式及结算原则 合同勘察设计服务费计算公式：勘察设计服务费 = 基准费 ×(1 - 中标综合下浮率) 本项目勘察设计费结算以审计部门审定结果为依据，审计范围仅限本合同约定勘察设计服务内容；若因采购人调整项目建设规模、建设标准、治理范围产生重大变更，增减工作量对应的勘察设计服务费仍按照陕水规计发〔2024〕107 号文件及中标综合下浮率同步调整；仅局部微调、不改变整体治理规模的，不再另行计取或扣减服务费）</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详见附件：供应商认为需要提供的其他材料.docx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详见附件：保证金粘贴处.docx</w:t>
      </w:r>
    </w:p>
    <w:p>
      <w:pPr>
        <w:pStyle w:val="null3"/>
        <w:ind w:firstLine="960"/>
      </w:pPr>
      <w:r>
        <w:rPr>
          <w:rFonts w:ascii="仿宋_GB2312" w:hAnsi="仿宋_GB2312" w:cs="仿宋_GB2312" w:eastAsia="仿宋_GB2312"/>
        </w:rPr>
        <w:t>详见附件：团队人员配置.docx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详见附件：建设工程设计合同示范文本　GF—2015—0210.docx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