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688EC">
      <w:pPr>
        <w:pageBreakBefore w:val="0"/>
        <w:shd w:val="clear" w:color="auto" w:fill="auto"/>
        <w:wordWrap w:val="0"/>
        <w:bidi w:val="0"/>
        <w:spacing w:line="720" w:lineRule="auto"/>
        <w:jc w:val="left"/>
        <w:rPr>
          <w:rFonts w:hint="eastAsia" w:ascii="宋体" w:hAnsi="宋体" w:eastAsia="宋体" w:cs="宋体"/>
          <w:bCs/>
          <w:color w:val="000000"/>
          <w:spacing w:val="-20"/>
          <w:sz w:val="28"/>
          <w:szCs w:val="21"/>
          <w:highlight w:val="none"/>
        </w:rPr>
      </w:pPr>
      <w:r>
        <w:rPr>
          <w:rFonts w:hint="eastAsia" w:ascii="仿宋" w:hAnsi="仿宋" w:eastAsia="仿宋" w:cs="仿宋"/>
          <w:b/>
          <w:color w:val="000000"/>
          <w:spacing w:val="0"/>
          <w:sz w:val="24"/>
          <w:szCs w:val="24"/>
          <w:highlight w:val="none"/>
        </w:rPr>
        <w:t>同编号：</w:t>
      </w:r>
      <w:r>
        <w:rPr>
          <w:rFonts w:hint="eastAsia" w:ascii="仿宋" w:hAnsi="仿宋" w:eastAsia="仿宋" w:cs="仿宋"/>
          <w:spacing w:val="0"/>
          <w:sz w:val="24"/>
          <w:szCs w:val="24"/>
          <w:highlight w:val="none"/>
          <w:lang w:eastAsia="zh-CN"/>
        </w:rPr>
        <w:t>招采</w:t>
      </w:r>
      <w:r>
        <w:rPr>
          <w:rFonts w:hint="eastAsia" w:ascii="仿宋" w:hAnsi="仿宋" w:eastAsia="仿宋" w:cs="仿宋"/>
          <w:spacing w:val="0"/>
          <w:sz w:val="24"/>
          <w:szCs w:val="24"/>
          <w:highlight w:val="none"/>
          <w:lang w:val="en-US" w:eastAsia="zh-CN"/>
        </w:rPr>
        <w:t>货物</w:t>
      </w:r>
      <w:r>
        <w:rPr>
          <w:rFonts w:hint="eastAsia" w:ascii="仿宋" w:hAnsi="仿宋" w:eastAsia="仿宋" w:cs="仿宋"/>
          <w:spacing w:val="0"/>
          <w:sz w:val="24"/>
          <w:szCs w:val="24"/>
          <w:highlight w:val="none"/>
          <w:lang w:eastAsia="zh-CN"/>
        </w:rPr>
        <w:t>202</w:t>
      </w:r>
      <w:r>
        <w:rPr>
          <w:rFonts w:hint="eastAsia" w:ascii="仿宋" w:hAnsi="仿宋" w:eastAsia="仿宋" w:cs="仿宋"/>
          <w:spacing w:val="0"/>
          <w:sz w:val="24"/>
          <w:szCs w:val="24"/>
          <w:highlight w:val="none"/>
          <w:lang w:val="en-US" w:eastAsia="zh-CN"/>
        </w:rPr>
        <w:t>6</w:t>
      </w:r>
      <w:r>
        <w:rPr>
          <w:rFonts w:hint="eastAsia" w:ascii="仿宋" w:hAnsi="仿宋" w:eastAsia="仿宋" w:cs="仿宋"/>
          <w:spacing w:val="0"/>
          <w:sz w:val="24"/>
          <w:szCs w:val="24"/>
          <w:highlight w:val="none"/>
          <w:lang w:eastAsia="zh-CN"/>
        </w:rPr>
        <w:t>（</w:t>
      </w:r>
      <w:r>
        <w:rPr>
          <w:rFonts w:hint="eastAsia" w:ascii="仿宋" w:hAnsi="仿宋" w:eastAsia="仿宋" w:cs="仿宋"/>
          <w:spacing w:val="0"/>
          <w:sz w:val="24"/>
          <w:szCs w:val="24"/>
          <w:highlight w:val="none"/>
          <w:lang w:val="en-US" w:eastAsia="zh-CN"/>
        </w:rPr>
        <w:t xml:space="preserve">  </w:t>
      </w:r>
      <w:r>
        <w:rPr>
          <w:rFonts w:hint="eastAsia" w:ascii="仿宋" w:hAnsi="仿宋" w:eastAsia="仿宋" w:cs="仿宋"/>
          <w:spacing w:val="0"/>
          <w:sz w:val="24"/>
          <w:szCs w:val="24"/>
          <w:highlight w:val="none"/>
          <w:lang w:eastAsia="zh-CN"/>
        </w:rPr>
        <w:t>）号</w:t>
      </w:r>
    </w:p>
    <w:p w14:paraId="6A4A78F2">
      <w:pPr>
        <w:jc w:val="center"/>
        <w:rPr>
          <w:rFonts w:hint="eastAsia" w:ascii="宋体" w:hAnsi="宋体" w:eastAsia="宋体" w:cs="宋体"/>
          <w:b/>
          <w:color w:val="000000"/>
          <w:spacing w:val="-20"/>
          <w:sz w:val="28"/>
          <w:szCs w:val="21"/>
          <w:highlight w:val="none"/>
        </w:rPr>
      </w:pPr>
    </w:p>
    <w:p w14:paraId="7CB8E03E">
      <w:pPr>
        <w:spacing w:line="300" w:lineRule="auto"/>
        <w:jc w:val="center"/>
        <w:rPr>
          <w:rFonts w:hint="eastAsia" w:ascii="宋体" w:hAnsi="宋体" w:eastAsia="宋体" w:cs="宋体"/>
          <w:b/>
          <w:color w:val="000000"/>
          <w:spacing w:val="-20"/>
          <w:sz w:val="28"/>
          <w:szCs w:val="21"/>
          <w:highlight w:val="none"/>
        </w:rPr>
      </w:pPr>
    </w:p>
    <w:p w14:paraId="5D728189">
      <w:pPr>
        <w:rPr>
          <w:rFonts w:hint="eastAsia" w:ascii="宋体" w:hAnsi="宋体" w:eastAsia="宋体" w:cs="宋体"/>
          <w:color w:val="000000"/>
          <w:sz w:val="28"/>
          <w:szCs w:val="21"/>
          <w:highlight w:val="none"/>
        </w:rPr>
      </w:pPr>
    </w:p>
    <w:p w14:paraId="24E4F8F7">
      <w:pPr>
        <w:pStyle w:val="6"/>
        <w:ind w:firstLine="560"/>
        <w:rPr>
          <w:rFonts w:hint="eastAsia" w:ascii="宋体" w:hAnsi="宋体" w:eastAsia="宋体" w:cs="宋体"/>
          <w:color w:val="000000"/>
          <w:sz w:val="28"/>
          <w:szCs w:val="21"/>
          <w:highlight w:val="none"/>
        </w:rPr>
      </w:pPr>
    </w:p>
    <w:p w14:paraId="32993CEF">
      <w:pPr>
        <w:spacing w:line="480" w:lineRule="auto"/>
        <w:jc w:val="center"/>
        <w:rPr>
          <w:rFonts w:hint="eastAsia" w:ascii="仿宋" w:hAnsi="仿宋" w:eastAsia="仿宋" w:cs="仿宋"/>
          <w:b/>
          <w:color w:val="000000"/>
          <w:sz w:val="44"/>
          <w:szCs w:val="44"/>
          <w:highlight w:val="none"/>
        </w:rPr>
      </w:pPr>
      <w:r>
        <w:rPr>
          <w:rFonts w:hint="eastAsia" w:ascii="仿宋" w:hAnsi="仿宋" w:eastAsia="仿宋" w:cs="仿宋"/>
          <w:b/>
          <w:color w:val="000000"/>
          <w:sz w:val="44"/>
          <w:szCs w:val="44"/>
          <w:highlight w:val="none"/>
        </w:rPr>
        <w:t>供 货 合 同</w:t>
      </w:r>
    </w:p>
    <w:p w14:paraId="2C96CE12">
      <w:pPr>
        <w:widowControl/>
        <w:rPr>
          <w:rFonts w:hint="eastAsia" w:ascii="仿宋" w:hAnsi="仿宋" w:eastAsia="仿宋" w:cs="仿宋"/>
          <w:color w:val="000000"/>
          <w:sz w:val="28"/>
          <w:szCs w:val="21"/>
          <w:highlight w:val="none"/>
        </w:rPr>
      </w:pPr>
    </w:p>
    <w:p w14:paraId="32DAA0F0">
      <w:pPr>
        <w:widowControl/>
        <w:jc w:val="center"/>
        <w:rPr>
          <w:rFonts w:hint="eastAsia" w:ascii="仿宋" w:hAnsi="仿宋" w:eastAsia="仿宋" w:cs="仿宋"/>
          <w:b/>
          <w:bCs/>
          <w:color w:val="000000"/>
          <w:sz w:val="28"/>
          <w:szCs w:val="21"/>
          <w:highlight w:val="none"/>
          <w:lang w:val="zh-CN"/>
        </w:rPr>
      </w:pPr>
      <w:r>
        <w:rPr>
          <w:rFonts w:hint="eastAsia" w:ascii="仿宋" w:hAnsi="仿宋" w:eastAsia="仿宋" w:cs="仿宋"/>
          <w:color w:val="000000"/>
          <w:sz w:val="28"/>
          <w:szCs w:val="21"/>
          <w:highlight w:val="none"/>
        </w:rPr>
        <w:t>（</w:t>
      </w:r>
      <w:r>
        <w:rPr>
          <w:rFonts w:hint="eastAsia" w:ascii="仿宋" w:hAnsi="仿宋" w:eastAsia="仿宋" w:cs="仿宋"/>
          <w:b/>
          <w:bCs/>
          <w:color w:val="000000"/>
          <w:sz w:val="28"/>
          <w:szCs w:val="21"/>
          <w:highlight w:val="none"/>
          <w:lang w:val="zh-CN"/>
        </w:rPr>
        <w:t>采购项目编号：XXXXXXXXXX）</w:t>
      </w:r>
    </w:p>
    <w:p w14:paraId="55B9DB8E">
      <w:pPr>
        <w:widowControl/>
        <w:jc w:val="center"/>
        <w:rPr>
          <w:rFonts w:hint="eastAsia" w:ascii="仿宋" w:hAnsi="仿宋" w:eastAsia="仿宋" w:cs="仿宋"/>
          <w:color w:val="000000"/>
          <w:sz w:val="28"/>
          <w:szCs w:val="21"/>
          <w:highlight w:val="none"/>
        </w:rPr>
      </w:pPr>
      <w:r>
        <w:rPr>
          <w:rFonts w:hint="eastAsia" w:ascii="仿宋" w:hAnsi="仿宋" w:eastAsia="仿宋" w:cs="仿宋"/>
          <w:b/>
          <w:bCs/>
          <w:color w:val="000000"/>
          <w:sz w:val="28"/>
          <w:szCs w:val="21"/>
          <w:highlight w:val="none"/>
          <w:lang w:val="zh-CN"/>
        </w:rPr>
        <w:t>（设备名称：XXXXXXXXXXXX</w:t>
      </w:r>
      <w:r>
        <w:rPr>
          <w:rFonts w:hint="eastAsia" w:ascii="仿宋" w:hAnsi="仿宋" w:eastAsia="仿宋" w:cs="仿宋"/>
          <w:b/>
          <w:bCs/>
          <w:color w:val="000000"/>
          <w:sz w:val="28"/>
          <w:szCs w:val="21"/>
          <w:highlight w:val="none"/>
        </w:rPr>
        <w:t>）</w:t>
      </w:r>
    </w:p>
    <w:p w14:paraId="79D0E97A">
      <w:pPr>
        <w:spacing w:line="480" w:lineRule="auto"/>
        <w:jc w:val="center"/>
        <w:rPr>
          <w:rFonts w:hint="eastAsia" w:ascii="仿宋" w:hAnsi="仿宋" w:eastAsia="仿宋" w:cs="仿宋"/>
          <w:b/>
          <w:color w:val="000000"/>
          <w:sz w:val="28"/>
          <w:szCs w:val="21"/>
          <w:highlight w:val="none"/>
        </w:rPr>
      </w:pPr>
    </w:p>
    <w:p w14:paraId="63627A94">
      <w:pPr>
        <w:spacing w:line="510" w:lineRule="atLeast"/>
        <w:rPr>
          <w:rFonts w:hint="eastAsia" w:ascii="仿宋" w:hAnsi="仿宋" w:eastAsia="仿宋" w:cs="仿宋"/>
          <w:b/>
          <w:color w:val="000000"/>
          <w:sz w:val="28"/>
          <w:szCs w:val="21"/>
          <w:highlight w:val="none"/>
        </w:rPr>
      </w:pPr>
    </w:p>
    <w:p w14:paraId="1F33012D">
      <w:pPr>
        <w:spacing w:line="510" w:lineRule="atLeast"/>
        <w:rPr>
          <w:rFonts w:hint="eastAsia" w:ascii="仿宋" w:hAnsi="仿宋" w:eastAsia="仿宋" w:cs="仿宋"/>
          <w:b/>
          <w:color w:val="000000"/>
          <w:sz w:val="28"/>
          <w:szCs w:val="21"/>
          <w:highlight w:val="none"/>
        </w:rPr>
      </w:pPr>
    </w:p>
    <w:p w14:paraId="5B9D7DB9">
      <w:pPr>
        <w:spacing w:line="510" w:lineRule="atLeast"/>
        <w:rPr>
          <w:rFonts w:hint="eastAsia" w:ascii="仿宋" w:hAnsi="仿宋" w:eastAsia="仿宋" w:cs="仿宋"/>
          <w:b/>
          <w:color w:val="000000"/>
          <w:sz w:val="28"/>
          <w:szCs w:val="21"/>
          <w:highlight w:val="none"/>
        </w:rPr>
      </w:pPr>
    </w:p>
    <w:p w14:paraId="104CD7C5">
      <w:pPr>
        <w:snapToGrid w:val="0"/>
        <w:spacing w:line="360" w:lineRule="auto"/>
        <w:ind w:firstLine="1827" w:firstLineChars="650"/>
        <w:rPr>
          <w:rFonts w:hint="eastAsia" w:ascii="仿宋" w:hAnsi="仿宋" w:eastAsia="仿宋" w:cs="仿宋"/>
          <w:b/>
          <w:color w:val="000000"/>
          <w:sz w:val="28"/>
          <w:szCs w:val="21"/>
          <w:highlight w:val="none"/>
        </w:rPr>
      </w:pPr>
      <w:r>
        <w:rPr>
          <w:rFonts w:hint="eastAsia" w:ascii="仿宋" w:hAnsi="仿宋" w:eastAsia="仿宋" w:cs="仿宋"/>
          <w:b/>
          <w:color w:val="000000"/>
          <w:sz w:val="28"/>
          <w:szCs w:val="21"/>
          <w:highlight w:val="none"/>
        </w:rPr>
        <w:t>甲  方：西安市胸科医院</w:t>
      </w:r>
    </w:p>
    <w:p w14:paraId="07782008">
      <w:pPr>
        <w:tabs>
          <w:tab w:val="left" w:pos="480"/>
        </w:tabs>
        <w:snapToGrid w:val="0"/>
        <w:spacing w:line="360" w:lineRule="auto"/>
        <w:ind w:firstLine="562" w:firstLineChars="200"/>
        <w:rPr>
          <w:rFonts w:hint="eastAsia" w:ascii="仿宋" w:hAnsi="仿宋" w:eastAsia="仿宋" w:cs="仿宋"/>
          <w:b/>
          <w:color w:val="000000"/>
          <w:sz w:val="28"/>
          <w:szCs w:val="21"/>
          <w:highlight w:val="none"/>
        </w:rPr>
      </w:pPr>
      <w:r>
        <w:rPr>
          <w:rFonts w:hint="eastAsia" w:ascii="仿宋" w:hAnsi="仿宋" w:eastAsia="仿宋" w:cs="仿宋"/>
          <w:b/>
          <w:color w:val="000000"/>
          <w:sz w:val="28"/>
          <w:szCs w:val="21"/>
          <w:highlight w:val="none"/>
        </w:rPr>
        <w:t xml:space="preserve">         乙  方：</w:t>
      </w:r>
      <w:r>
        <w:rPr>
          <w:rFonts w:hint="eastAsia" w:ascii="仿宋" w:hAnsi="仿宋" w:eastAsia="仿宋" w:cs="仿宋"/>
          <w:b/>
          <w:bCs/>
          <w:color w:val="000000"/>
          <w:sz w:val="28"/>
          <w:szCs w:val="21"/>
          <w:highlight w:val="none"/>
          <w:lang w:val="zh-CN"/>
        </w:rPr>
        <w:t>XXXXXXXX</w:t>
      </w:r>
    </w:p>
    <w:p w14:paraId="79351F01">
      <w:pPr>
        <w:snapToGrid w:val="0"/>
        <w:spacing w:line="360" w:lineRule="auto"/>
        <w:ind w:firstLine="562" w:firstLineChars="200"/>
        <w:rPr>
          <w:rFonts w:hint="eastAsia" w:ascii="仿宋" w:hAnsi="仿宋" w:eastAsia="仿宋" w:cs="仿宋"/>
          <w:color w:val="000000"/>
          <w:sz w:val="28"/>
          <w:szCs w:val="21"/>
          <w:highlight w:val="none"/>
        </w:rPr>
      </w:pPr>
      <w:r>
        <w:rPr>
          <w:rFonts w:hint="eastAsia" w:ascii="仿宋" w:hAnsi="仿宋" w:eastAsia="仿宋" w:cs="仿宋"/>
          <w:b/>
          <w:color w:val="000000"/>
          <w:sz w:val="28"/>
          <w:szCs w:val="21"/>
          <w:highlight w:val="none"/>
        </w:rPr>
        <w:t xml:space="preserve">         </w:t>
      </w:r>
    </w:p>
    <w:p w14:paraId="1BB5AD1D">
      <w:pPr>
        <w:pStyle w:val="2"/>
        <w:tabs>
          <w:tab w:val="left" w:pos="567"/>
        </w:tabs>
        <w:ind w:left="63" w:right="63"/>
        <w:rPr>
          <w:rFonts w:hint="eastAsia" w:ascii="仿宋" w:hAnsi="仿宋" w:eastAsia="仿宋" w:cs="仿宋"/>
          <w:color w:val="000000"/>
          <w:highlight w:val="none"/>
        </w:rPr>
      </w:pPr>
    </w:p>
    <w:p w14:paraId="63B534F5">
      <w:pPr>
        <w:spacing w:line="510" w:lineRule="atLeast"/>
        <w:jc w:val="center"/>
        <w:rPr>
          <w:rFonts w:hint="eastAsia" w:ascii="仿宋" w:hAnsi="仿宋" w:eastAsia="仿宋" w:cs="仿宋"/>
          <w:b/>
          <w:color w:val="000000"/>
          <w:sz w:val="28"/>
          <w:szCs w:val="21"/>
          <w:highlight w:val="none"/>
        </w:rPr>
      </w:pPr>
      <w:r>
        <w:rPr>
          <w:rFonts w:hint="eastAsia" w:ascii="仿宋" w:hAnsi="仿宋" w:eastAsia="仿宋" w:cs="仿宋"/>
          <w:b/>
          <w:color w:val="000000"/>
          <w:sz w:val="28"/>
          <w:szCs w:val="21"/>
          <w:highlight w:val="none"/>
        </w:rPr>
        <w:t>202</w:t>
      </w:r>
      <w:r>
        <w:rPr>
          <w:rFonts w:hint="eastAsia" w:ascii="仿宋" w:hAnsi="仿宋" w:eastAsia="仿宋" w:cs="仿宋"/>
          <w:b/>
          <w:color w:val="000000"/>
          <w:sz w:val="28"/>
          <w:szCs w:val="21"/>
          <w:highlight w:val="none"/>
          <w:lang w:val="en-US" w:eastAsia="zh-CN"/>
        </w:rPr>
        <w:t>6</w:t>
      </w:r>
      <w:r>
        <w:rPr>
          <w:rFonts w:hint="eastAsia" w:ascii="仿宋" w:hAnsi="仿宋" w:eastAsia="仿宋" w:cs="仿宋"/>
          <w:b/>
          <w:color w:val="000000"/>
          <w:sz w:val="28"/>
          <w:szCs w:val="21"/>
          <w:highlight w:val="none"/>
          <w:lang w:eastAsia="zh-Hans"/>
        </w:rPr>
        <w:t>年</w:t>
      </w:r>
      <w:r>
        <w:rPr>
          <w:rFonts w:hint="eastAsia" w:ascii="仿宋" w:hAnsi="仿宋" w:eastAsia="仿宋" w:cs="仿宋"/>
          <w:b/>
          <w:bCs/>
          <w:color w:val="000000"/>
          <w:sz w:val="28"/>
          <w:szCs w:val="21"/>
          <w:highlight w:val="none"/>
          <w:lang w:val="zh-CN"/>
        </w:rPr>
        <w:t>XX</w:t>
      </w:r>
      <w:r>
        <w:rPr>
          <w:rFonts w:hint="eastAsia" w:ascii="仿宋" w:hAnsi="仿宋" w:eastAsia="仿宋" w:cs="仿宋"/>
          <w:b/>
          <w:color w:val="000000"/>
          <w:sz w:val="28"/>
          <w:szCs w:val="21"/>
          <w:highlight w:val="none"/>
        </w:rPr>
        <w:t>月</w:t>
      </w:r>
    </w:p>
    <w:p w14:paraId="123E2CC2">
      <w:pPr>
        <w:spacing w:line="510" w:lineRule="atLeast"/>
        <w:jc w:val="center"/>
        <w:rPr>
          <w:rFonts w:hint="eastAsia" w:ascii="仿宋" w:hAnsi="仿宋" w:eastAsia="仿宋" w:cs="仿宋"/>
          <w:b/>
          <w:color w:val="000000"/>
          <w:sz w:val="28"/>
          <w:szCs w:val="21"/>
          <w:highlight w:val="none"/>
        </w:rPr>
      </w:pPr>
      <w:r>
        <w:rPr>
          <w:rFonts w:hint="eastAsia" w:ascii="仿宋" w:hAnsi="仿宋" w:eastAsia="仿宋" w:cs="仿宋"/>
          <w:b/>
          <w:color w:val="000000"/>
          <w:sz w:val="28"/>
          <w:szCs w:val="21"/>
          <w:highlight w:val="none"/>
        </w:rPr>
        <w:t>中国  西安</w:t>
      </w:r>
    </w:p>
    <w:p w14:paraId="6D6BF0D2">
      <w:pPr>
        <w:rPr>
          <w:rFonts w:hint="eastAsia" w:ascii="仿宋" w:hAnsi="仿宋" w:eastAsia="仿宋" w:cs="仿宋"/>
          <w:b/>
          <w:color w:val="000000"/>
          <w:sz w:val="28"/>
          <w:szCs w:val="21"/>
          <w:highlight w:val="none"/>
        </w:rPr>
      </w:pPr>
      <w:r>
        <w:rPr>
          <w:rFonts w:hint="eastAsia" w:ascii="仿宋" w:hAnsi="仿宋" w:eastAsia="仿宋" w:cs="仿宋"/>
          <w:b/>
          <w:color w:val="000000"/>
          <w:sz w:val="28"/>
          <w:szCs w:val="21"/>
          <w:highlight w:val="none"/>
        </w:rPr>
        <w:br w:type="page"/>
      </w:r>
    </w:p>
    <w:p w14:paraId="66141B4D">
      <w:pPr>
        <w:spacing w:line="510" w:lineRule="atLeast"/>
        <w:jc w:val="center"/>
        <w:rPr>
          <w:rFonts w:hint="eastAsia" w:ascii="仿宋" w:hAnsi="仿宋" w:eastAsia="仿宋" w:cs="仿宋"/>
          <w:b/>
          <w:color w:val="000000"/>
          <w:sz w:val="28"/>
          <w:szCs w:val="21"/>
          <w:highlight w:val="none"/>
        </w:rPr>
      </w:pPr>
      <w:bookmarkStart w:id="0" w:name="_GoBack"/>
      <w:bookmarkEnd w:id="0"/>
    </w:p>
    <w:p w14:paraId="40E43123">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仿宋_GB2312" w:hAnsi="仿宋" w:eastAsia="仿宋_GB2312" w:cs="仿宋"/>
          <w:b/>
          <w:bCs/>
          <w:color w:val="000000"/>
          <w:kern w:val="0"/>
          <w:sz w:val="36"/>
          <w:szCs w:val="36"/>
          <w:highlight w:val="none"/>
          <w:lang w:bidi="ar"/>
        </w:rPr>
      </w:pPr>
      <w:r>
        <w:rPr>
          <w:rFonts w:hint="eastAsia" w:ascii="仿宋_GB2312" w:hAnsi="仿宋" w:eastAsia="仿宋_GB2312" w:cs="仿宋"/>
          <w:b/>
          <w:bCs/>
          <w:color w:val="000000"/>
          <w:kern w:val="0"/>
          <w:sz w:val="36"/>
          <w:szCs w:val="36"/>
          <w:highlight w:val="none"/>
          <w:lang w:bidi="ar"/>
        </w:rPr>
        <w:t>供货合同</w:t>
      </w:r>
    </w:p>
    <w:p w14:paraId="6C980B26">
      <w:pPr>
        <w:pStyle w:val="5"/>
      </w:pPr>
    </w:p>
    <w:p w14:paraId="07D52E92">
      <w:pPr>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甲方：西安市胸科医院</w:t>
      </w:r>
    </w:p>
    <w:p w14:paraId="7AFD34D4">
      <w:pPr>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乙方：</w:t>
      </w:r>
      <w:r>
        <w:rPr>
          <w:rFonts w:hint="eastAsia" w:ascii="仿宋_GB2312" w:hAnsi="仿宋" w:eastAsia="仿宋_GB2312"/>
          <w:b/>
          <w:bCs/>
          <w:color w:val="000000"/>
          <w:sz w:val="24"/>
          <w:highlight w:val="none"/>
          <w:lang w:val="zh-CN"/>
        </w:rPr>
        <w:t>XXXXXXXX</w:t>
      </w:r>
    </w:p>
    <w:p w14:paraId="5CBDC659">
      <w:pPr>
        <w:snapToGrid w:val="0"/>
        <w:spacing w:line="360" w:lineRule="auto"/>
        <w:ind w:firstLine="480" w:firstLineChars="200"/>
        <w:rPr>
          <w:rFonts w:ascii="仿宋_GB2312" w:hAnsi="仿宋" w:eastAsia="仿宋_GB2312"/>
          <w:color w:val="000000"/>
          <w:sz w:val="24"/>
          <w:highlight w:val="none"/>
        </w:rPr>
      </w:pPr>
      <w:r>
        <w:rPr>
          <w:rFonts w:hint="eastAsia" w:ascii="仿宋_GB2312" w:hAnsi="仿宋" w:eastAsia="仿宋_GB2312"/>
          <w:color w:val="000000"/>
          <w:sz w:val="24"/>
          <w:highlight w:val="none"/>
        </w:rPr>
        <w:t>甲方所需货物，按照政府采购程序组织公开招标，确定乙方为中标投标人。依据《中华人民共和国政府采购法》、《中华人民共和国民法典》以及XX有限公司招标文件、</w:t>
      </w:r>
      <w:r>
        <w:rPr>
          <w:rFonts w:hint="eastAsia" w:ascii="仿宋_GB2312" w:hAnsi="仿宋" w:eastAsia="仿宋_GB2312"/>
          <w:color w:val="000000"/>
          <w:sz w:val="24"/>
          <w:highlight w:val="none"/>
          <w:lang w:val="en-US" w:eastAsia="zh-CN"/>
        </w:rPr>
        <w:t>乙方</w:t>
      </w:r>
      <w:r>
        <w:rPr>
          <w:rFonts w:hint="eastAsia" w:ascii="仿宋_GB2312" w:hAnsi="仿宋" w:eastAsia="仿宋_GB2312"/>
          <w:color w:val="000000"/>
          <w:sz w:val="24"/>
          <w:highlight w:val="none"/>
        </w:rPr>
        <w:t>投标文件正本</w:t>
      </w:r>
      <w:r>
        <w:rPr>
          <w:rFonts w:hint="eastAsia" w:ascii="仿宋_GB2312" w:hAnsi="仿宋" w:eastAsia="仿宋_GB2312"/>
          <w:color w:val="000000"/>
          <w:sz w:val="24"/>
          <w:highlight w:val="none"/>
          <w:lang w:eastAsia="zh-CN"/>
        </w:rPr>
        <w:t>、</w:t>
      </w:r>
      <w:r>
        <w:rPr>
          <w:rFonts w:hint="eastAsia" w:ascii="仿宋_GB2312" w:hAnsi="仿宋" w:eastAsia="仿宋_GB2312"/>
          <w:color w:val="000000"/>
          <w:sz w:val="24"/>
          <w:highlight w:val="none"/>
        </w:rPr>
        <w:t>中标通知书，经甲、乙双方协商，达成如下条款。</w:t>
      </w:r>
    </w:p>
    <w:p w14:paraId="39BD7558">
      <w:pPr>
        <w:snapToGrid w:val="0"/>
        <w:spacing w:line="360" w:lineRule="auto"/>
        <w:rPr>
          <w:rFonts w:ascii="仿宋_GB2312" w:hAnsi="仿宋" w:eastAsia="仿宋_GB2312"/>
          <w:b/>
          <w:color w:val="000000"/>
          <w:sz w:val="24"/>
          <w:highlight w:val="none"/>
        </w:rPr>
      </w:pPr>
      <w:r>
        <w:rPr>
          <w:rFonts w:hint="eastAsia" w:ascii="仿宋_GB2312" w:hAnsi="仿宋" w:eastAsia="仿宋_GB2312"/>
          <w:b/>
          <w:color w:val="000000"/>
          <w:sz w:val="24"/>
          <w:highlight w:val="none"/>
        </w:rPr>
        <w:t>一、合同货物内容及数量（以投标文件正本和澄清表函为准）</w:t>
      </w:r>
    </w:p>
    <w:tbl>
      <w:tblPr>
        <w:tblStyle w:val="7"/>
        <w:tblW w:w="9071" w:type="dxa"/>
        <w:tblInd w:w="0" w:type="dxa"/>
        <w:tblLayout w:type="fixed"/>
        <w:tblCellMar>
          <w:top w:w="0" w:type="dxa"/>
          <w:left w:w="28" w:type="dxa"/>
          <w:bottom w:w="0" w:type="dxa"/>
          <w:right w:w="28" w:type="dxa"/>
        </w:tblCellMar>
      </w:tblPr>
      <w:tblGrid>
        <w:gridCol w:w="480"/>
        <w:gridCol w:w="1612"/>
        <w:gridCol w:w="1732"/>
        <w:gridCol w:w="1087"/>
        <w:gridCol w:w="1076"/>
        <w:gridCol w:w="1011"/>
        <w:gridCol w:w="1402"/>
        <w:gridCol w:w="671"/>
      </w:tblGrid>
      <w:tr w14:paraId="6C4F9AEE">
        <w:tblPrEx>
          <w:tblCellMar>
            <w:top w:w="0" w:type="dxa"/>
            <w:left w:w="28" w:type="dxa"/>
            <w:bottom w:w="0" w:type="dxa"/>
            <w:right w:w="28" w:type="dxa"/>
          </w:tblCellMar>
        </w:tblPrEx>
        <w:trPr>
          <w:trHeight w:val="725" w:hRule="atLeast"/>
        </w:trPr>
        <w:tc>
          <w:tcPr>
            <w:tcW w:w="499" w:type="dxa"/>
            <w:tcBorders>
              <w:top w:val="single" w:color="auto" w:sz="6" w:space="0"/>
              <w:left w:val="single" w:color="auto" w:sz="6" w:space="0"/>
              <w:bottom w:val="single" w:color="auto" w:sz="6" w:space="0"/>
            </w:tcBorders>
            <w:noWrap w:val="0"/>
            <w:vAlign w:val="center"/>
          </w:tcPr>
          <w:p w14:paraId="246028D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序号</w:t>
            </w:r>
          </w:p>
        </w:tc>
        <w:tc>
          <w:tcPr>
            <w:tcW w:w="1678" w:type="dxa"/>
            <w:tcBorders>
              <w:top w:val="single" w:color="auto" w:sz="6" w:space="0"/>
              <w:left w:val="single" w:color="auto" w:sz="6" w:space="0"/>
              <w:bottom w:val="single" w:color="auto" w:sz="6" w:space="0"/>
              <w:right w:val="single" w:color="auto" w:sz="6" w:space="0"/>
            </w:tcBorders>
            <w:noWrap w:val="0"/>
            <w:vAlign w:val="center"/>
          </w:tcPr>
          <w:p w14:paraId="42C5556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货物名称</w:t>
            </w:r>
          </w:p>
        </w:tc>
        <w:tc>
          <w:tcPr>
            <w:tcW w:w="1803" w:type="dxa"/>
            <w:tcBorders>
              <w:top w:val="single" w:color="auto" w:sz="6" w:space="0"/>
              <w:left w:val="single" w:color="auto" w:sz="6" w:space="0"/>
              <w:bottom w:val="single" w:color="auto" w:sz="6" w:space="0"/>
              <w:right w:val="single" w:color="auto" w:sz="6" w:space="0"/>
            </w:tcBorders>
            <w:noWrap w:val="0"/>
            <w:vAlign w:val="center"/>
          </w:tcPr>
          <w:p w14:paraId="46642D0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规格型号</w:t>
            </w:r>
          </w:p>
        </w:tc>
        <w:tc>
          <w:tcPr>
            <w:tcW w:w="1131" w:type="dxa"/>
            <w:tcBorders>
              <w:top w:val="single" w:color="auto" w:sz="6" w:space="0"/>
              <w:left w:val="single" w:color="auto" w:sz="6" w:space="0"/>
              <w:bottom w:val="single" w:color="auto" w:sz="6" w:space="0"/>
              <w:right w:val="single" w:color="auto" w:sz="4" w:space="0"/>
            </w:tcBorders>
            <w:noWrap w:val="0"/>
            <w:vAlign w:val="center"/>
          </w:tcPr>
          <w:p w14:paraId="5A1241A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数量</w:t>
            </w:r>
          </w:p>
        </w:tc>
        <w:tc>
          <w:tcPr>
            <w:tcW w:w="1119" w:type="dxa"/>
            <w:tcBorders>
              <w:top w:val="single" w:color="auto" w:sz="6" w:space="0"/>
              <w:left w:val="single" w:color="auto" w:sz="4" w:space="0"/>
              <w:bottom w:val="single" w:color="auto" w:sz="6" w:space="0"/>
              <w:right w:val="single" w:color="auto" w:sz="4" w:space="0"/>
            </w:tcBorders>
            <w:noWrap w:val="0"/>
            <w:vAlign w:val="center"/>
          </w:tcPr>
          <w:p w14:paraId="3D529D1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品牌</w:t>
            </w:r>
          </w:p>
        </w:tc>
        <w:tc>
          <w:tcPr>
            <w:tcW w:w="1052" w:type="dxa"/>
            <w:tcBorders>
              <w:top w:val="single" w:color="auto" w:sz="6" w:space="0"/>
              <w:left w:val="single" w:color="auto" w:sz="4" w:space="0"/>
              <w:bottom w:val="single" w:color="auto" w:sz="6" w:space="0"/>
              <w:right w:val="single" w:color="auto" w:sz="6" w:space="0"/>
            </w:tcBorders>
            <w:noWrap w:val="0"/>
            <w:vAlign w:val="center"/>
          </w:tcPr>
          <w:p w14:paraId="66E56B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产地</w:t>
            </w:r>
          </w:p>
        </w:tc>
        <w:tc>
          <w:tcPr>
            <w:tcW w:w="1459" w:type="dxa"/>
            <w:tcBorders>
              <w:top w:val="single" w:color="auto" w:sz="6" w:space="0"/>
              <w:left w:val="single" w:color="auto" w:sz="6" w:space="0"/>
              <w:bottom w:val="single" w:color="auto" w:sz="6" w:space="0"/>
              <w:right w:val="single" w:color="auto" w:sz="4" w:space="0"/>
            </w:tcBorders>
            <w:noWrap w:val="0"/>
            <w:vAlign w:val="center"/>
          </w:tcPr>
          <w:p w14:paraId="5CFA524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金额</w:t>
            </w:r>
          </w:p>
          <w:p w14:paraId="6D70F4B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（万元）</w:t>
            </w:r>
          </w:p>
        </w:tc>
        <w:tc>
          <w:tcPr>
            <w:tcW w:w="697" w:type="dxa"/>
            <w:tcBorders>
              <w:top w:val="single" w:color="auto" w:sz="6" w:space="0"/>
              <w:left w:val="single" w:color="auto" w:sz="4" w:space="0"/>
              <w:bottom w:val="single" w:color="auto" w:sz="6" w:space="0"/>
              <w:right w:val="single" w:color="auto" w:sz="6" w:space="0"/>
            </w:tcBorders>
            <w:noWrap w:val="0"/>
            <w:vAlign w:val="center"/>
          </w:tcPr>
          <w:p w14:paraId="2C61A02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b/>
                <w:bCs/>
                <w:color w:val="000000"/>
                <w:szCs w:val="21"/>
                <w:highlight w:val="none"/>
              </w:rPr>
            </w:pPr>
            <w:r>
              <w:rPr>
                <w:rFonts w:hint="eastAsia" w:ascii="仿宋_GB2312" w:hAnsi="仿宋" w:eastAsia="仿宋_GB2312"/>
                <w:b/>
                <w:bCs/>
                <w:color w:val="000000"/>
                <w:szCs w:val="21"/>
                <w:highlight w:val="none"/>
              </w:rPr>
              <w:t>备注</w:t>
            </w:r>
          </w:p>
        </w:tc>
      </w:tr>
      <w:tr w14:paraId="5CA6080A">
        <w:tblPrEx>
          <w:tblCellMar>
            <w:top w:w="0" w:type="dxa"/>
            <w:left w:w="28" w:type="dxa"/>
            <w:bottom w:w="0" w:type="dxa"/>
            <w:right w:w="28" w:type="dxa"/>
          </w:tblCellMar>
        </w:tblPrEx>
        <w:trPr>
          <w:trHeight w:val="469" w:hRule="atLeast"/>
        </w:trPr>
        <w:tc>
          <w:tcPr>
            <w:tcW w:w="499" w:type="dxa"/>
            <w:tcBorders>
              <w:top w:val="single" w:color="auto" w:sz="6" w:space="0"/>
              <w:left w:val="single" w:color="auto" w:sz="6" w:space="0"/>
              <w:bottom w:val="single" w:color="auto" w:sz="4" w:space="0"/>
            </w:tcBorders>
            <w:noWrap w:val="0"/>
            <w:vAlign w:val="center"/>
          </w:tcPr>
          <w:p w14:paraId="7DAAE600">
            <w:pPr>
              <w:pStyle w:val="9"/>
              <w:keepNext w:val="0"/>
              <w:keepLines w:val="0"/>
              <w:pageBreakBefore w:val="0"/>
              <w:widowControl w:val="0"/>
              <w:kinsoku/>
              <w:wordWrap/>
              <w:overflowPunct/>
              <w:topLinePunct w:val="0"/>
              <w:autoSpaceDE/>
              <w:autoSpaceDN/>
              <w:bidi w:val="0"/>
              <w:adjustRightInd/>
              <w:spacing w:line="240" w:lineRule="auto"/>
              <w:ind w:left="14"/>
              <w:jc w:val="center"/>
              <w:textAlignment w:val="auto"/>
              <w:rPr>
                <w:rFonts w:ascii="仿宋_GB2312" w:eastAsia="仿宋_GB2312" w:cs="宋体"/>
                <w:color w:val="000000"/>
                <w:szCs w:val="21"/>
                <w:highlight w:val="none"/>
              </w:rPr>
            </w:pPr>
            <w:r>
              <w:rPr>
                <w:rFonts w:hint="eastAsia" w:ascii="仿宋_GB2312" w:eastAsia="仿宋_GB2312" w:cs="宋体"/>
                <w:color w:val="000000"/>
                <w:szCs w:val="21"/>
                <w:highlight w:val="none"/>
              </w:rPr>
              <w:t>1</w:t>
            </w:r>
          </w:p>
        </w:tc>
        <w:tc>
          <w:tcPr>
            <w:tcW w:w="1678" w:type="dxa"/>
            <w:tcBorders>
              <w:top w:val="single" w:color="auto" w:sz="6" w:space="0"/>
              <w:left w:val="single" w:color="auto" w:sz="6" w:space="0"/>
              <w:bottom w:val="single" w:color="auto" w:sz="4" w:space="0"/>
              <w:right w:val="single" w:color="auto" w:sz="6" w:space="0"/>
            </w:tcBorders>
            <w:noWrap w:val="0"/>
            <w:vAlign w:val="center"/>
          </w:tcPr>
          <w:p w14:paraId="5A7D91C1">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1803" w:type="dxa"/>
            <w:tcBorders>
              <w:top w:val="single" w:color="auto" w:sz="6" w:space="0"/>
              <w:left w:val="single" w:color="auto" w:sz="6" w:space="0"/>
              <w:bottom w:val="single" w:color="auto" w:sz="4" w:space="0"/>
              <w:right w:val="single" w:color="auto" w:sz="6" w:space="0"/>
            </w:tcBorders>
            <w:noWrap w:val="0"/>
            <w:vAlign w:val="center"/>
          </w:tcPr>
          <w:p w14:paraId="583099F3">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1131" w:type="dxa"/>
            <w:tcBorders>
              <w:top w:val="single" w:color="auto" w:sz="6" w:space="0"/>
              <w:left w:val="single" w:color="auto" w:sz="6" w:space="0"/>
              <w:bottom w:val="single" w:color="auto" w:sz="6" w:space="0"/>
              <w:right w:val="single" w:color="auto" w:sz="4" w:space="0"/>
            </w:tcBorders>
            <w:noWrap w:val="0"/>
            <w:vAlign w:val="center"/>
          </w:tcPr>
          <w:p w14:paraId="6CE393CF">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1119" w:type="dxa"/>
            <w:tcBorders>
              <w:top w:val="single" w:color="auto" w:sz="6" w:space="0"/>
              <w:left w:val="single" w:color="auto" w:sz="4" w:space="0"/>
              <w:bottom w:val="single" w:color="auto" w:sz="6" w:space="0"/>
              <w:right w:val="single" w:color="auto" w:sz="4" w:space="0"/>
            </w:tcBorders>
            <w:noWrap w:val="0"/>
            <w:vAlign w:val="center"/>
          </w:tcPr>
          <w:p w14:paraId="4C3158D8">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1052" w:type="dxa"/>
            <w:tcBorders>
              <w:top w:val="single" w:color="auto" w:sz="6" w:space="0"/>
              <w:left w:val="single" w:color="auto" w:sz="4" w:space="0"/>
              <w:bottom w:val="single" w:color="auto" w:sz="6" w:space="0"/>
              <w:right w:val="single" w:color="auto" w:sz="6" w:space="0"/>
            </w:tcBorders>
            <w:noWrap w:val="0"/>
            <w:vAlign w:val="center"/>
          </w:tcPr>
          <w:p w14:paraId="3F1FA001">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1459" w:type="dxa"/>
            <w:tcBorders>
              <w:top w:val="single" w:color="auto" w:sz="6" w:space="0"/>
              <w:left w:val="single" w:color="auto" w:sz="6" w:space="0"/>
              <w:bottom w:val="single" w:color="auto" w:sz="4" w:space="0"/>
              <w:right w:val="single" w:color="auto" w:sz="4" w:space="0"/>
            </w:tcBorders>
            <w:noWrap w:val="0"/>
            <w:vAlign w:val="center"/>
          </w:tcPr>
          <w:p w14:paraId="70563FD1">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c>
          <w:tcPr>
            <w:tcW w:w="697" w:type="dxa"/>
            <w:tcBorders>
              <w:top w:val="single" w:color="auto" w:sz="6" w:space="0"/>
              <w:left w:val="single" w:color="auto" w:sz="4" w:space="0"/>
              <w:bottom w:val="single" w:color="auto" w:sz="4" w:space="0"/>
              <w:right w:val="single" w:color="auto" w:sz="6" w:space="0"/>
            </w:tcBorders>
            <w:noWrap w:val="0"/>
            <w:vAlign w:val="center"/>
          </w:tcPr>
          <w:p w14:paraId="791C5FA5">
            <w:pPr>
              <w:pStyle w:val="9"/>
              <w:keepNext w:val="0"/>
              <w:keepLines w:val="0"/>
              <w:pageBreakBefore w:val="0"/>
              <w:widowControl w:val="0"/>
              <w:kinsoku/>
              <w:wordWrap/>
              <w:overflowPunct/>
              <w:topLinePunct w:val="0"/>
              <w:autoSpaceDE/>
              <w:autoSpaceDN/>
              <w:bidi w:val="0"/>
              <w:adjustRightInd/>
              <w:spacing w:line="240" w:lineRule="auto"/>
              <w:jc w:val="center"/>
              <w:textAlignment w:val="auto"/>
              <w:rPr>
                <w:rFonts w:ascii="仿宋_GB2312" w:eastAsia="仿宋_GB2312" w:cs="宋体"/>
                <w:color w:val="000000"/>
                <w:szCs w:val="21"/>
                <w:highlight w:val="none"/>
              </w:rPr>
            </w:pPr>
          </w:p>
        </w:tc>
      </w:tr>
      <w:tr w14:paraId="09D630F0">
        <w:tblPrEx>
          <w:tblCellMar>
            <w:top w:w="0" w:type="dxa"/>
            <w:left w:w="28" w:type="dxa"/>
            <w:bottom w:w="0" w:type="dxa"/>
            <w:right w:w="28" w:type="dxa"/>
          </w:tblCellMar>
        </w:tblPrEx>
        <w:trPr>
          <w:trHeight w:val="478" w:hRule="atLeast"/>
        </w:trPr>
        <w:tc>
          <w:tcPr>
            <w:tcW w:w="2177" w:type="dxa"/>
            <w:gridSpan w:val="2"/>
            <w:tcBorders>
              <w:top w:val="single" w:color="auto" w:sz="4" w:space="0"/>
              <w:left w:val="single" w:color="auto" w:sz="6" w:space="0"/>
              <w:bottom w:val="single" w:color="auto" w:sz="4" w:space="0"/>
              <w:right w:val="single" w:color="auto" w:sz="6" w:space="0"/>
            </w:tcBorders>
            <w:noWrap w:val="0"/>
            <w:vAlign w:val="center"/>
          </w:tcPr>
          <w:p w14:paraId="301E70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hAnsi="仿宋" w:eastAsia="仿宋_GB2312"/>
                <w:color w:val="000000"/>
                <w:szCs w:val="21"/>
                <w:highlight w:val="none"/>
              </w:rPr>
            </w:pPr>
            <w:r>
              <w:rPr>
                <w:rFonts w:hint="eastAsia" w:ascii="仿宋_GB2312" w:hAnsi="仿宋" w:eastAsia="仿宋_GB2312"/>
                <w:color w:val="000000"/>
                <w:szCs w:val="21"/>
                <w:highlight w:val="none"/>
              </w:rPr>
              <w:t>合计</w:t>
            </w:r>
          </w:p>
        </w:tc>
        <w:tc>
          <w:tcPr>
            <w:tcW w:w="7261" w:type="dxa"/>
            <w:gridSpan w:val="6"/>
            <w:tcBorders>
              <w:top w:val="single" w:color="auto" w:sz="4" w:space="0"/>
              <w:left w:val="single" w:color="auto" w:sz="6" w:space="0"/>
              <w:bottom w:val="single" w:color="auto" w:sz="4" w:space="0"/>
              <w:right w:val="single" w:color="auto" w:sz="4" w:space="0"/>
            </w:tcBorders>
            <w:noWrap w:val="0"/>
            <w:vAlign w:val="center"/>
          </w:tcPr>
          <w:p w14:paraId="242D154D">
            <w:pPr>
              <w:keepNext w:val="0"/>
              <w:keepLines w:val="0"/>
              <w:pageBreakBefore w:val="0"/>
              <w:widowControl w:val="0"/>
              <w:kinsoku/>
              <w:wordWrap/>
              <w:overflowPunct/>
              <w:topLinePunct w:val="0"/>
              <w:autoSpaceDE/>
              <w:autoSpaceDN/>
              <w:bidi w:val="0"/>
              <w:adjustRightInd/>
              <w:snapToGrid w:val="0"/>
              <w:spacing w:line="240" w:lineRule="auto"/>
              <w:ind w:firstLine="964" w:firstLineChars="400"/>
              <w:textAlignment w:val="auto"/>
              <w:rPr>
                <w:rFonts w:ascii="仿宋_GB2312" w:hAnsi="仿宋" w:eastAsia="仿宋_GB2312"/>
                <w:b/>
                <w:color w:val="000000"/>
                <w:szCs w:val="21"/>
                <w:highlight w:val="none"/>
              </w:rPr>
            </w:pPr>
            <w:r>
              <w:rPr>
                <w:rFonts w:hint="eastAsia" w:ascii="仿宋_GB2312" w:hAnsi="仿宋" w:eastAsia="仿宋_GB2312"/>
                <w:b/>
                <w:color w:val="000000"/>
                <w:szCs w:val="21"/>
                <w:highlight w:val="none"/>
              </w:rPr>
              <w:t>人民币：</w:t>
            </w:r>
            <w:r>
              <w:rPr>
                <w:rFonts w:hint="eastAsia" w:ascii="仿宋_GB2312" w:hAnsi="仿宋" w:eastAsia="仿宋_GB2312"/>
                <w:b/>
                <w:color w:val="000000"/>
                <w:szCs w:val="21"/>
                <w:highlight w:val="none"/>
                <w:u w:val="single"/>
              </w:rPr>
              <w:t>（大写）             （小写）</w:t>
            </w:r>
            <w:r>
              <w:rPr>
                <w:rFonts w:hint="eastAsia" w:ascii="仿宋_GB2312" w:hAnsi="仿宋" w:eastAsia="仿宋_GB2312" w:cs="宋体"/>
                <w:b/>
                <w:bCs/>
                <w:color w:val="000000"/>
                <w:kern w:val="0"/>
                <w:szCs w:val="21"/>
                <w:highlight w:val="none"/>
                <w:u w:val="single"/>
                <w:lang w:bidi="ar"/>
              </w:rPr>
              <w:t xml:space="preserve">      </w:t>
            </w:r>
            <w:r>
              <w:rPr>
                <w:rFonts w:hint="eastAsia" w:ascii="仿宋_GB2312" w:hAnsi="仿宋" w:eastAsia="仿宋_GB2312"/>
                <w:b/>
                <w:color w:val="000000"/>
                <w:szCs w:val="21"/>
                <w:highlight w:val="none"/>
                <w:u w:val="single"/>
              </w:rPr>
              <w:t>元</w:t>
            </w:r>
            <w:r>
              <w:rPr>
                <w:rFonts w:hint="eastAsia" w:ascii="仿宋_GB2312" w:hAnsi="仿宋" w:eastAsia="仿宋_GB2312"/>
                <w:b/>
                <w:color w:val="000000"/>
                <w:szCs w:val="21"/>
                <w:highlight w:val="none"/>
              </w:rPr>
              <w:t xml:space="preserve">    </w:t>
            </w:r>
          </w:p>
        </w:tc>
      </w:tr>
      <w:tr w14:paraId="5F96FEFD">
        <w:tblPrEx>
          <w:tblCellMar>
            <w:top w:w="0" w:type="dxa"/>
            <w:left w:w="28" w:type="dxa"/>
            <w:bottom w:w="0" w:type="dxa"/>
            <w:right w:w="28" w:type="dxa"/>
          </w:tblCellMar>
        </w:tblPrEx>
        <w:trPr>
          <w:trHeight w:val="478" w:hRule="atLeast"/>
        </w:trPr>
        <w:tc>
          <w:tcPr>
            <w:tcW w:w="9438" w:type="dxa"/>
            <w:gridSpan w:val="8"/>
            <w:tcBorders>
              <w:top w:val="single" w:color="auto" w:sz="4" w:space="0"/>
              <w:left w:val="single" w:color="auto" w:sz="6" w:space="0"/>
              <w:bottom w:val="single" w:color="auto" w:sz="4" w:space="0"/>
              <w:right w:val="single" w:color="auto" w:sz="4" w:space="0"/>
            </w:tcBorders>
            <w:noWrap w:val="0"/>
            <w:vAlign w:val="center"/>
          </w:tcPr>
          <w:p w14:paraId="64826067">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仿宋_GB2312" w:hAnsi="仿宋" w:eastAsia="仿宋_GB2312"/>
                <w:b/>
                <w:color w:val="000000"/>
                <w:szCs w:val="21"/>
                <w:highlight w:val="none"/>
              </w:rPr>
            </w:pPr>
            <w:r>
              <w:rPr>
                <w:rFonts w:hint="eastAsia" w:ascii="仿宋_GB2312" w:hAnsi="仿宋" w:eastAsia="仿宋_GB2312"/>
                <w:color w:val="000000"/>
                <w:szCs w:val="21"/>
                <w:highlight w:val="none"/>
              </w:rPr>
              <w:t>注：设备配置清单详见《附表一》</w:t>
            </w:r>
          </w:p>
        </w:tc>
      </w:tr>
    </w:tbl>
    <w:p w14:paraId="5E0A9ED3">
      <w:pPr>
        <w:tabs>
          <w:tab w:val="left" w:pos="480"/>
        </w:tabs>
        <w:snapToGrid w:val="0"/>
        <w:spacing w:line="360" w:lineRule="auto"/>
        <w:rPr>
          <w:rFonts w:ascii="仿宋_GB2312" w:hAnsi="仿宋" w:eastAsia="仿宋_GB2312"/>
          <w:color w:val="000000"/>
          <w:sz w:val="24"/>
          <w:highlight w:val="none"/>
        </w:rPr>
      </w:pPr>
      <w:r>
        <w:rPr>
          <w:rFonts w:hint="eastAsia" w:ascii="仿宋_GB2312" w:hAnsi="仿宋" w:eastAsia="仿宋_GB2312"/>
          <w:b/>
          <w:color w:val="000000"/>
          <w:sz w:val="24"/>
          <w:highlight w:val="none"/>
        </w:rPr>
        <w:t>二、合同价款</w:t>
      </w:r>
    </w:p>
    <w:p w14:paraId="26C921BD">
      <w:pPr>
        <w:numPr>
          <w:ilvl w:val="0"/>
          <w:numId w:val="1"/>
        </w:numPr>
        <w:tabs>
          <w:tab w:val="left" w:pos="480"/>
        </w:tabs>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合同总价款为人民币（大写）</w:t>
      </w:r>
      <w:r>
        <w:rPr>
          <w:rFonts w:hint="eastAsia" w:ascii="仿宋_GB2312" w:hAnsi="仿宋" w:eastAsia="仿宋_GB2312"/>
          <w:color w:val="000000"/>
          <w:sz w:val="24"/>
          <w:highlight w:val="none"/>
          <w:u w:val="single"/>
        </w:rPr>
        <w:t xml:space="preserve">        </w:t>
      </w:r>
      <w:r>
        <w:rPr>
          <w:rFonts w:hint="eastAsia" w:ascii="仿宋_GB2312" w:hAnsi="仿宋" w:eastAsia="仿宋_GB2312"/>
          <w:b/>
          <w:color w:val="000000"/>
          <w:sz w:val="24"/>
          <w:highlight w:val="none"/>
          <w:u w:val="single"/>
        </w:rPr>
        <w:t>元整（￥     元）</w:t>
      </w:r>
      <w:r>
        <w:rPr>
          <w:rFonts w:hint="eastAsia" w:ascii="仿宋_GB2312" w:hAnsi="仿宋" w:eastAsia="仿宋_GB2312"/>
          <w:color w:val="000000"/>
          <w:sz w:val="24"/>
          <w:highlight w:val="none"/>
        </w:rPr>
        <w:t>。</w:t>
      </w:r>
    </w:p>
    <w:p w14:paraId="0FEF8E1C">
      <w:pPr>
        <w:numPr>
          <w:ilvl w:val="0"/>
          <w:numId w:val="1"/>
        </w:numPr>
        <w:tabs>
          <w:tab w:val="left" w:pos="480"/>
        </w:tabs>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合同总</w:t>
      </w:r>
      <w:r>
        <w:rPr>
          <w:rFonts w:hint="eastAsia" w:ascii="仿宋_GB2312" w:hAnsi="仿宋" w:eastAsia="仿宋_GB2312"/>
          <w:color w:val="000000"/>
          <w:sz w:val="24"/>
          <w:highlight w:val="none"/>
          <w:lang w:eastAsia="zh-CN"/>
        </w:rPr>
        <w:t>价</w:t>
      </w:r>
      <w:r>
        <w:rPr>
          <w:rFonts w:hint="eastAsia" w:ascii="仿宋_GB2312" w:hAnsi="仿宋" w:eastAsia="仿宋_GB2312"/>
          <w:color w:val="000000"/>
          <w:sz w:val="24"/>
          <w:highlight w:val="none"/>
        </w:rPr>
        <w:t>包括：货物费、运输费（含保险费）、安装调试费、检测验收费、培训费</w:t>
      </w:r>
      <w:r>
        <w:rPr>
          <w:rFonts w:hint="eastAsia" w:ascii="仿宋_GB2312" w:hAnsi="仿宋" w:eastAsia="仿宋_GB2312"/>
          <w:color w:val="000000"/>
          <w:sz w:val="24"/>
          <w:highlight w:val="none"/>
          <w:lang w:eastAsia="zh-CN"/>
        </w:rPr>
        <w:t>、税费等乙方履行合同义务所需的一切费用</w:t>
      </w:r>
      <w:r>
        <w:rPr>
          <w:rFonts w:hint="eastAsia" w:ascii="仿宋_GB2312" w:hAnsi="仿宋" w:eastAsia="仿宋_GB2312"/>
          <w:color w:val="000000"/>
          <w:sz w:val="24"/>
          <w:highlight w:val="none"/>
        </w:rPr>
        <w:t>。</w:t>
      </w:r>
    </w:p>
    <w:p w14:paraId="429B299F">
      <w:pPr>
        <w:numPr>
          <w:ilvl w:val="0"/>
          <w:numId w:val="1"/>
        </w:numPr>
        <w:tabs>
          <w:tab w:val="left" w:pos="480"/>
        </w:tabs>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合同</w:t>
      </w:r>
      <w:r>
        <w:rPr>
          <w:rFonts w:hint="eastAsia" w:ascii="仿宋_GB2312" w:hAnsi="仿宋" w:eastAsia="仿宋_GB2312"/>
          <w:color w:val="000000"/>
          <w:sz w:val="24"/>
          <w:highlight w:val="none"/>
          <w:lang w:eastAsia="zh-CN"/>
        </w:rPr>
        <w:t>单</w:t>
      </w:r>
      <w:r>
        <w:rPr>
          <w:rFonts w:hint="eastAsia" w:ascii="仿宋_GB2312" w:hAnsi="仿宋" w:eastAsia="仿宋_GB2312"/>
          <w:color w:val="000000"/>
          <w:sz w:val="24"/>
          <w:highlight w:val="none"/>
        </w:rPr>
        <w:t>价一次性包死，不受市场价格变化因素的影响</w:t>
      </w:r>
      <w:r>
        <w:rPr>
          <w:rFonts w:hint="eastAsia" w:ascii="仿宋_GB2312" w:hAnsi="仿宋" w:eastAsia="仿宋_GB2312"/>
          <w:color w:val="000000"/>
          <w:sz w:val="24"/>
          <w:highlight w:val="none"/>
          <w:lang w:eastAsia="zh-CN"/>
        </w:rPr>
        <w:t>（附采购清单）</w:t>
      </w:r>
      <w:r>
        <w:rPr>
          <w:rFonts w:hint="eastAsia" w:ascii="仿宋_GB2312" w:hAnsi="仿宋" w:eastAsia="仿宋_GB2312"/>
          <w:color w:val="000000"/>
          <w:sz w:val="24"/>
          <w:highlight w:val="none"/>
        </w:rPr>
        <w:t>。</w:t>
      </w:r>
    </w:p>
    <w:p w14:paraId="557D7F58">
      <w:pPr>
        <w:numPr>
          <w:ilvl w:val="0"/>
          <w:numId w:val="1"/>
        </w:numPr>
        <w:tabs>
          <w:tab w:val="left" w:pos="480"/>
        </w:tabs>
        <w:snapToGrid w:val="0"/>
        <w:spacing w:line="360" w:lineRule="auto"/>
        <w:rPr>
          <w:rFonts w:ascii="仿宋_GB2312" w:hAnsi="仿宋" w:eastAsia="仿宋_GB2312"/>
          <w:color w:val="000000"/>
          <w:sz w:val="24"/>
          <w:highlight w:val="none"/>
        </w:rPr>
      </w:pPr>
      <w:r>
        <w:rPr>
          <w:rFonts w:hint="eastAsia" w:ascii="仿宋_GB2312" w:hAnsi="仿宋" w:eastAsia="仿宋_GB2312"/>
          <w:color w:val="000000"/>
          <w:sz w:val="24"/>
          <w:highlight w:val="none"/>
        </w:rPr>
        <w:t>甲方不再另付任何费用。</w:t>
      </w:r>
    </w:p>
    <w:p w14:paraId="02D1A3E7">
      <w:pPr>
        <w:numPr>
          <w:ilvl w:val="0"/>
          <w:numId w:val="0"/>
        </w:numPr>
        <w:tabs>
          <w:tab w:val="left" w:pos="480"/>
        </w:tabs>
        <w:snapToGrid w:val="0"/>
        <w:spacing w:line="360" w:lineRule="auto"/>
        <w:ind w:left="450" w:leftChars="0" w:hanging="450" w:firstLineChars="0"/>
        <w:rPr>
          <w:rFonts w:ascii="仿宋_GB2312" w:hAnsi="仿宋" w:eastAsia="仿宋_GB2312"/>
          <w:b/>
          <w:color w:val="000000"/>
          <w:sz w:val="24"/>
          <w:highlight w:val="none"/>
        </w:rPr>
      </w:pPr>
      <w:r>
        <w:rPr>
          <w:rFonts w:hint="default" w:ascii="仿宋_GB2312" w:hAnsi="仿宋" w:eastAsia="仿宋_GB2312" w:cs="Times New Roman"/>
          <w:b/>
          <w:color w:val="000000"/>
          <w:sz w:val="24"/>
          <w:lang w:val="en-US" w:eastAsia="zh-CN" w:bidi="ar-SA"/>
        </w:rPr>
        <w:t>三、</w:t>
      </w:r>
      <w:r>
        <w:rPr>
          <w:rFonts w:hint="eastAsia" w:ascii="仿宋_GB2312" w:hAnsi="仿宋" w:eastAsia="仿宋_GB2312"/>
          <w:b/>
          <w:color w:val="000000"/>
          <w:sz w:val="24"/>
          <w:highlight w:val="none"/>
        </w:rPr>
        <w:t>款项结算</w:t>
      </w:r>
    </w:p>
    <w:p w14:paraId="101A0174">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(一)所有货物到达甲方指定地点，安装、调试完毕并验收合格后，乙方出具全额发票。</w:t>
      </w:r>
      <w:r>
        <w:rPr>
          <w:rFonts w:hint="eastAsia" w:ascii="仿宋_GB2312" w:hAnsi="仿宋" w:eastAsia="仿宋_GB2312"/>
          <w:color w:val="000000"/>
          <w:sz w:val="24"/>
          <w:highlight w:val="none"/>
          <w:lang w:eastAsia="zh-CN"/>
        </w:rPr>
        <w:t>甲方</w:t>
      </w:r>
      <w:r>
        <w:rPr>
          <w:rFonts w:hint="eastAsia" w:ascii="仿宋_GB2312" w:hAnsi="仿宋" w:eastAsia="仿宋_GB2312"/>
          <w:color w:val="000000"/>
          <w:sz w:val="24"/>
          <w:highlight w:val="none"/>
        </w:rPr>
        <w:t>收到发票之日起，14个日历日内支付合同总价款的</w:t>
      </w:r>
      <w:r>
        <w:rPr>
          <w:rFonts w:hint="eastAsia" w:ascii="仿宋_GB2312" w:hAnsi="仿宋" w:eastAsia="仿宋_GB2312"/>
          <w:color w:val="000000"/>
          <w:sz w:val="24"/>
          <w:highlight w:val="none"/>
          <w:lang w:val="en-US" w:eastAsia="zh-CN"/>
        </w:rPr>
        <w:t>100</w:t>
      </w:r>
      <w:r>
        <w:rPr>
          <w:rFonts w:hint="eastAsia" w:ascii="仿宋_GB2312" w:hAnsi="仿宋" w:eastAsia="仿宋_GB2312"/>
          <w:color w:val="000000"/>
          <w:sz w:val="24"/>
          <w:highlight w:val="none"/>
        </w:rPr>
        <w:t>％。</w:t>
      </w:r>
    </w:p>
    <w:p w14:paraId="7E93EEBE">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（二）支付方式：银行转账。</w:t>
      </w:r>
    </w:p>
    <w:p w14:paraId="4F7FF216">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（三）结算方式：乙方持验收书，发票（按合同总价开采购人），中标通知书、供货合同，与甲方结算。</w:t>
      </w:r>
    </w:p>
    <w:p w14:paraId="7CC10971">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（四）履约保证金</w:t>
      </w:r>
    </w:p>
    <w:p w14:paraId="185FBBF8">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1</w:t>
      </w:r>
      <w:r>
        <w:rPr>
          <w:rFonts w:hint="eastAsia" w:ascii="仿宋_GB2312" w:hAnsi="仿宋" w:eastAsia="仿宋_GB2312"/>
          <w:color w:val="000000"/>
          <w:sz w:val="24"/>
          <w:highlight w:val="none"/>
          <w:lang w:val="en-US" w:eastAsia="zh-CN"/>
        </w:rPr>
        <w:t>.</w:t>
      </w:r>
      <w:r>
        <w:rPr>
          <w:rFonts w:hint="eastAsia" w:ascii="仿宋_GB2312" w:hAnsi="仿宋" w:eastAsia="仿宋_GB2312"/>
          <w:color w:val="000000"/>
          <w:sz w:val="24"/>
          <w:highlight w:val="none"/>
        </w:rPr>
        <w:t>履约保证金的交付和退还：</w:t>
      </w:r>
    </w:p>
    <w:p w14:paraId="08EED77B">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rPr>
        <w:t>乙方应当在合同签订后5个工作日内，按照中标合同总金额的5%作为履约保证金交付给甲方。</w:t>
      </w:r>
    </w:p>
    <w:p w14:paraId="5072EA17">
      <w:pPr>
        <w:tabs>
          <w:tab w:val="left" w:pos="480"/>
        </w:tabs>
        <w:snapToGrid w:val="0"/>
        <w:spacing w:line="360" w:lineRule="auto"/>
        <w:ind w:firstLine="470" w:firstLineChars="196"/>
        <w:rPr>
          <w:rFonts w:hint="eastAsia" w:ascii="仿宋_GB2312" w:hAnsi="仿宋" w:eastAsia="仿宋_GB2312"/>
          <w:color w:val="000000"/>
          <w:sz w:val="24"/>
          <w:highlight w:val="none"/>
        </w:rPr>
      </w:pPr>
      <w:r>
        <w:rPr>
          <w:rFonts w:hint="eastAsia" w:ascii="仿宋_GB2312" w:hAnsi="仿宋" w:eastAsia="仿宋_GB2312"/>
          <w:color w:val="000000"/>
          <w:sz w:val="24"/>
          <w:highlight w:val="none"/>
          <w:lang w:val="en-US" w:eastAsia="zh-CN"/>
        </w:rPr>
        <w:t>甲方</w:t>
      </w:r>
      <w:r>
        <w:rPr>
          <w:rFonts w:hint="eastAsia" w:ascii="仿宋_GB2312" w:hAnsi="仿宋" w:eastAsia="仿宋_GB2312"/>
          <w:color w:val="000000"/>
          <w:sz w:val="24"/>
          <w:highlight w:val="none"/>
        </w:rPr>
        <w:t>在质保期限届满后30日内，</w:t>
      </w:r>
      <w:r>
        <w:rPr>
          <w:rFonts w:hint="eastAsia" w:ascii="仿宋_GB2312" w:hAnsi="仿宋" w:eastAsia="仿宋_GB2312"/>
          <w:color w:val="000000"/>
          <w:sz w:val="24"/>
          <w:highlight w:val="none"/>
          <w:lang w:eastAsia="zh-CN"/>
        </w:rPr>
        <w:t>无质量、服务问题</w:t>
      </w:r>
      <w:r>
        <w:rPr>
          <w:rFonts w:hint="eastAsia" w:ascii="仿宋_GB2312" w:hAnsi="仿宋" w:eastAsia="仿宋_GB2312"/>
          <w:color w:val="000000"/>
          <w:sz w:val="24"/>
          <w:highlight w:val="none"/>
        </w:rPr>
        <w:t>扣除相关款项后（若有），</w:t>
      </w:r>
      <w:r>
        <w:rPr>
          <w:rFonts w:hint="eastAsia" w:ascii="仿宋_GB2312" w:hAnsi="仿宋" w:eastAsia="仿宋_GB2312"/>
          <w:color w:val="000000"/>
          <w:sz w:val="24"/>
          <w:highlight w:val="none"/>
          <w:lang w:val="en-US" w:eastAsia="zh-CN"/>
        </w:rPr>
        <w:t>向乙方</w:t>
      </w:r>
      <w:r>
        <w:rPr>
          <w:rFonts w:hint="eastAsia" w:ascii="仿宋_GB2312" w:hAnsi="仿宋" w:eastAsia="仿宋_GB2312"/>
          <w:color w:val="000000"/>
          <w:sz w:val="24"/>
          <w:highlight w:val="none"/>
        </w:rPr>
        <w:t>退还剩余部分履约保证金（无息）。</w:t>
      </w:r>
    </w:p>
    <w:p w14:paraId="65078571">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四、双方权利与义务</w:t>
      </w:r>
    </w:p>
    <w:p w14:paraId="69C651DA">
      <w:pPr>
        <w:keepNext w:val="0"/>
        <w:keepLines w:val="0"/>
        <w:pageBreakBefore w:val="0"/>
        <w:widowControl w:val="0"/>
        <w:numPr>
          <w:ilvl w:val="0"/>
          <w:numId w:val="2"/>
        </w:numPr>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甲方的权利和义务：甲方有权利要求乙方保质保量按时将货物运送到甲方指定地点。</w:t>
      </w:r>
    </w:p>
    <w:p w14:paraId="1589E5FE">
      <w:pPr>
        <w:keepNext w:val="0"/>
        <w:keepLines w:val="0"/>
        <w:pageBreakBefore w:val="0"/>
        <w:widowControl w:val="0"/>
        <w:numPr>
          <w:ilvl w:val="0"/>
          <w:numId w:val="2"/>
        </w:numPr>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乙方的权利和义务：乙方有义务根据合同要求保质保量供货。</w:t>
      </w:r>
    </w:p>
    <w:p w14:paraId="7A4DB8E0">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color w:val="000000"/>
          <w:sz w:val="24"/>
          <w:highlight w:val="none"/>
        </w:rPr>
      </w:pPr>
      <w:r>
        <w:rPr>
          <w:rFonts w:hint="eastAsia" w:ascii="仿宋" w:hAnsi="仿宋" w:eastAsia="仿宋" w:cs="仿宋"/>
          <w:b/>
          <w:color w:val="000000"/>
          <w:sz w:val="24"/>
          <w:highlight w:val="none"/>
        </w:rPr>
        <w:t>五、交货条件：</w:t>
      </w:r>
    </w:p>
    <w:p w14:paraId="6952E31C">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（一）交货地点：甲方指定地点。</w:t>
      </w:r>
    </w:p>
    <w:p w14:paraId="1B6A612D">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（二）交货期：自合同签订之日起，</w:t>
      </w:r>
      <w:r>
        <w:rPr>
          <w:rFonts w:hint="eastAsia" w:ascii="仿宋" w:hAnsi="仿宋" w:eastAsia="仿宋" w:cs="仿宋"/>
          <w:b/>
          <w:bCs/>
          <w:color w:val="000000"/>
          <w:sz w:val="24"/>
          <w:highlight w:val="none"/>
          <w:u w:val="single"/>
          <w:lang w:val="en-US" w:eastAsia="zh-CN"/>
        </w:rPr>
        <w:t xml:space="preserve">   </w:t>
      </w:r>
      <w:r>
        <w:rPr>
          <w:rFonts w:hint="eastAsia" w:ascii="仿宋" w:hAnsi="仿宋" w:eastAsia="仿宋" w:cs="仿宋"/>
          <w:b/>
          <w:bCs/>
          <w:color w:val="000000"/>
          <w:sz w:val="24"/>
          <w:highlight w:val="none"/>
          <w:lang w:val="en-US" w:eastAsia="zh-CN"/>
        </w:rPr>
        <w:t>个工作日内</w:t>
      </w:r>
      <w:r>
        <w:rPr>
          <w:rFonts w:hint="eastAsia" w:ascii="仿宋" w:hAnsi="仿宋" w:eastAsia="仿宋" w:cs="仿宋"/>
          <w:color w:val="000000"/>
          <w:sz w:val="24"/>
          <w:highlight w:val="none"/>
        </w:rPr>
        <w:t>完成货物的安装调试并正常运行。</w:t>
      </w:r>
    </w:p>
    <w:p w14:paraId="617BFA26">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六、 运输</w:t>
      </w:r>
    </w:p>
    <w:p w14:paraId="6864C35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（一）运输由乙方负责，运杂费已包含在合同总价内，包括从货物供应地点所含的运输费、装卸费、仓储费、保险费等。</w:t>
      </w:r>
    </w:p>
    <w:p w14:paraId="62AD18C6">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（二）运输方式由乙方自行选择，但必须保证按期交货。</w:t>
      </w:r>
    </w:p>
    <w:p w14:paraId="399C302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包装要求</w:t>
      </w:r>
    </w:p>
    <w:p w14:paraId="79E3138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（一）除合同另有规定外，乙方提供的全部货物，均应按标准保护措施进行包装。这类包装应适应于远距离运输、防潮、防震、防锈和防野蛮装卸，以确保货物安全无损运抵项目现场。</w:t>
      </w:r>
    </w:p>
    <w:p w14:paraId="5A4F7DF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（二）每一个包装箱内应附一份详细装箱单和质量合格证。</w:t>
      </w:r>
    </w:p>
    <w:p w14:paraId="772D7EE8">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color w:val="000000"/>
          <w:sz w:val="24"/>
          <w:highlight w:val="none"/>
        </w:rPr>
      </w:pPr>
      <w:r>
        <w:rPr>
          <w:rFonts w:hint="eastAsia" w:ascii="仿宋" w:hAnsi="仿宋" w:eastAsia="仿宋" w:cs="仿宋"/>
          <w:b/>
          <w:color w:val="000000"/>
          <w:sz w:val="24"/>
          <w:highlight w:val="none"/>
        </w:rPr>
        <w:t>装运条件</w:t>
      </w:r>
    </w:p>
    <w:p w14:paraId="3BD01A1F">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（一）乙方负责安排货物到达交货地点的一切运输，并承担运输费用。</w:t>
      </w:r>
    </w:p>
    <w:p w14:paraId="7C0B6C41">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（二）乙方装运的货物不应超过合同规定的数量或重量。否则，乙方应对因超数量或重量而产生的一切后果负责。</w:t>
      </w:r>
    </w:p>
    <w:p w14:paraId="79BD9B6D">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保险</w:t>
      </w:r>
    </w:p>
    <w:p w14:paraId="625ED0C6">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保险范围应包括乙方装运的全部货物；由乙方办理货物在运抵目的港/项目现场途中的保险,保险应以人民币按照发票</w:t>
      </w:r>
      <w:r>
        <w:rPr>
          <w:rFonts w:hint="eastAsia" w:ascii="仿宋" w:hAnsi="仿宋" w:eastAsia="仿宋" w:cs="仿宋"/>
          <w:color w:val="000000"/>
          <w:sz w:val="24"/>
          <w:highlight w:val="none"/>
          <w:lang w:eastAsia="zh-CN"/>
        </w:rPr>
        <w:t>总</w:t>
      </w:r>
      <w:r>
        <w:rPr>
          <w:rFonts w:hint="eastAsia" w:ascii="仿宋" w:hAnsi="仿宋" w:eastAsia="仿宋" w:cs="仿宋"/>
          <w:color w:val="000000"/>
          <w:sz w:val="24"/>
          <w:highlight w:val="none"/>
        </w:rPr>
        <w:t>金额的110%办理“一切险”。</w:t>
      </w:r>
    </w:p>
    <w:p w14:paraId="7DFF3E8C">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七、质量保证及索赔</w:t>
      </w:r>
    </w:p>
    <w:p w14:paraId="6AD8E219">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乙方所供货物必须执行下列条款：</w:t>
      </w:r>
    </w:p>
    <w:p w14:paraId="64A3F89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保证技术指标先进、质量性能可靠、进货渠道正常，配置合理，全面满足谈判要求。货物的质量技术标准按国家法律法规规定的标准，招标文件和乙方投标文件所需求的技术标准执行。进口产品保证是原产地生产的原装产品，否则按退货处理。</w:t>
      </w:r>
    </w:p>
    <w:p w14:paraId="2C8AB094">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（二）应提供设备的技术白皮书，投标响应及参数数据应和设备的技术白皮书一致，在验收时发现不一致，合同自动终止，并追究其相应的法律责任。</w:t>
      </w:r>
    </w:p>
    <w:p w14:paraId="2C7AC88E">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（三）符合国家有关规范要求，确保达到最佳运行状态。</w:t>
      </w:r>
    </w:p>
    <w:p w14:paraId="5DF44494">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（四）具有良好的外观，适合安装场所的使用。</w:t>
      </w:r>
    </w:p>
    <w:p w14:paraId="4D0D1BFE">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（五）自安装、调试正常运行并验收合格之日起：</w:t>
      </w:r>
    </w:p>
    <w:p w14:paraId="61677CE9">
      <w:pPr>
        <w:pStyle w:val="10"/>
        <w:keepNext w:val="0"/>
        <w:keepLines w:val="0"/>
        <w:pageBreakBefore w:val="0"/>
        <w:widowControl w:val="0"/>
        <w:kinsoku/>
        <w:wordWrap/>
        <w:overflowPunct/>
        <w:topLinePunct w:val="0"/>
        <w:autoSpaceDE/>
        <w:autoSpaceDN/>
        <w:bidi w:val="0"/>
        <w:adjustRightInd/>
        <w:spacing w:line="360" w:lineRule="auto"/>
        <w:ind w:left="0" w:leftChars="0" w:firstLine="480" w:firstLineChars="200"/>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highlight w:val="none"/>
        </w:rPr>
        <w:t>1、</w:t>
      </w:r>
      <w:r>
        <w:rPr>
          <w:rFonts w:hint="eastAsia" w:ascii="仿宋" w:hAnsi="仿宋" w:eastAsia="仿宋" w:cs="仿宋"/>
          <w:color w:val="000000"/>
          <w:sz w:val="24"/>
          <w:highlight w:val="none"/>
          <w:lang w:eastAsia="zh-CN"/>
        </w:rPr>
        <w:t>整机质保</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eastAsia="zh-CN"/>
        </w:rPr>
        <w:t>年。</w:t>
      </w:r>
      <w:r>
        <w:rPr>
          <w:rFonts w:hint="eastAsia" w:ascii="仿宋" w:hAnsi="仿宋" w:eastAsia="仿宋" w:cs="仿宋"/>
          <w:color w:val="000000"/>
          <w:sz w:val="24"/>
          <w:szCs w:val="24"/>
          <w:highlight w:val="none"/>
        </w:rPr>
        <w:t>合同签订时，</w:t>
      </w:r>
      <w:r>
        <w:rPr>
          <w:rFonts w:hint="eastAsia" w:ascii="仿宋" w:hAnsi="仿宋" w:eastAsia="仿宋" w:cs="仿宋"/>
          <w:color w:val="000000"/>
          <w:sz w:val="24"/>
          <w:szCs w:val="24"/>
          <w:highlight w:val="none"/>
          <w:lang w:eastAsia="zh-CN"/>
        </w:rPr>
        <w:t>乙方</w:t>
      </w:r>
      <w:r>
        <w:rPr>
          <w:rFonts w:hint="eastAsia" w:ascii="仿宋" w:hAnsi="仿宋" w:eastAsia="仿宋" w:cs="仿宋"/>
          <w:color w:val="000000"/>
          <w:sz w:val="24"/>
          <w:szCs w:val="24"/>
          <w:highlight w:val="none"/>
        </w:rPr>
        <w:t>需向</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提供供应商与原厂签订的</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szCs w:val="24"/>
          <w:highlight w:val="none"/>
        </w:rPr>
        <w:t>年的质保合同，内容需明确已响应的质保内容和拟履约的内容，并明确质保期内出现质量问题，由原厂负责处理。质保期内7*24小时热线电话技术支持，出现故障，</w:t>
      </w:r>
      <w:r>
        <w:rPr>
          <w:rFonts w:hint="eastAsia" w:ascii="仿宋" w:hAnsi="仿宋" w:eastAsia="仿宋" w:cs="仿宋"/>
          <w:b/>
          <w:bCs/>
          <w:color w:val="000000"/>
          <w:sz w:val="24"/>
          <w:highlight w:val="none"/>
          <w:lang w:val="en-US" w:eastAsia="zh-CN"/>
        </w:rPr>
        <w:t>2</w:t>
      </w:r>
      <w:r>
        <w:rPr>
          <w:rFonts w:hint="eastAsia" w:ascii="仿宋" w:hAnsi="仿宋" w:eastAsia="仿宋" w:cs="仿宋"/>
          <w:color w:val="000000"/>
          <w:sz w:val="24"/>
          <w:szCs w:val="24"/>
          <w:highlight w:val="none"/>
        </w:rPr>
        <w:t>小时内电话响应，</w:t>
      </w:r>
      <w:r>
        <w:rPr>
          <w:rFonts w:hint="eastAsia" w:ascii="仿宋" w:hAnsi="仿宋" w:eastAsia="仿宋" w:cs="仿宋"/>
          <w:b/>
          <w:bCs/>
          <w:color w:val="000000"/>
          <w:sz w:val="24"/>
          <w:highlight w:val="none"/>
          <w:lang w:val="en-US" w:eastAsia="zh-CN"/>
        </w:rPr>
        <w:t>4</w:t>
      </w:r>
      <w:r>
        <w:rPr>
          <w:rFonts w:hint="eastAsia" w:ascii="仿宋" w:hAnsi="仿宋" w:eastAsia="仿宋" w:cs="仿宋"/>
          <w:color w:val="000000"/>
          <w:sz w:val="24"/>
          <w:szCs w:val="24"/>
          <w:highlight w:val="none"/>
        </w:rPr>
        <w:t>小时内现场响应。</w:t>
      </w:r>
      <w:r>
        <w:rPr>
          <w:rFonts w:hint="eastAsia" w:ascii="仿宋" w:hAnsi="仿宋" w:eastAsia="仿宋" w:cs="仿宋"/>
          <w:color w:val="000000"/>
          <w:sz w:val="24"/>
          <w:szCs w:val="24"/>
          <w:highlight w:val="none"/>
          <w:lang w:val="en-US" w:eastAsia="zh-CN"/>
        </w:rPr>
        <w:t>一</w:t>
      </w:r>
      <w:r>
        <w:rPr>
          <w:rFonts w:hint="eastAsia" w:ascii="仿宋" w:hAnsi="仿宋" w:eastAsia="仿宋" w:cs="仿宋"/>
          <w:color w:val="000000"/>
          <w:sz w:val="24"/>
          <w:szCs w:val="24"/>
          <w:highlight w:val="none"/>
        </w:rPr>
        <w:t>般故障处理时限不超过 24 小时修复。重大故障处理时限不超过 48 小时修复，供应商应在</w:t>
      </w:r>
      <w:r>
        <w:rPr>
          <w:rFonts w:hint="eastAsia" w:ascii="仿宋" w:hAnsi="仿宋" w:eastAsia="仿宋" w:cs="仿宋"/>
          <w:b/>
          <w:bCs/>
          <w:color w:val="000000"/>
          <w:sz w:val="24"/>
          <w:highlight w:val="none"/>
          <w:lang w:val="en-US" w:eastAsia="zh-CN"/>
        </w:rPr>
        <w:t>72</w:t>
      </w:r>
      <w:r>
        <w:rPr>
          <w:rFonts w:hint="eastAsia" w:ascii="仿宋" w:hAnsi="仿宋" w:eastAsia="仿宋" w:cs="仿宋"/>
          <w:color w:val="000000"/>
          <w:sz w:val="24"/>
          <w:szCs w:val="24"/>
          <w:highlight w:val="none"/>
        </w:rPr>
        <w:t>小时内免费提供不低于现有规格型号的备用机供医院使用，直至问题故障处理完毕。质保期内如同一主要部件两次以上质量问题经过维修后仍无法正常使用的，必须更换同型号、同规格的产品。质保期外，终身维护，如出现故障，仅收取维修部件成本费（不收取人工费、差旅费等，备品备件应以低于市场价的优惠价格提供，备件质保期≥12个月）。</w:t>
      </w:r>
    </w:p>
    <w:p w14:paraId="58D5FFA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2、自安装、调试正常运行并验收合格之日起，</w:t>
      </w:r>
      <w:r>
        <w:rPr>
          <w:rFonts w:hint="eastAsia" w:ascii="仿宋" w:hAnsi="仿宋" w:eastAsia="仿宋" w:cs="仿宋"/>
          <w:b/>
          <w:bCs/>
          <w:color w:val="000000"/>
          <w:sz w:val="24"/>
          <w:highlight w:val="none"/>
          <w:lang w:val="zh-CN"/>
        </w:rPr>
        <w:t>XX</w:t>
      </w:r>
      <w:r>
        <w:rPr>
          <w:rFonts w:hint="eastAsia" w:ascii="仿宋" w:hAnsi="仿宋" w:eastAsia="仿宋" w:cs="仿宋"/>
          <w:color w:val="000000"/>
          <w:sz w:val="24"/>
          <w:highlight w:val="none"/>
        </w:rPr>
        <w:t>个工作日内，如出现质量问题，甲方有权要求乙方换货或退货，乙方无条件接受，如不换货、退货的，甲方有权直接退回乙方，并自行采购，并要求其承担</w:t>
      </w:r>
      <w:r>
        <w:rPr>
          <w:rFonts w:hint="eastAsia" w:ascii="仿宋" w:hAnsi="仿宋" w:eastAsia="仿宋" w:cs="仿宋"/>
          <w:color w:val="000000"/>
          <w:sz w:val="24"/>
          <w:highlight w:val="none"/>
          <w:lang w:eastAsia="zh-CN"/>
        </w:rPr>
        <w:t>合同总价款的</w:t>
      </w:r>
      <w:r>
        <w:rPr>
          <w:rFonts w:hint="eastAsia" w:ascii="仿宋" w:hAnsi="仿宋" w:eastAsia="仿宋" w:cs="仿宋"/>
          <w:color w:val="000000"/>
          <w:sz w:val="24"/>
          <w:highlight w:val="none"/>
        </w:rPr>
        <w:t>30%的违约金以及承担一切损失。</w:t>
      </w:r>
    </w:p>
    <w:p w14:paraId="2A3EA1E0">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3、不得对设备设置密码，</w:t>
      </w:r>
      <w:r>
        <w:rPr>
          <w:rFonts w:hint="eastAsia" w:ascii="仿宋" w:hAnsi="仿宋" w:eastAsia="仿宋" w:cs="仿宋"/>
          <w:color w:val="000000"/>
          <w:sz w:val="24"/>
          <w:highlight w:val="none"/>
          <w:lang w:eastAsia="zh-CN"/>
        </w:rPr>
        <w:t>否则</w:t>
      </w:r>
      <w:r>
        <w:rPr>
          <w:rFonts w:hint="eastAsia" w:ascii="仿宋" w:hAnsi="仿宋" w:eastAsia="仿宋" w:cs="仿宋"/>
          <w:color w:val="000000"/>
          <w:sz w:val="24"/>
          <w:highlight w:val="none"/>
        </w:rPr>
        <w:t>要求其承担</w:t>
      </w:r>
      <w:r>
        <w:rPr>
          <w:rFonts w:hint="eastAsia" w:ascii="仿宋" w:hAnsi="仿宋" w:eastAsia="仿宋" w:cs="仿宋"/>
          <w:color w:val="000000"/>
          <w:sz w:val="24"/>
          <w:highlight w:val="none"/>
          <w:lang w:eastAsia="zh-CN"/>
        </w:rPr>
        <w:t>合同总价款的</w:t>
      </w:r>
      <w:r>
        <w:rPr>
          <w:rFonts w:hint="eastAsia" w:ascii="仿宋" w:hAnsi="仿宋" w:eastAsia="仿宋" w:cs="仿宋"/>
          <w:color w:val="000000"/>
          <w:sz w:val="24"/>
          <w:highlight w:val="none"/>
        </w:rPr>
        <w:t>30%的违约金，否则承担发生的所有损失。</w:t>
      </w:r>
    </w:p>
    <w:p w14:paraId="53775D19">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4、附设备清单及质保期后保养维修报价清单。</w:t>
      </w:r>
    </w:p>
    <w:p w14:paraId="1C9EBA3E">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5、保证设备连续正常运行五年，所需各种易损件、备品备件和专用维修工具等所产生费用由乙方自行承担，并免费安装、调试。</w:t>
      </w:r>
    </w:p>
    <w:p w14:paraId="2FB3260C">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6、免费提供软件升级和更新。</w:t>
      </w:r>
    </w:p>
    <w:p w14:paraId="6CDC340E">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六）乙方保证所供货物是全新的、出厂≤12个月，未使用过的，并完全符合合同规定的质量、规格、技术指标(包括合同附件)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并免费进行退、换、修等直至故障消除。乙方承诺不因质保期届满而拒绝处理。</w:t>
      </w:r>
    </w:p>
    <w:p w14:paraId="22FF3098">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（七）在质保期内，如果货物的质量、规格、技术指标等与合同有任何一项不符，甲方应尽快以书面形式向乙方提出索赔，乙方应及时响应并解决。</w:t>
      </w:r>
    </w:p>
    <w:p w14:paraId="72455051">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八、售后服务</w:t>
      </w:r>
    </w:p>
    <w:p w14:paraId="7D78C32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乙方所供货物提供以下售后服务：</w:t>
      </w:r>
    </w:p>
    <w:p w14:paraId="60F90BF6">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质保期内：</w:t>
      </w:r>
    </w:p>
    <w:p w14:paraId="202D636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1、质保期为</w:t>
      </w:r>
      <w:r>
        <w:rPr>
          <w:rFonts w:hint="eastAsia" w:ascii="仿宋" w:hAnsi="仿宋" w:eastAsia="仿宋" w:cs="仿宋"/>
          <w:color w:val="000000"/>
          <w:sz w:val="24"/>
          <w:highlight w:val="none"/>
          <w:u w:val="single"/>
          <w:lang w:val="en-US" w:eastAsia="zh-CN"/>
        </w:rPr>
        <w:t xml:space="preserve">     年</w:t>
      </w:r>
      <w:r>
        <w:rPr>
          <w:rFonts w:hint="eastAsia" w:ascii="仿宋" w:hAnsi="仿宋" w:eastAsia="仿宋" w:cs="仿宋"/>
          <w:color w:val="000000"/>
          <w:sz w:val="24"/>
          <w:highlight w:val="none"/>
        </w:rPr>
        <w:t>；</w:t>
      </w:r>
    </w:p>
    <w:p w14:paraId="66A80DD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2、发生质量（包括软件部分）问题，接到甲方通知后，应于当日派出专业的维修人员到现场进行检测维修。发生的全部费用由乙方承担，若需送回生产厂，乙方承担往返费用；</w:t>
      </w:r>
    </w:p>
    <w:p w14:paraId="13F98242">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3、质保期内开机率全年≥95%（全年按365天计算），每停机一天，保修期自动顺延5天，以此类推。原厂工程师应每季度对设备进行维护保养一次，并提供维护保养正式报告。</w:t>
      </w:r>
    </w:p>
    <w:p w14:paraId="6163AA64">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w:t>
      </w:r>
      <w:r>
        <w:rPr>
          <w:rFonts w:hint="eastAsia" w:ascii="仿宋" w:hAnsi="仿宋" w:eastAsia="仿宋" w:cs="仿宋"/>
          <w:color w:val="000000"/>
          <w:sz w:val="24"/>
          <w:highlight w:val="none"/>
        </w:rPr>
        <w:t>、每月派技术人员到现场走访，给予检查维护；</w:t>
      </w:r>
    </w:p>
    <w:p w14:paraId="2EEF68F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5</w:t>
      </w:r>
      <w:r>
        <w:rPr>
          <w:rFonts w:hint="eastAsia" w:ascii="仿宋" w:hAnsi="仿宋" w:eastAsia="仿宋" w:cs="仿宋"/>
          <w:color w:val="000000"/>
          <w:sz w:val="24"/>
          <w:highlight w:val="none"/>
        </w:rPr>
        <w:t>、排除故障的期限不得超过</w:t>
      </w:r>
      <w:r>
        <w:rPr>
          <w:rFonts w:hint="eastAsia" w:ascii="仿宋" w:hAnsi="仿宋" w:eastAsia="仿宋" w:cs="仿宋"/>
          <w:b/>
          <w:bCs/>
          <w:color w:val="000000"/>
          <w:sz w:val="24"/>
          <w:highlight w:val="none"/>
          <w:lang w:val="zh-CN"/>
        </w:rPr>
        <w:t>XX</w:t>
      </w:r>
      <w:r>
        <w:rPr>
          <w:rFonts w:hint="eastAsia" w:ascii="仿宋" w:hAnsi="仿宋" w:eastAsia="仿宋" w:cs="仿宋"/>
          <w:color w:val="000000"/>
          <w:sz w:val="24"/>
          <w:highlight w:val="none"/>
        </w:rPr>
        <w:t>小时。否则甲方有权指定第三方维修，维修费用由乙方承担</w:t>
      </w:r>
      <w:r>
        <w:rPr>
          <w:rFonts w:hint="eastAsia" w:ascii="仿宋" w:hAnsi="仿宋" w:eastAsia="仿宋" w:cs="仿宋"/>
          <w:color w:val="000000"/>
          <w:sz w:val="24"/>
          <w:highlight w:val="none"/>
          <w:lang w:eastAsia="zh-CN"/>
        </w:rPr>
        <w:t>且乙方仍对设备质量负责。</w:t>
      </w:r>
      <w:r>
        <w:rPr>
          <w:rFonts w:hint="eastAsia" w:ascii="仿宋" w:hAnsi="仿宋" w:eastAsia="仿宋" w:cs="仿宋"/>
          <w:color w:val="000000"/>
          <w:sz w:val="24"/>
          <w:highlight w:val="none"/>
        </w:rPr>
        <w:t>甲方可在货款和其他应付乙方款项中、乙方提供履约保函中扣除。</w:t>
      </w:r>
    </w:p>
    <w:p w14:paraId="17CA3A1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6</w:t>
      </w:r>
      <w:r>
        <w:rPr>
          <w:rFonts w:hint="eastAsia" w:ascii="仿宋" w:hAnsi="仿宋" w:eastAsia="仿宋" w:cs="仿宋"/>
          <w:color w:val="000000"/>
          <w:sz w:val="24"/>
          <w:highlight w:val="none"/>
        </w:rPr>
        <w:t>、如因乙方物品质量问题，导致甲方损失，乙方应予以赔偿。</w:t>
      </w:r>
    </w:p>
    <w:p w14:paraId="401D69C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（二）质保期结束前，进行系统测试，全面保养维护，确保正常运行。</w:t>
      </w:r>
    </w:p>
    <w:p w14:paraId="4FC86112">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（三）质保期结束后，</w:t>
      </w:r>
      <w:r>
        <w:rPr>
          <w:rFonts w:hint="eastAsia" w:ascii="仿宋" w:hAnsi="仿宋" w:eastAsia="仿宋" w:cs="仿宋"/>
          <w:color w:val="000000"/>
          <w:sz w:val="24"/>
          <w:highlight w:val="none"/>
          <w:lang w:eastAsia="zh-CN"/>
        </w:rPr>
        <w:t>厂家</w:t>
      </w:r>
      <w:r>
        <w:rPr>
          <w:rFonts w:hint="eastAsia" w:ascii="仿宋" w:hAnsi="仿宋" w:eastAsia="仿宋" w:cs="仿宋"/>
          <w:color w:val="000000"/>
          <w:sz w:val="24"/>
          <w:highlight w:val="none"/>
        </w:rPr>
        <w:t>对设备终身维护，维修只能按市场最低价收取配件费，人工服务费全免，并提供技术支持。</w:t>
      </w:r>
    </w:p>
    <w:p w14:paraId="01B2365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九、技术与服务</w:t>
      </w:r>
    </w:p>
    <w:p w14:paraId="5B92A71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（一）技术资料：</w:t>
      </w:r>
    </w:p>
    <w:p w14:paraId="2A4B1244">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1、货物使用说明书（中文对照）；</w:t>
      </w:r>
    </w:p>
    <w:p w14:paraId="7622322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2、检验测试报告；</w:t>
      </w:r>
    </w:p>
    <w:p w14:paraId="4A1B7ED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3、其它资料。</w:t>
      </w:r>
    </w:p>
    <w:p w14:paraId="7D6B4C0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（二）服务承诺：以谈判响应文件、澄清表（函）、合同和随货物的相关文件为准。</w:t>
      </w:r>
    </w:p>
    <w:p w14:paraId="133A765A">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（三）伴随服务</w:t>
      </w:r>
    </w:p>
    <w:p w14:paraId="5007F32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1.乙方应随同每套货物提供相应的每一套设备和仪器的中文的技术文件。例如：产品目录、图纸、操作手册、使用说明、维护手册或服务指南等；</w:t>
      </w:r>
    </w:p>
    <w:p w14:paraId="0A15B4A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2.对于合同附件中有要求的货物，乙方还应提供下列服务：</w:t>
      </w:r>
    </w:p>
    <w:p w14:paraId="524CD57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1）货物的现场安装、调试和启动监督；</w:t>
      </w:r>
    </w:p>
    <w:p w14:paraId="5DDF128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2）提供货物组装和维修所需的工具，提供货物调试所需的耗材等。</w:t>
      </w:r>
    </w:p>
    <w:p w14:paraId="07F8EAB2">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3）在双方商定的一定期限内对所供货物实施运行监督、维修，但前提条件是该服务并不能免除乙方在质量保证期应承担的义务。</w:t>
      </w:r>
    </w:p>
    <w:p w14:paraId="457D94C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4）在厂家或在项目现场就货物的安装、启动、运营、维护对甲方人员进行培训。</w:t>
      </w:r>
    </w:p>
    <w:p w14:paraId="5752F4F3">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3.伴随服务的费用已含在合同价中，不单独进行支付。</w:t>
      </w:r>
    </w:p>
    <w:p w14:paraId="77694B5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十、培训</w:t>
      </w:r>
    </w:p>
    <w:p w14:paraId="52BC180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全程由乙方提供专业临床医生现场培训操作，地点在当地或者省会中心城市，保证使用人员正常操作设备。包括设备操作、日常维护及保养、简单的故障排查与维修等内容，受培训人员不限，以受培训人员熟练掌握技术并能开展工作为原则，乙方应当随时响应甲方使用人员咨询；乙方提供国内知名三甲医院核医学科培训</w:t>
      </w:r>
      <w:r>
        <w:rPr>
          <w:rFonts w:hint="eastAsia" w:ascii="仿宋" w:hAnsi="仿宋" w:eastAsia="仿宋" w:cs="仿宋"/>
          <w:b/>
          <w:bCs/>
          <w:color w:val="000000"/>
          <w:sz w:val="24"/>
          <w:highlight w:val="none"/>
          <w:u w:val="single"/>
          <w:lang w:val="en-US" w:eastAsia="zh-CN"/>
        </w:rPr>
        <w:t xml:space="preserve">   </w:t>
      </w:r>
      <w:r>
        <w:rPr>
          <w:rFonts w:hint="eastAsia" w:ascii="仿宋" w:hAnsi="仿宋" w:eastAsia="仿宋" w:cs="仿宋"/>
          <w:color w:val="000000"/>
          <w:sz w:val="24"/>
          <w:highlight w:val="none"/>
        </w:rPr>
        <w:t>人次，培训时间不小于</w:t>
      </w:r>
      <w:r>
        <w:rPr>
          <w:rFonts w:hint="eastAsia" w:ascii="仿宋" w:hAnsi="仿宋" w:eastAsia="仿宋" w:cs="仿宋"/>
          <w:b/>
          <w:bCs/>
          <w:color w:val="000000"/>
          <w:sz w:val="24"/>
          <w:highlight w:val="none"/>
          <w:u w:val="single"/>
          <w:lang w:val="en-US" w:eastAsia="zh-CN"/>
        </w:rPr>
        <w:t xml:space="preserve">   </w:t>
      </w:r>
      <w:r>
        <w:rPr>
          <w:rFonts w:hint="eastAsia" w:ascii="仿宋" w:hAnsi="仿宋" w:eastAsia="仿宋" w:cs="仿宋"/>
          <w:color w:val="000000"/>
          <w:sz w:val="24"/>
          <w:highlight w:val="none"/>
        </w:rPr>
        <w:t>个月/人次，甲方要求乙方提供培训的，乙方应当优先安排，所有费用由乙方承担。</w:t>
      </w:r>
    </w:p>
    <w:p w14:paraId="6713EEDE">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十一、验收</w:t>
      </w:r>
    </w:p>
    <w:p w14:paraId="1069D165">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（一）货物到达甲方指定地点后，甲方根据合同要求，</w:t>
      </w:r>
      <w:r>
        <w:rPr>
          <w:rFonts w:hint="eastAsia" w:ascii="仿宋" w:hAnsi="仿宋" w:eastAsia="仿宋" w:cs="仿宋"/>
          <w:color w:val="000000"/>
          <w:sz w:val="24"/>
          <w:highlight w:val="none"/>
          <w:lang w:eastAsia="zh-CN"/>
        </w:rPr>
        <w:t>甲乙</w:t>
      </w:r>
      <w:r>
        <w:rPr>
          <w:rFonts w:hint="eastAsia" w:ascii="仿宋" w:hAnsi="仿宋" w:eastAsia="仿宋" w:cs="仿宋"/>
          <w:color w:val="000000"/>
          <w:sz w:val="24"/>
          <w:highlight w:val="none"/>
        </w:rPr>
        <w:t>双方共同进行外观验收，确认产地、规格、型号和数量。外观验收，不作为付款条件也不免除乙方在本协议项下应承担的义务和责任，甲方保留对设备提出异议的权利。</w:t>
      </w:r>
    </w:p>
    <w:p w14:paraId="372CB6F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（二）货物安装、调试并正常运行后，由乙方进行自检，合格后，准备验收文件，并书面通知甲方。</w:t>
      </w:r>
    </w:p>
    <w:p w14:paraId="529B0FAB">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（三）甲方确认乙方的自检内容后，组织乙方（必要时请有关专家）进行系统验收，验收合格后，填写设备验收单（一式四份）作为对货物的最终认可。</w:t>
      </w:r>
    </w:p>
    <w:p w14:paraId="514E400F">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（四）乙方向甲方提交货物实施过程中的所有资料，以便甲方日后管理和维护。</w:t>
      </w:r>
    </w:p>
    <w:p w14:paraId="2FFE2663">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（五）验收依据：</w:t>
      </w:r>
    </w:p>
    <w:p w14:paraId="5BBD854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1、投标文件、投标响应文件；</w:t>
      </w:r>
    </w:p>
    <w:p w14:paraId="526211A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2、本合同及附件文本；</w:t>
      </w:r>
    </w:p>
    <w:p w14:paraId="4385024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3、国家、行业相应的标准、规范。</w:t>
      </w:r>
    </w:p>
    <w:p w14:paraId="4C42C03A">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（六）检验：</w:t>
      </w:r>
    </w:p>
    <w:p w14:paraId="54329D87">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1、在交货前，制造商应对设备的质量、规格、数量等进行准确而全面的检验，并出具合格证、产品说明书等材料，随设备共同交甲方。</w:t>
      </w:r>
    </w:p>
    <w:p w14:paraId="7182D00D">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2、设备到货后，由</w:t>
      </w:r>
      <w:r>
        <w:rPr>
          <w:rFonts w:hint="eastAsia" w:ascii="仿宋" w:hAnsi="仿宋" w:eastAsia="仿宋" w:cs="仿宋"/>
          <w:color w:val="000000"/>
          <w:sz w:val="24"/>
          <w:highlight w:val="none"/>
          <w:lang w:eastAsia="zh-CN"/>
        </w:rPr>
        <w:t>甲方</w:t>
      </w:r>
      <w:r>
        <w:rPr>
          <w:rFonts w:hint="eastAsia" w:ascii="仿宋" w:hAnsi="仿宋" w:eastAsia="仿宋" w:cs="仿宋"/>
          <w:color w:val="000000"/>
          <w:sz w:val="24"/>
          <w:highlight w:val="none"/>
        </w:rPr>
        <w:t>根据合同要求进行本条约定的验收事宜。验收完成后，填写政府采购设备验收单，并由甲、乙方加盖公章确认，以便办理结算手续。</w:t>
      </w:r>
    </w:p>
    <w:p w14:paraId="64097A00">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十二、乙方履约延误</w:t>
      </w:r>
    </w:p>
    <w:p w14:paraId="4637CCF0">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如乙方事先未征得甲方同意并得到甲方的谅解而单方面延迟交货，将按违约终止合同。</w:t>
      </w:r>
    </w:p>
    <w:p w14:paraId="237D1953">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逾期一日需向甲方支付合同总价款5 ‰的违约金</w:t>
      </w:r>
      <w:r>
        <w:rPr>
          <w:rFonts w:hint="eastAsia" w:ascii="仿宋" w:hAnsi="仿宋" w:eastAsia="仿宋" w:cs="仿宋"/>
          <w:color w:val="000000"/>
          <w:sz w:val="24"/>
          <w:highlight w:val="none"/>
          <w:lang w:eastAsia="zh-CN"/>
        </w:rPr>
        <w:t>计</w:t>
      </w:r>
      <w:r>
        <w:rPr>
          <w:rFonts w:hint="eastAsia" w:ascii="仿宋" w:hAnsi="仿宋" w:eastAsia="仿宋" w:cs="仿宋"/>
          <w:color w:val="000000"/>
          <w:sz w:val="24"/>
          <w:highlight w:val="none"/>
        </w:rPr>
        <w:t>。</w:t>
      </w:r>
    </w:p>
    <w:p w14:paraId="468C9F94">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十三、违约责任</w:t>
      </w:r>
    </w:p>
    <w:p w14:paraId="0E7B9981">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按《政府采购法》、《民法典》中的相关条款执行。</w:t>
      </w:r>
    </w:p>
    <w:p w14:paraId="79B79578">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供方的违约责任：</w:t>
      </w:r>
    </w:p>
    <w:p w14:paraId="76F254C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未按合同要求提供货物或质量不能满足谈判技术要求，乙方必须无条件更换，提高技术，完善质量，否则，甲方有权终止合同，并要求其承担30%的违约金及其他损失，并对乙方的违约行为报监管机构进行相应的处罚。</w:t>
      </w:r>
    </w:p>
    <w:p w14:paraId="1C411F1C">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乙方逾期交货，逾期一日需向甲方支付合同总价款5 ‰的违约金；迟延交货15天以上的，甲方有权解除合同，拒收设备，同时，乙方应向甲方退还已经支付的全部款项，并支付合同总价款30%违约金，并赔偿由此造成甲方的全部损失。</w:t>
      </w:r>
    </w:p>
    <w:p w14:paraId="6333A848">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3、如乙方拒绝履行合同义务，怠于履行合同义务，或履行不合格的，经甲方催告仍未完成，乙方除应向甲方支付合同总额30%违约金外，甲方有权解除</w:t>
      </w:r>
      <w:r>
        <w:rPr>
          <w:rFonts w:hint="eastAsia" w:ascii="仿宋" w:hAnsi="仿宋" w:eastAsia="仿宋" w:cs="仿宋"/>
          <w:color w:val="000000"/>
          <w:sz w:val="24"/>
          <w:highlight w:val="none"/>
          <w:lang w:eastAsia="zh-CN"/>
        </w:rPr>
        <w:t>合同</w:t>
      </w:r>
      <w:r>
        <w:rPr>
          <w:rFonts w:hint="eastAsia" w:ascii="仿宋" w:hAnsi="仿宋" w:eastAsia="仿宋" w:cs="仿宋"/>
          <w:color w:val="000000"/>
          <w:sz w:val="24"/>
          <w:highlight w:val="none"/>
        </w:rPr>
        <w:t>。由此产生的相关费用（包括但不限于诉讼费、保全费、保全保险费、律师费等）及全部损失均由乙方承担。</w:t>
      </w:r>
    </w:p>
    <w:p w14:paraId="15A29D99">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4、乙方违反本协议约定的情形构成违约的情况下，甲方有权终止合同。同时甲方有权要求乙方除应支付合同总额30%违约金外，由此产生的相关费用（包括但不限于诉讼费、保全费、保全保险费、律师费等）及全部损失均由乙方承担。</w:t>
      </w:r>
    </w:p>
    <w:p w14:paraId="2F088DE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十四、合同争议解决的方式</w:t>
      </w:r>
    </w:p>
    <w:p w14:paraId="4CA23C47">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本合同在履行过程中发生的争议，由甲、乙双方当事人协商解决，协商不成的按下列第二种方式解决：</w:t>
      </w:r>
    </w:p>
    <w:p w14:paraId="27F726A3">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（一）提交</w:t>
      </w:r>
      <w:r>
        <w:rPr>
          <w:rFonts w:hint="eastAsia" w:ascii="仿宋" w:hAnsi="仿宋" w:eastAsia="仿宋" w:cs="仿宋"/>
          <w:color w:val="000000"/>
          <w:sz w:val="24"/>
          <w:highlight w:val="none"/>
        </w:rPr>
        <w:softHyphen/>
      </w:r>
      <w:r>
        <w:rPr>
          <w:rFonts w:hint="eastAsia" w:ascii="仿宋" w:hAnsi="仿宋" w:eastAsia="仿宋" w:cs="仿宋"/>
          <w:color w:val="000000"/>
          <w:sz w:val="24"/>
          <w:highlight w:val="none"/>
        </w:rPr>
        <w:softHyphen/>
      </w:r>
      <w:r>
        <w:rPr>
          <w:rFonts w:hint="eastAsia" w:ascii="仿宋" w:hAnsi="仿宋" w:eastAsia="仿宋" w:cs="仿宋"/>
          <w:color w:val="000000"/>
          <w:sz w:val="24"/>
          <w:highlight w:val="none"/>
        </w:rPr>
        <w:softHyphen/>
      </w:r>
      <w:r>
        <w:rPr>
          <w:rFonts w:hint="eastAsia" w:ascii="仿宋" w:hAnsi="仿宋" w:eastAsia="仿宋" w:cs="仿宋"/>
          <w:color w:val="000000"/>
          <w:sz w:val="24"/>
          <w:highlight w:val="none"/>
        </w:rPr>
        <w:t>西安仲裁委员会仲裁；</w:t>
      </w:r>
    </w:p>
    <w:p w14:paraId="600AA0C4">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（二）依法向甲方所在地人民法院起诉。</w:t>
      </w:r>
    </w:p>
    <w:p w14:paraId="14BC6AC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十五、合同生效</w:t>
      </w:r>
    </w:p>
    <w:p w14:paraId="4804FF06">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本合同一式</w:t>
      </w:r>
      <w:r>
        <w:rPr>
          <w:rFonts w:hint="eastAsia" w:ascii="仿宋" w:hAnsi="仿宋" w:eastAsia="仿宋" w:cs="仿宋"/>
          <w:bCs/>
          <w:color w:val="000000"/>
          <w:sz w:val="24"/>
          <w:highlight w:val="none"/>
          <w:lang w:val="en-US" w:eastAsia="zh-CN"/>
        </w:rPr>
        <w:t>伍</w:t>
      </w:r>
      <w:r>
        <w:rPr>
          <w:rFonts w:hint="eastAsia" w:ascii="仿宋" w:hAnsi="仿宋" w:eastAsia="仿宋" w:cs="仿宋"/>
          <w:bCs/>
          <w:color w:val="000000"/>
          <w:sz w:val="24"/>
          <w:highlight w:val="none"/>
        </w:rPr>
        <w:t>份，甲方</w:t>
      </w:r>
      <w:r>
        <w:rPr>
          <w:rFonts w:hint="eastAsia" w:ascii="仿宋" w:hAnsi="仿宋" w:eastAsia="仿宋" w:cs="仿宋"/>
          <w:bCs/>
          <w:color w:val="000000"/>
          <w:sz w:val="24"/>
          <w:highlight w:val="none"/>
          <w:lang w:val="en-US" w:eastAsia="zh-CN"/>
        </w:rPr>
        <w:t>肆</w:t>
      </w:r>
      <w:r>
        <w:rPr>
          <w:rFonts w:hint="eastAsia" w:ascii="仿宋" w:hAnsi="仿宋" w:eastAsia="仿宋" w:cs="仿宋"/>
          <w:bCs/>
          <w:color w:val="000000"/>
          <w:sz w:val="24"/>
          <w:highlight w:val="none"/>
        </w:rPr>
        <w:t>份、乙方壹份，西安市财政局政府采购管理科备案壹份，本合同甲、乙方各方签字盖章后生效，合同执行完毕后，自动失效（合同的服务承诺则长期有效）。</w:t>
      </w:r>
    </w:p>
    <w:p w14:paraId="1307E56A">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十六、其他事项</w:t>
      </w:r>
    </w:p>
    <w:p w14:paraId="792F3011">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一</w:t>
      </w:r>
      <w:r>
        <w:rPr>
          <w:rFonts w:hint="eastAsia" w:ascii="仿宋" w:hAnsi="仿宋" w:eastAsia="仿宋" w:cs="仿宋"/>
          <w:color w:val="000000"/>
          <w:sz w:val="24"/>
          <w:highlight w:val="none"/>
        </w:rPr>
        <w:t>）西安市财政局政府采购管理处在合同的履行期间以及履行期后，可以随时检查项目的执行情况，对采购内容、标准进行调查核实，并对发现的问题进行处理。</w:t>
      </w:r>
    </w:p>
    <w:p w14:paraId="7ED7634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二</w:t>
      </w:r>
      <w:r>
        <w:rPr>
          <w:rFonts w:hint="eastAsia" w:ascii="仿宋" w:hAnsi="仿宋" w:eastAsia="仿宋" w:cs="仿宋"/>
          <w:color w:val="000000"/>
          <w:sz w:val="24"/>
          <w:highlight w:val="none"/>
        </w:rPr>
        <w:t>）投标文件、投标响应文件、中标通知书、合同附件均成为合同不可分割的部分。</w:t>
      </w:r>
    </w:p>
    <w:p w14:paraId="6E1E120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三</w:t>
      </w:r>
      <w:r>
        <w:rPr>
          <w:rFonts w:hint="eastAsia" w:ascii="仿宋" w:hAnsi="仿宋" w:eastAsia="仿宋" w:cs="仿宋"/>
          <w:color w:val="000000"/>
          <w:sz w:val="24"/>
          <w:highlight w:val="none"/>
        </w:rPr>
        <w:t>）合同未尽事宜，由甲、乙双方协商，作为合同补充，与原合同具有同等法律效力。</w:t>
      </w:r>
    </w:p>
    <w:p w14:paraId="0B8399E5">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四</w:t>
      </w:r>
      <w:r>
        <w:rPr>
          <w:rFonts w:hint="eastAsia" w:ascii="仿宋" w:hAnsi="仿宋" w:eastAsia="仿宋" w:cs="仿宋"/>
          <w:color w:val="000000"/>
          <w:sz w:val="24"/>
          <w:highlight w:val="none"/>
        </w:rPr>
        <w:t>）合同一经签订，不得擅自变更、中止或终止合同。对确需变更、调整或中止、终止合同的，应按规定履行相应的手续。</w:t>
      </w:r>
    </w:p>
    <w:p w14:paraId="5411E55B">
      <w:pPr>
        <w:keepNext w:val="0"/>
        <w:keepLines w:val="0"/>
        <w:pageBreakBefore w:val="0"/>
        <w:widowControl w:val="0"/>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五</w:t>
      </w:r>
      <w:r>
        <w:rPr>
          <w:rFonts w:hint="eastAsia" w:ascii="仿宋" w:hAnsi="仿宋" w:eastAsia="仿宋" w:cs="仿宋"/>
          <w:color w:val="000000"/>
          <w:sz w:val="24"/>
          <w:highlight w:val="none"/>
        </w:rPr>
        <w:t>）本合同按照中华人民共和国的现行法律进行解释。</w:t>
      </w:r>
    </w:p>
    <w:p w14:paraId="380D8D14">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十七、不可抗力</w:t>
      </w:r>
    </w:p>
    <w:p w14:paraId="25864621">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14:paraId="0918DF97">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十八、监督和管理</w:t>
      </w:r>
    </w:p>
    <w:p w14:paraId="52DE333D">
      <w:pPr>
        <w:keepNext w:val="0"/>
        <w:keepLines w:val="0"/>
        <w:pageBreakBefore w:val="0"/>
        <w:widowControl w:val="0"/>
        <w:numPr>
          <w:ilvl w:val="0"/>
          <w:numId w:val="6"/>
        </w:numPr>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合同订立后，双方协商一致需变更合同实质性条款或订立补充合同的，应先征得政府采购监督部门同意并送其备案。</w:t>
      </w:r>
    </w:p>
    <w:p w14:paraId="04173DAD">
      <w:pPr>
        <w:keepNext w:val="0"/>
        <w:keepLines w:val="0"/>
        <w:pageBreakBefore w:val="0"/>
        <w:widowControl w:val="0"/>
        <w:numPr>
          <w:ilvl w:val="0"/>
          <w:numId w:val="6"/>
        </w:numPr>
        <w:tabs>
          <w:tab w:val="left" w:pos="480"/>
        </w:tabs>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甲乙双方均应自觉配合有关监督管理部门对合同履行情况监督检查，如实反映情况，提供有关资料，否则将对有关单位、当事人按有关规定予以处罚。</w:t>
      </w:r>
    </w:p>
    <w:p w14:paraId="516470AD">
      <w:pPr>
        <w:keepNext w:val="0"/>
        <w:keepLines w:val="0"/>
        <w:pageBreakBefore w:val="0"/>
        <w:widowControl w:val="0"/>
        <w:kinsoku/>
        <w:wordWrap/>
        <w:overflowPunct/>
        <w:topLinePunct w:val="0"/>
        <w:autoSpaceDE/>
        <w:autoSpaceDN/>
        <w:bidi w:val="0"/>
        <w:adjustRightInd/>
        <w:snapToGrid w:val="0"/>
        <w:spacing w:line="360" w:lineRule="auto"/>
        <w:ind w:left="0" w:leftChars="0" w:firstLine="482" w:firstLineChars="200"/>
        <w:textAlignment w:val="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十九、无效合同</w:t>
      </w:r>
    </w:p>
    <w:p w14:paraId="595677EE">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甲乙双方如因违反政府采购法相关法律法规的规定，被宣告合同无效的一切责任概由过错方自行承担。</w:t>
      </w:r>
    </w:p>
    <w:tbl>
      <w:tblPr>
        <w:tblStyle w:val="7"/>
        <w:tblpPr w:leftFromText="180" w:rightFromText="180" w:vertAnchor="text" w:horzAnchor="page" w:tblpX="1600" w:tblpY="810"/>
        <w:tblOverlap w:val="never"/>
        <w:tblW w:w="9760" w:type="dxa"/>
        <w:tblInd w:w="0" w:type="dxa"/>
        <w:tblLayout w:type="fixed"/>
        <w:tblCellMar>
          <w:top w:w="0" w:type="dxa"/>
          <w:left w:w="0" w:type="dxa"/>
          <w:bottom w:w="0" w:type="dxa"/>
          <w:right w:w="0" w:type="dxa"/>
        </w:tblCellMar>
      </w:tblPr>
      <w:tblGrid>
        <w:gridCol w:w="4564"/>
        <w:gridCol w:w="5196"/>
      </w:tblGrid>
      <w:tr w14:paraId="06FB5C3B">
        <w:tblPrEx>
          <w:tblCellMar>
            <w:top w:w="0" w:type="dxa"/>
            <w:left w:w="0" w:type="dxa"/>
            <w:bottom w:w="0" w:type="dxa"/>
            <w:right w:w="0" w:type="dxa"/>
          </w:tblCellMar>
        </w:tblPrEx>
        <w:trPr>
          <w:trHeight w:val="4480" w:hRule="atLeast"/>
        </w:trPr>
        <w:tc>
          <w:tcPr>
            <w:tcW w:w="4564" w:type="dxa"/>
            <w:noWrap w:val="0"/>
            <w:tcMar>
              <w:top w:w="0" w:type="dxa"/>
              <w:left w:w="108" w:type="dxa"/>
              <w:bottom w:w="0" w:type="dxa"/>
              <w:right w:w="108" w:type="dxa"/>
            </w:tcMar>
            <w:vAlign w:val="top"/>
          </w:tcPr>
          <w:p w14:paraId="59B08C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甲方：西安市胸科医院（公章）</w:t>
            </w:r>
          </w:p>
          <w:p w14:paraId="4B9E57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p>
          <w:p w14:paraId="0EAEA37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地址：西安市</w:t>
            </w:r>
            <w:r>
              <w:rPr>
                <w:rFonts w:hint="eastAsia" w:ascii="仿宋" w:hAnsi="仿宋" w:eastAsia="仿宋" w:cs="仿宋"/>
                <w:sz w:val="24"/>
                <w:szCs w:val="24"/>
                <w:highlight w:val="none"/>
                <w:lang w:eastAsia="zh-CN"/>
              </w:rPr>
              <w:t>长安区航天大道东段杜陵西路</w:t>
            </w:r>
            <w:r>
              <w:rPr>
                <w:rFonts w:hint="eastAsia" w:ascii="仿宋" w:hAnsi="仿宋" w:eastAsia="仿宋" w:cs="仿宋"/>
                <w:sz w:val="24"/>
                <w:szCs w:val="24"/>
                <w:highlight w:val="none"/>
                <w:lang w:val="en-US" w:eastAsia="zh-CN"/>
              </w:rPr>
              <w:t>2000号</w:t>
            </w:r>
          </w:p>
          <w:p w14:paraId="270A0C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 xml:space="preserve">）             </w:t>
            </w:r>
          </w:p>
          <w:p w14:paraId="469F76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代理人：（签字）</w:t>
            </w:r>
          </w:p>
          <w:p w14:paraId="0DCAFB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项目主管部门负责人：（签字）</w:t>
            </w:r>
          </w:p>
          <w:p w14:paraId="1694F6B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招采办负责人：（签字）</w:t>
            </w:r>
          </w:p>
          <w:p w14:paraId="40CC31C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联系电话：029-625001</w:t>
            </w:r>
            <w:r>
              <w:rPr>
                <w:rFonts w:hint="eastAsia" w:ascii="仿宋" w:hAnsi="仿宋" w:eastAsia="仿宋" w:cs="仿宋"/>
                <w:sz w:val="24"/>
                <w:szCs w:val="24"/>
                <w:highlight w:val="none"/>
                <w:lang w:val="en-US" w:eastAsia="zh-CN"/>
              </w:rPr>
              <w:t>31</w:t>
            </w:r>
          </w:p>
          <w:p w14:paraId="0A6C42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202  </w:t>
            </w:r>
            <w:r>
              <w:rPr>
                <w:rFonts w:hint="eastAsia" w:ascii="仿宋" w:hAnsi="仿宋" w:eastAsia="仿宋" w:cs="仿宋"/>
                <w:sz w:val="24"/>
                <w:szCs w:val="24"/>
                <w:highlight w:val="none"/>
              </w:rPr>
              <w:t>年  月   日</w:t>
            </w:r>
          </w:p>
        </w:tc>
        <w:tc>
          <w:tcPr>
            <w:tcW w:w="5196" w:type="dxa"/>
            <w:noWrap w:val="0"/>
            <w:tcMar>
              <w:top w:w="0" w:type="dxa"/>
              <w:left w:w="108" w:type="dxa"/>
              <w:bottom w:w="0" w:type="dxa"/>
              <w:right w:w="108" w:type="dxa"/>
            </w:tcMar>
            <w:vAlign w:val="top"/>
          </w:tcPr>
          <w:p w14:paraId="537C5BD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（公章）</w:t>
            </w:r>
          </w:p>
          <w:p w14:paraId="3B840EA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p>
          <w:p w14:paraId="71BA2C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p w14:paraId="44CBD07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p>
          <w:p w14:paraId="7100153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414EB5E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经办人：（签字）</w:t>
            </w:r>
          </w:p>
          <w:p w14:paraId="7978AA0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开户银行： </w:t>
            </w:r>
          </w:p>
          <w:p w14:paraId="6E865D7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银行账号： </w:t>
            </w:r>
          </w:p>
          <w:p w14:paraId="51C939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联系电话：</w:t>
            </w:r>
          </w:p>
          <w:p w14:paraId="7042565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202  </w:t>
            </w:r>
            <w:r>
              <w:rPr>
                <w:rFonts w:hint="eastAsia" w:ascii="仿宋" w:hAnsi="仿宋" w:eastAsia="仿宋" w:cs="仿宋"/>
                <w:sz w:val="24"/>
                <w:szCs w:val="24"/>
                <w:highlight w:val="none"/>
              </w:rPr>
              <w:t>年  月   日</w:t>
            </w:r>
          </w:p>
        </w:tc>
      </w:tr>
    </w:tbl>
    <w:p w14:paraId="2AF03988">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textAlignment w:val="auto"/>
        <w:rPr>
          <w:rFonts w:hint="eastAsia" w:ascii="宋体" w:hAnsi="宋体" w:eastAsia="宋体" w:cs="宋体"/>
          <w:sz w:val="22"/>
          <w:szCs w:val="28"/>
          <w:highlight w:val="none"/>
        </w:rPr>
      </w:pPr>
    </w:p>
    <w:p w14:paraId="06C3B599">
      <w:pPr>
        <w:tabs>
          <w:tab w:val="left" w:pos="480"/>
        </w:tabs>
        <w:snapToGrid w:val="0"/>
        <w:spacing w:line="480" w:lineRule="auto"/>
        <w:ind w:firstLine="480" w:firstLineChars="200"/>
        <w:rPr>
          <w:rFonts w:hint="eastAsia" w:ascii="宋体" w:hAnsi="宋体" w:eastAsia="宋体" w:cs="宋体"/>
          <w:color w:val="000000"/>
          <w:sz w:val="24"/>
          <w:highlight w:val="none"/>
        </w:rPr>
      </w:pPr>
    </w:p>
    <w:p w14:paraId="0182AE23">
      <w:pPr>
        <w:pStyle w:val="10"/>
      </w:pPr>
    </w:p>
    <w:p w14:paraId="25B9EAEE">
      <w:pPr>
        <w:pStyle w:val="10"/>
        <w:rPr>
          <w:rFonts w:hint="eastAsia"/>
          <w:lang w:val="en-US" w:eastAsia="zh-Hans"/>
        </w:rPr>
      </w:pPr>
    </w:p>
    <w:p w14:paraId="6FE2DAF2"/>
    <w:sectPr>
      <w:footerReference r:id="rId3" w:type="default"/>
      <w:pgSz w:w="11906" w:h="16838"/>
      <w:pgMar w:top="1417" w:right="1417" w:bottom="1417" w:left="1417" w:header="851" w:footer="850"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D211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EB2E1">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63EB2E1">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7C0B5"/>
    <w:multiLevelType w:val="singleLevel"/>
    <w:tmpl w:val="82C7C0B5"/>
    <w:lvl w:ilvl="0" w:tentative="0">
      <w:start w:val="1"/>
      <w:numFmt w:val="chineseCounting"/>
      <w:suff w:val="nothing"/>
      <w:lvlText w:val="（%1）"/>
      <w:lvlJc w:val="left"/>
      <w:pPr>
        <w:ind w:left="0" w:firstLine="420"/>
      </w:pPr>
      <w:rPr>
        <w:rFonts w:hint="eastAsia"/>
      </w:rPr>
    </w:lvl>
  </w:abstractNum>
  <w:abstractNum w:abstractNumId="1">
    <w:nsid w:val="A96FE1FE"/>
    <w:multiLevelType w:val="singleLevel"/>
    <w:tmpl w:val="A96FE1FE"/>
    <w:lvl w:ilvl="0" w:tentative="0">
      <w:start w:val="1"/>
      <w:numFmt w:val="chineseCounting"/>
      <w:suff w:val="nothing"/>
      <w:lvlText w:val="（%1）"/>
      <w:lvlJc w:val="left"/>
      <w:pPr>
        <w:ind w:left="0" w:firstLine="420"/>
      </w:pPr>
      <w:rPr>
        <w:rFonts w:hint="eastAsia"/>
      </w:rPr>
    </w:lvl>
  </w:abstractNum>
  <w:abstractNum w:abstractNumId="2">
    <w:nsid w:val="CC2797C5"/>
    <w:multiLevelType w:val="singleLevel"/>
    <w:tmpl w:val="CC2797C5"/>
    <w:lvl w:ilvl="0" w:tentative="0">
      <w:start w:val="1"/>
      <w:numFmt w:val="chineseCounting"/>
      <w:suff w:val="nothing"/>
      <w:lvlText w:val="（%1）"/>
      <w:lvlJc w:val="left"/>
      <w:rPr>
        <w:rFonts w:hint="eastAsia"/>
      </w:rPr>
    </w:lvl>
  </w:abstractNum>
  <w:abstractNum w:abstractNumId="3">
    <w:nsid w:val="0BA9EB24"/>
    <w:multiLevelType w:val="singleLevel"/>
    <w:tmpl w:val="0BA9EB24"/>
    <w:lvl w:ilvl="0" w:tentative="0">
      <w:start w:val="1"/>
      <w:numFmt w:val="chineseCounting"/>
      <w:suff w:val="nothing"/>
      <w:lvlText w:val="（%1）"/>
      <w:lvlJc w:val="left"/>
      <w:pPr>
        <w:ind w:left="0" w:firstLine="420"/>
      </w:pPr>
      <w:rPr>
        <w:rFonts w:hint="eastAsia"/>
      </w:rPr>
    </w:lvl>
  </w:abstractNum>
  <w:abstractNum w:abstractNumId="4">
    <w:nsid w:val="0D975ACA"/>
    <w:multiLevelType w:val="singleLevel"/>
    <w:tmpl w:val="0D975ACA"/>
    <w:lvl w:ilvl="0" w:tentative="0">
      <w:start w:val="1"/>
      <w:numFmt w:val="chineseCounting"/>
      <w:suff w:val="nothing"/>
      <w:lvlText w:val="（%1）"/>
      <w:lvlJc w:val="left"/>
      <w:pPr>
        <w:ind w:left="0" w:firstLine="420"/>
      </w:pPr>
      <w:rPr>
        <w:rFonts w:hint="eastAsia"/>
      </w:rPr>
    </w:lvl>
  </w:abstractNum>
  <w:abstractNum w:abstractNumId="5">
    <w:nsid w:val="54E79DB2"/>
    <w:multiLevelType w:val="singleLevel"/>
    <w:tmpl w:val="54E79DB2"/>
    <w:lvl w:ilvl="0" w:tentative="0">
      <w:start w:val="1"/>
      <w:numFmt w:val="chineseCounting"/>
      <w:suff w:val="nothing"/>
      <w:lvlText w:val="（%1）"/>
      <w:lvlJc w:val="left"/>
      <w:pPr>
        <w:ind w:left="0" w:firstLine="420"/>
      </w:pPr>
      <w:rPr>
        <w:rFonts w:hint="eastAsia"/>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056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6">
    <w:name w:val="Body Text First Indent 2"/>
    <w:basedOn w:val="3"/>
    <w:qFormat/>
    <w:uiPriority w:val="99"/>
    <w:pPr>
      <w:spacing w:after="120"/>
      <w:ind w:left="420" w:leftChars="200" w:right="0" w:rightChars="0" w:firstLine="420" w:firstLineChars="200"/>
    </w:pPr>
    <w:rPr>
      <w:rFonts w:ascii="Times New Roman" w:hAnsi="Times New Roman"/>
      <w:sz w:val="21"/>
      <w:szCs w:val="24"/>
    </w:rPr>
  </w:style>
  <w:style w:type="paragraph" w:customStyle="1" w:styleId="9">
    <w:name w:val="Table Paragraph"/>
    <w:basedOn w:val="1"/>
    <w:qFormat/>
    <w:uiPriority w:val="1"/>
    <w:rPr>
      <w:rFonts w:ascii="宋体" w:hAnsi="宋体" w:cs="宋体"/>
      <w:lang w:val="zh-CN" w:bidi="zh-CN"/>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2026-09-02T02:30:02Z</dcterms:created>
  <dc:creator>ZM</dc:creator>
  <cp:lastModifiedBy>CG</cp:lastModifiedBy>
  <dcterms:modified xsi:type="dcterms:W3CDTF">2026-09-02T02:30:37Z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eyJoZGlkIjoiNGQ1YmQ4ODJhOTA3ZTRhNTJmMDkwNTYxY2E2NjI0MmMiLCJ1c2VySWQiOiI0MzY2NjA3NTUifQ==</vt:lpwstr>
  </property>
  <property fmtid="{D5CDD505-2E9C-101B-9397-08002B2CF9AE}" pid="4" name="ICV">
    <vt:lpwstr>8EA5B192D62341D288A18AA85D534433_12</vt:lpwstr>
  </property>
</Properties>
</file>