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版本号：GYGJ2026-ZCCS00620260715001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西安市2026年农村公路养护工程（未央区风景路）施工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GYGJ2026-ZCCS006</w:t>
      </w:r>
      <w:r>
        <w:br/>
      </w:r>
      <w:r>
        <w:br/>
      </w:r>
      <w:r>
        <w:br/>
      </w:r>
    </w:p>
    <w:p>
      <w:pPr>
        <w:pStyle w:val="null3"/>
        <w:jc w:val="center"/>
        <w:outlineLvl w:val="2"/>
      </w:pPr>
      <w:r>
        <w:rPr>
          <w:rFonts w:ascii="仿宋_GB2312" w:hAnsi="仿宋_GB2312" w:cs="仿宋_GB2312" w:eastAsia="仿宋_GB2312"/>
          <w:sz w:val="28"/>
          <w:b/>
        </w:rPr>
        <w:t>西安市未央区公路管理站</w:t>
      </w:r>
    </w:p>
    <w:p>
      <w:pPr>
        <w:pStyle w:val="null3"/>
        <w:jc w:val="center"/>
        <w:outlineLvl w:val="2"/>
      </w:pPr>
      <w:r>
        <w:rPr>
          <w:rFonts w:ascii="仿宋_GB2312" w:hAnsi="仿宋_GB2312" w:cs="仿宋_GB2312" w:eastAsia="仿宋_GB2312"/>
          <w:sz w:val="28"/>
          <w:b/>
        </w:rPr>
        <w:t>国煜国际招标有限公司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国煜国际招标有限公司</w:t>
      </w:r>
      <w:r>
        <w:rPr>
          <w:rFonts w:ascii="仿宋_GB2312" w:hAnsi="仿宋_GB2312" w:cs="仿宋_GB2312" w:eastAsia="仿宋_GB2312"/>
        </w:rPr>
        <w:t>（以下简称“代理机构”）受</w:t>
      </w:r>
      <w:r>
        <w:rPr>
          <w:rFonts w:ascii="仿宋_GB2312" w:hAnsi="仿宋_GB2312" w:cs="仿宋_GB2312" w:eastAsia="仿宋_GB2312"/>
        </w:rPr>
        <w:t>西安市未央区公路管理站</w:t>
      </w:r>
      <w:r>
        <w:rPr>
          <w:rFonts w:ascii="仿宋_GB2312" w:hAnsi="仿宋_GB2312" w:cs="仿宋_GB2312" w:eastAsia="仿宋_GB2312"/>
        </w:rPr>
        <w:t>委托，拟对</w:t>
      </w:r>
      <w:r>
        <w:rPr>
          <w:rFonts w:ascii="仿宋_GB2312" w:hAnsi="仿宋_GB2312" w:cs="仿宋_GB2312" w:eastAsia="仿宋_GB2312"/>
        </w:rPr>
        <w:t>西安市2026年农村公路养护工程（未央区风景路）施工</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GYGJ2026-ZCCS006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西安市2026年农村公路养护工程（未央区风景路）施工</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西安市2026年农村公路养护工程（未央区风景路）施工。本项目包括建设范围内的所有施工内容，具体以工程图纸、工程量清单为准。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须具备交通运输主管部门颁发的公路养护工程施工三类及以上资质或具备公路养护作业（路基路面养护乙级及以上资质及交通安全设施养护资质）资质或住建部门颁发的市政公用工程施工总承包三级及以上资质，并具有合法有效的安全生产许可证：</w:t>
      </w:r>
    </w:p>
    <w:p>
      <w:pPr>
        <w:pStyle w:val="null3"/>
      </w:pPr>
      <w:r>
        <w:rPr>
          <w:rFonts w:ascii="仿宋_GB2312" w:hAnsi="仿宋_GB2312" w:cs="仿宋_GB2312" w:eastAsia="仿宋_GB2312"/>
        </w:rPr>
        <w:t>2、信用要求：供应商递交响应文件截止时间前在“信用中国”网站（www.creditchina.gov.cn）上被列入失信被执行人、重大税收违法失信主体和中国政府采购网（www.ccgp.gov.cn）被列入政府采购严重违法失信行为记录名单的，不得参加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西安市未央区公路管理站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西安市未央区方新路西段18号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西安市未央区公路管理站经办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13572903376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国煜国际招标有限公司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陕西省西安市经开区明光路与凤城七路十字长和国际D座20层2006室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马倩 田颖 史佑先 盛莉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029-83660510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采购包1：1,068,667.00元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 号文和国家发改委发改办价格〔2003〕857 号文的计算方法按标准收取。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西安市未央区公路管理站</w:t>
      </w:r>
      <w:r>
        <w:rPr>
          <w:rFonts w:ascii="仿宋_GB2312" w:hAnsi="仿宋_GB2312" w:cs="仿宋_GB2312" w:eastAsia="仿宋_GB2312"/>
        </w:rPr>
        <w:t>和</w:t>
      </w:r>
      <w:r>
        <w:rPr>
          <w:rFonts w:ascii="仿宋_GB2312" w:hAnsi="仿宋_GB2312" w:cs="仿宋_GB2312" w:eastAsia="仿宋_GB2312"/>
        </w:rPr>
        <w:t>国煜国际招标有限公司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西安市未央区公路管理站</w:t>
      </w:r>
      <w:r>
        <w:rPr>
          <w:rFonts w:ascii="仿宋_GB2312" w:hAnsi="仿宋_GB2312" w:cs="仿宋_GB2312" w:eastAsia="仿宋_GB2312"/>
        </w:rPr>
        <w:t>负责解释。除上述磋商文件内容，其他内容由</w:t>
      </w:r>
      <w:r>
        <w:rPr>
          <w:rFonts w:ascii="仿宋_GB2312" w:hAnsi="仿宋_GB2312" w:cs="仿宋_GB2312" w:eastAsia="仿宋_GB2312"/>
        </w:rPr>
        <w:t>国煜国际招标有限公司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西安市未央区公路管理站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国煜国际招标有限公司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按合同约定执行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国煜国际招标有限公司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国煜国际招标有限公司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联系人：马倩</w:t>
      </w:r>
    </w:p>
    <w:p>
      <w:pPr>
        <w:pStyle w:val="null3"/>
      </w:pPr>
      <w:r>
        <w:rPr>
          <w:rFonts w:ascii="仿宋_GB2312" w:hAnsi="仿宋_GB2312" w:cs="仿宋_GB2312" w:eastAsia="仿宋_GB2312"/>
        </w:rPr>
        <w:t>联系电话：029-83660510</w:t>
      </w:r>
    </w:p>
    <w:p>
      <w:pPr>
        <w:pStyle w:val="null3"/>
      </w:pPr>
      <w:r>
        <w:rPr>
          <w:rFonts w:ascii="仿宋_GB2312" w:hAnsi="仿宋_GB2312" w:cs="仿宋_GB2312" w:eastAsia="仿宋_GB2312"/>
        </w:rPr>
        <w:t>地址：西安市经济技术开发区凤城七路长和国际D座20层2006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西安市2026年农村公路养护工程（未央区风景路）施工。本项目包括建设范围内的所有施工内容，具体以工程图纸、工程量清单为准。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1,068,667.00</w:t>
      </w:r>
    </w:p>
    <w:p>
      <w:pPr>
        <w:pStyle w:val="null3"/>
      </w:pPr>
      <w:r>
        <w:rPr>
          <w:rFonts w:ascii="仿宋_GB2312" w:hAnsi="仿宋_GB2312" w:cs="仿宋_GB2312" w:eastAsia="仿宋_GB2312"/>
        </w:rPr>
        <w:t>采购包最高限价（元）: 1,068,667.00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西安市2026年农村公路养护工程（未央区风景路）施工</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1,068,667.00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建筑业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标的名称：西安市2026年农村公路养护工程（未央区风景路）施工</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1.项目概况及总体要求</w:t>
            </w:r>
            <w:r>
              <w:br/>
            </w:r>
            <w:r>
              <w:rPr>
                <w:rFonts w:ascii="仿宋_GB2312" w:hAnsi="仿宋_GB2312" w:cs="仿宋_GB2312" w:eastAsia="仿宋_GB2312"/>
              </w:rPr>
              <w:t xml:space="preserve"> 西安市2026年农村公路养护工程（未央区风景路）施工。本项目包括建设范围内的所有施工内容，具体以工程图纸、工程量清单为准。</w:t>
            </w:r>
            <w:r>
              <w:br/>
            </w:r>
            <w:r>
              <w:rPr>
                <w:rFonts w:ascii="仿宋_GB2312" w:hAnsi="仿宋_GB2312" w:cs="仿宋_GB2312" w:eastAsia="仿宋_GB2312"/>
              </w:rPr>
              <w:t xml:space="preserve"> 2.服务内容与要求</w:t>
            </w:r>
            <w:r>
              <w:br/>
            </w:r>
            <w:r>
              <w:rPr>
                <w:rFonts w:ascii="仿宋_GB2312" w:hAnsi="仿宋_GB2312" w:cs="仿宋_GB2312" w:eastAsia="仿宋_GB2312"/>
              </w:rPr>
              <w:t xml:space="preserve"> 2.1 服务需求</w:t>
            </w:r>
            <w:r>
              <w:br/>
            </w:r>
            <w:r>
              <w:rPr>
                <w:rFonts w:ascii="仿宋_GB2312" w:hAnsi="仿宋_GB2312" w:cs="仿宋_GB2312" w:eastAsia="仿宋_GB2312"/>
              </w:rPr>
              <w:t xml:space="preserve"> （1）成交后，在各具体项目实施过程中，供应商应按要求配备相应的管理班子和必要的设备。</w:t>
            </w:r>
            <w:r>
              <w:br/>
            </w:r>
            <w:r>
              <w:rPr>
                <w:rFonts w:ascii="仿宋_GB2312" w:hAnsi="仿宋_GB2312" w:cs="仿宋_GB2312" w:eastAsia="仿宋_GB2312"/>
              </w:rPr>
              <w:t xml:space="preserve"> （2）供应商须承诺其承担的项目在合同期内全部验收合格。 </w:t>
            </w:r>
            <w:r>
              <w:br/>
            </w:r>
            <w:r>
              <w:rPr>
                <w:rFonts w:ascii="仿宋_GB2312" w:hAnsi="仿宋_GB2312" w:cs="仿宋_GB2312" w:eastAsia="仿宋_GB2312"/>
              </w:rPr>
              <w:t xml:space="preserve"> （3）供应商的人员配备、道路养护器械能够满足道路养护质量要求。 </w:t>
            </w:r>
            <w:r>
              <w:br/>
            </w:r>
            <w:r>
              <w:rPr>
                <w:rFonts w:ascii="仿宋_GB2312" w:hAnsi="仿宋_GB2312" w:cs="仿宋_GB2312" w:eastAsia="仿宋_GB2312"/>
              </w:rPr>
              <w:t xml:space="preserve"> （4）道路养护质量标准须执行国家、陕西省及西安市农村道路管理养护的相关政策及采购人要求。</w:t>
            </w:r>
            <w:r>
              <w:br/>
            </w:r>
            <w:r>
              <w:rPr>
                <w:rFonts w:ascii="仿宋_GB2312" w:hAnsi="仿宋_GB2312" w:cs="仿宋_GB2312" w:eastAsia="仿宋_GB2312"/>
              </w:rPr>
              <w:t xml:space="preserve"> 2.2服务内容</w:t>
            </w:r>
            <w:r>
              <w:br/>
            </w:r>
            <w:r>
              <w:rPr>
                <w:rFonts w:ascii="仿宋_GB2312" w:hAnsi="仿宋_GB2312" w:cs="仿宋_GB2312" w:eastAsia="仿宋_GB2312"/>
              </w:rPr>
              <w:t xml:space="preserve"> 施工作业：包括路面基层维护，路面面层铣刨、重新铺设路面面层、路面标线及标志标牌设置。排水设施施工及维护。</w:t>
            </w:r>
            <w:r>
              <w:br/>
            </w:r>
            <w:r>
              <w:rPr>
                <w:rFonts w:ascii="仿宋_GB2312" w:hAnsi="仿宋_GB2312" w:cs="仿宋_GB2312" w:eastAsia="仿宋_GB2312"/>
              </w:rPr>
              <w:t xml:space="preserve"> 2.3人员、机械满足考核要求。</w:t>
            </w:r>
            <w:r>
              <w:br/>
            </w:r>
            <w:r>
              <w:rPr>
                <w:rFonts w:ascii="仿宋_GB2312" w:hAnsi="仿宋_GB2312" w:cs="仿宋_GB2312" w:eastAsia="仿宋_GB2312"/>
              </w:rPr>
              <w:t xml:space="preserve"> 2.4服务、产品（如有）执行的标准、规范：</w:t>
            </w:r>
            <w:r>
              <w:br/>
            </w:r>
            <w:r>
              <w:rPr>
                <w:rFonts w:ascii="仿宋_GB2312" w:hAnsi="仿宋_GB2312" w:cs="仿宋_GB2312" w:eastAsia="仿宋_GB2312"/>
              </w:rPr>
              <w:t xml:space="preserve"> 国家标准、规范。</w:t>
            </w:r>
            <w:r>
              <w:br/>
            </w:r>
            <w:r>
              <w:rPr>
                <w:rFonts w:ascii="仿宋_GB2312" w:hAnsi="仿宋_GB2312" w:cs="仿宋_GB2312" w:eastAsia="仿宋_GB2312"/>
              </w:rPr>
              <w:t xml:space="preserve"> 2.5本章2.4条未明确服务（产品）执行标准、规范的，按下列方法进行选择：</w:t>
            </w:r>
            <w:r>
              <w:br/>
            </w:r>
            <w:r>
              <w:rPr>
                <w:rFonts w:ascii="仿宋_GB2312" w:hAnsi="仿宋_GB2312" w:cs="仿宋_GB2312" w:eastAsia="仿宋_GB2312"/>
              </w:rPr>
              <w:t xml:space="preserve"> √ 最高标准执行：国家标准，行业标准，地方标准，企业标准（哪个标准高执行哪个标准）</w:t>
            </w:r>
            <w:r>
              <w:br/>
            </w:r>
            <w:r>
              <w:rPr>
                <w:rFonts w:ascii="仿宋_GB2312" w:hAnsi="仿宋_GB2312" w:cs="仿宋_GB2312" w:eastAsia="仿宋_GB2312"/>
              </w:rPr>
              <w:t xml:space="preserve"> √ 必须执行：国家、行业强制性标准。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自合同签订之日起60天内。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进度款，工程施工进度至80%时，达到付款条件起30个工作日内，支付合同总金额的40.0%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进度款，工程施工进度至100%时，达到付款条件起30个工作日内，支付合同总金额的25.0%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进度款，待工程竣工验收质量达到合同要求的质量等级以及结算审核后，达到付款条件起30个工作日内，支付合同总金额的5.0%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1.成交供应商在领取成交通知书前提供纸质版响应文件正本壹份、副本贰份。 2.（1）《关于进一步加大政府采购支持中小企业力度的通知》（财库〔2022〕19号）、《政府采购促进中小企业发展管理办法》（财库〔2020〕46号）、《财政部司法部关于政府采购支持监狱企业发展有关问题的通知》（财库〔2014〕68号）、《关于促进残疾人就业政府采购政策的通知》（财库〔2017〕141号）。 （2）《国务院办公厅关于建立政府强制采购节能产品制度的通知》（国办发〔2007〕51号）、《财政部发展改革委生态环境部市场监管总局关于调整优化节能产品、环境标志产品政府采购执行机制的通知》（财库〔2019〕9号）、《关于印发环境标志产品政府采购品目清单的通知》（财库〔2019〕18号）、《关于印发节能产品政府采购品目清单的通知》（财库〔2019〕19号）。 （3）《关于运用政府采购政策支持乡村产业振兴的通知》（财库〔2021〕19号）、《关于印发&lt;关于深入开展政府采购脱贫地区农副产品工作推进乡村产业振兴的实施意见&gt;的通知》（财库〔2021〕20号）。 （4）《国家互联网信息办公室工业和信息化部公安部财政部国家认证认可监督管理委员会关于调整网络安全专用产品安全管理有关事项的公告》（2023年第1号）。 （5）《陕西省财政厅关于加快推进我省中小企业政府采购信用融资工作的通知》（陕财办采〔2020〕15号）、《陕西省财政厅关于印发&lt;陕西省中小企业政府采购信用融资办法&gt;的通知》（陕财办采〔2018〕23号）、《陕西省财政厅、中国人民银行西安分行关于深入推进政府采购信用融资业务的通知》（陕财办采〔2023〕5号）。 （6）《关于扩大政府采购支持绿色建材促进建筑品质提升政策实施范围的通知》（财库〔2022〕35号）、《财政部办公厅住房城乡建设部办公厅工业和信息化部办公厅关于印发&lt;政府采购支持绿色建材促进建筑品质提升政策项目实施指南&gt;的通知》（财办库〔2023〕52号）。 （7）《商品包装政府采购需求标准（试行）》和《快递包装政府采购需求标准（试行）》（财办库[2020]123号） （8）《国务院办公厅关于在政府采购中实施本国产品标准及相关政策的通知》（国办发〔2025〕34号）、《财政部、工业和信息化部关于贯彻落实国务院办公厅关于在政府采购中实施本国产品标准及相关政策的通知》的意见（财库〔2025〕30号）、《财政部关于印发&lt;进口产品管理办法&gt;的通知》（财库〔2007〕119号）、《财政部办公厅关于政府采购进口产品管理有关问题的通知》（财办库〔2008〕248号）。 若享受以上政策优惠的企业，提供相应声明函或品目清单范围内产品的有效认证证书或相关证明。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(1)具有独立承担民事责任能力的法人、其他组织或自然人，并出具合法有效的相关证明材料。供应商需在项目电子化交易系统中按要求上传相应证明文件并进行电子签章。 (2)提供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 (3)提供2025年6月至今已缴纳的1个月的纳税证明或完税证明，依法免税的单位应提供相关证明材料。此项可提供基本资格条件承诺函。供应商需在项目电子化交易系统中按要求上传相应证明文件并进行电子签章。 (4)提供2025年6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 (5)提供具有履行合同所必需的设备和专业技术能力的承诺。此项可提供基本资格条件承诺函。供应商需在项目电子化交易系统中按要求上传相应证明文件并进行电子签章。 (6)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交通运输主管部门颁发的公路养护工程施工三类及以上资质或具备公路养护作业（路基路面养护乙级及以上资质及交通安全设施养护资质）资质或住建部门颁发的市政公用工程施工总承包三级及以上资质，并具有合法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递交响应文件截止时间前在“信用中国”网站（www.creditchina.gov.cn）上被列入失信被执行人、重大税收违法失信主体和中国政府采购网（www.ccgp.gov.cn）被列入政府采购严重违法失信行为记录名单的，不得参加投标；</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中小企业声明函 残疾人福利性单位声明函 标的清单 已标价的工程量清单.docx 报价表 服务内容及服务邀请应答表.docx 商务应答表.docx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 2023年7月1日（含）以来每有1个类似项目业绩的得5分，最多得15分。 注：1.提供合同复印件并进行电子签章； 2.业绩以合同签订时间或中标（成交）通知书发出时间为准。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服务方案进行综合评审，服务方案内容包括：①总体施工组织布置及规划；②主要工程项目的施工方案、方法与技术措施；③工期保证体系及保证措施；④工程质量管理体系及保证措施；⑤安全生产管理体系及保证措施；⑥环境保护、水土保持保证体系及保证措施；⑦项目风险预测与防范，事故应急预案；⑧文明施工保证措施。 内容齐全且完全满足本项目实际需求的得40分，每缺少一项内容扣5分，每有一项内容存在不足或缺陷的扣1分，扣完为止。 注：本项评审标准中所述的内容存在不足或缺陷是指：1.内容不完整，缺少重要节点（如仅有框架或标题、单项内容仅有复制招标内容的要求、涉及内容无重点）；2.方案中出现套用其他项目方案或内容；3.内容中存在文字语言描述错误；4.内容涉及适用的规范及标准（方法）出现错误；5.不利于项目实施；6.实施地点区域错误；7.项目名称、对象错误等任意一种情形。</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1.拟派项目负责人具有市政工程类或公路工程类专业中级及以上职称的得3分；不提供得0分； 2.拟派技术负责人具有市政工程类或公路工程类专业中级及以上职称的得3分，不提供得0分； 3.提供至少一名专职安全管理人员，并具有相关部门颁发的安全生产考核证，提供一名得1分，最多得4，不提供得0分； 注：项目负责人、技术负责人和专职安全管理人不得为同一人，提供人员有效相关职称证书复印件并进行电子签章，未提供或未按要求提供不得分。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供应商提供承诺函：确保服务质量，按时完成养护任务；确保养护过程符合国家、省、行业相关技术规范及标准、规划。 提供得2分，不提供得0分；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节能、环保、环境标志产品鼓励优惠政策</w:t>
            </w:r>
          </w:p>
        </w:tc>
        <w:tc>
          <w:tcPr>
            <w:tcW w:type="dxa" w:w="2492"/>
          </w:tcPr>
          <w:p>
            <w:pPr>
              <w:pStyle w:val="null3"/>
            </w:pPr>
            <w:r>
              <w:rPr>
                <w:rFonts w:ascii="仿宋_GB2312" w:hAnsi="仿宋_GB2312" w:cs="仿宋_GB2312" w:eastAsia="仿宋_GB2312"/>
              </w:rPr>
              <w:t>投标产品具有国家节能环保部门提供的认证证书，每提供一个，得1分，本项最高得1分。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价格分统一采用低价优先法计算，即满足磋商文件要求且最后报价最低（即下浮率最高的）的供应商的价格为磋商基准价，其价格分为满分。其他供应商的价格分统一按照下列公式计算： 磋商报价得分=〔(1-磋商基准价）／（1-最后磋商报价)〕×30%×100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详见附件：已标价的工程量清单.docx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