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版本号：政采-大荔县-2026-0007920260512002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大荔县丰图义仓保护规划编制项目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政采-大荔县-2026-00079</w:t>
      </w:r>
      <w:r>
        <w:br/>
      </w:r>
      <w:r>
        <w:br/>
      </w:r>
      <w:r>
        <w:br/>
      </w:r>
    </w:p>
    <w:p>
      <w:pPr>
        <w:pStyle w:val="null3"/>
        <w:jc w:val="center"/>
        <w:outlineLvl w:val="2"/>
      </w:pPr>
      <w:r>
        <w:rPr>
          <w:rFonts w:ascii="仿宋_GB2312" w:hAnsi="仿宋_GB2312" w:cs="仿宋_GB2312" w:eastAsia="仿宋_GB2312"/>
          <w:sz w:val="28"/>
          <w:b/>
        </w:rPr>
        <w:t>大荔县文化和旅游局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大荔县文化和旅游局</w:t>
      </w:r>
      <w:r>
        <w:rPr>
          <w:rFonts w:ascii="仿宋_GB2312" w:hAnsi="仿宋_GB2312" w:cs="仿宋_GB2312" w:eastAsia="仿宋_GB2312"/>
        </w:rPr>
        <w:t>委托，拟对</w:t>
      </w:r>
      <w:r>
        <w:rPr>
          <w:rFonts w:ascii="仿宋_GB2312" w:hAnsi="仿宋_GB2312" w:cs="仿宋_GB2312" w:eastAsia="仿宋_GB2312"/>
        </w:rPr>
        <w:t>大荔县丰图义仓保护规划编制项目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政采-大荔县-2026-00079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大荔县丰图义仓保护规划编制项目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遵循《中华人民共和国文物保护法》、《全国重点文物保护单位保护规划编制审批办法》、《全国重点文物保护单位保护规划编制要求》等要求，完成《丰图义仓保护规划》编制全流程工作，在保护规划编制完成后，配合采购人完成意见征求、专家评审及相关部门审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采购包1（大荔县丰图义仓保护规划编制）：属于专门面向中小企业采购。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2、供应商资质：供应商具有文物保护工程勘察设计甲级资质；项目负责人需持有文物保护工程责任设计师资格证书；</w:t>
      </w:r>
    </w:p>
    <w:p>
      <w:pPr>
        <w:pStyle w:val="null3"/>
      </w:pPr>
      <w:r>
        <w:rPr>
          <w:rFonts w:ascii="仿宋_GB2312" w:hAnsi="仿宋_GB2312" w:cs="仿宋_GB2312" w:eastAsia="仿宋_GB2312"/>
        </w:rPr>
        <w:t>3、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无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屈小峰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大荔县文化和旅游局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 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遵循《中华人民共和国文物保护法》《全国重点文物保护单位保护规划编制审批办法》《全国重点文物保护单位保护规划编制要求》等要求，完成《丰图义仓保护规划》编制全流程工作，在保护规划编制完成后，配合采购人完成意见征求、专家评审及相关部门审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大荔县丰图义仓保护规划编制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标的名称：大荔县丰图义仓保护规划编制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遵循《中华人民共和国文物保护法》、《全国重点文物保护单位保护规划编制审批办法》、《全国重点文物保护单位保护规划编制要求》等要求，完成《丰图义仓保护规划》编制全流程工作，在保护规划编制完成后，配合采购人完成意见征求、专家评审及相关部门审批；应对丰图义仓的文物价值及保护利用情况进行全面评估，并完成保护范围与建设控制地带划定、保护措施制定、环境整治规划、展示利用规划、管理规划编制、实施时序安排、投资估算编制等核心内容，相关内容应符合文物保护法律法规及规范要求。</w:t>
            </w:r>
          </w:p>
          <w:p>
            <w:pPr>
              <w:pStyle w:val="null3"/>
            </w:pPr>
            <w:r>
              <w:rPr>
                <w:rFonts w:ascii="仿宋_GB2312" w:hAnsi="仿宋_GB2312" w:cs="仿宋_GB2312" w:eastAsia="仿宋_GB2312"/>
              </w:rPr>
              <w:t>成果文件：包含规划文本、规划图纸、说明书及资料汇编。</w:t>
            </w:r>
          </w:p>
          <w:p>
            <w:pPr>
              <w:pStyle w:val="null3"/>
            </w:pPr>
            <w:r>
              <w:rPr>
                <w:rFonts w:ascii="仿宋_GB2312" w:hAnsi="仿宋_GB2312" w:cs="仿宋_GB2312" w:eastAsia="仿宋_GB2312"/>
              </w:rPr>
              <w:t>验收标准：符合国家标准、行业标准以及有关技术规范要求，成果应确保资料完整、真实可靠，并通过相关主管部门评审。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详见3.2.2项服务内容。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符合国家标准、行业标准以及有关技术规范要求，成果应确保资料完整、真实可靠，并通过相关主管部门评审。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成果文件经相关部门审核通过后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成交人提供项目启动所需资料造成服务期延误，每延误1日则本合同服务周期限延长1日，以此类推；因资料真实性给成交人造成损失和产生相关连带责任时，采购人除按成交人要求进行赔偿外还需承担因连带责任产生的所有责任。 （二）因成交人原因造成服务期延误（自然灾害、疫情等不可抗力除外），采购人有权从未付款项中按每日3‰合同价款扣除违约金，此违约以30日为限。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成交人在成交结果公告发布后3个工作日内提供叁套纸质响应文件（经编标工具生成的文件直接打印并加盖公章），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供应商合法有效，为具有独立承担民事责任能力的企业法人、其他组织或者自然人，并提供合法有效的证明材料；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税收缴纳证明：提供响应文件递交截止时间前一年内任意一个月的缴费凭据；依法免税的应提供相关文件证明；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供应商具有文物保护工程勘察设计甲级资质；项目负责人需持有文物保护工程责任设计师资格证书；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响应文件按照磋商文件要求进行签章</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磋商文件规定的其他情形</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供应商针对本项目需求，提供详细、清晰、科学、合理的服务方案，包含但不限于：①全面评估；②保护范围与建设控制地带划定；③保护措施制定；④环境整治规划；⑤展示利用规划；⑥管理规划编制等。 以上内容无缺项，专门针对本项目编制，符合本项目实际情况，内容全面详细，且条理清晰、准确、合理，能够保障项目顺利实施的得24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12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供应商针对本项目重、难点分析方案：包含但不限于①重难点分析；②重难点解决对策。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供应商针对本项目有具体的服务承诺、合理化建议：包含但不限于①服务承诺；②合理化建议。 以上内容无缺项，专门针对本项目编制，符合本项目实际情况，内容全面详细，且条理清晰、准确、合理，能够保障项目顺利实施的得5分。每小项缺项或者内容非针对于本项目的扣2.5分，每小项有一项内容有缺陷的扣0.5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供应商针对项目特点和执行要求制定具体的管理方案，包含但不限于：①项目组织的工作团队；②内部监督检查制度；③质量及安全把关制度；④纪律约束制度等； 以上内容无缺项，专门针对本项目编制，符合本项目实际情况，内容全面详细，且条理清晰、准确、合理，能够保障项目顺利实施的得16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得6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供应商具有2023年5月1日以来(以合同签订时间为准)类似业绩，每提供一份合同得1分，最高得5分。 评审材料:投标文件中提供完整合同复印件并加盖投标人公章，未提供或提供不完整的不得分。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项目实施人员配备情况（不含项目负责人）： ①项目管理机构人员配备6人及以上得5分； ②项目管理机构人员配备3-5人得2分。 注：人员须具有文物保护工程责任设计师或注册规划师证书或文物保护等相关专业职称等证书证件，未提供者不得分。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