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EB913">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14:paraId="08C3888E">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14:paraId="75728B90">
      <w:pPr>
        <w:pageBreakBefore w:val="0"/>
        <w:kinsoku/>
        <w:overflowPunct/>
        <w:bidi w:val="0"/>
        <w:outlineLvl w:val="9"/>
        <w:rPr>
          <w:rFonts w:hint="eastAsia" w:ascii="仿宋" w:hAnsi="仿宋" w:eastAsia="仿宋" w:cs="仿宋"/>
          <w:color w:val="auto"/>
          <w:spacing w:val="12"/>
          <w:highlight w:val="none"/>
        </w:rPr>
      </w:pPr>
    </w:p>
    <w:p w14:paraId="0F7F499B">
      <w:pPr>
        <w:pageBreakBefore w:val="0"/>
        <w:kinsoku/>
        <w:overflowPunct/>
        <w:bidi w:val="0"/>
        <w:outlineLvl w:val="9"/>
        <w:rPr>
          <w:rFonts w:hint="eastAsia" w:ascii="仿宋" w:hAnsi="仿宋" w:eastAsia="仿宋" w:cs="仿宋"/>
          <w:color w:val="auto"/>
          <w:spacing w:val="12"/>
          <w:sz w:val="44"/>
          <w:szCs w:val="44"/>
          <w:highlight w:val="none"/>
        </w:rPr>
      </w:pPr>
    </w:p>
    <w:p w14:paraId="0D69F6AE">
      <w:pPr>
        <w:pStyle w:val="2"/>
        <w:rPr>
          <w:rFonts w:hint="eastAsia" w:ascii="仿宋" w:hAnsi="仿宋" w:eastAsia="仿宋" w:cs="仿宋"/>
        </w:rPr>
      </w:pPr>
    </w:p>
    <w:p w14:paraId="03F87D31">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05FC44C5">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14:paraId="361FC081">
      <w:pPr>
        <w:pStyle w:val="3"/>
        <w:pageBreakBefore w:val="0"/>
        <w:kinsoku/>
        <w:overflowPunct/>
        <w:bidi w:val="0"/>
        <w:outlineLvl w:val="9"/>
        <w:rPr>
          <w:rFonts w:hint="eastAsia" w:ascii="仿宋" w:hAnsi="仿宋" w:eastAsia="仿宋" w:cs="仿宋"/>
          <w:color w:val="auto"/>
          <w:spacing w:val="12"/>
          <w:sz w:val="44"/>
          <w:szCs w:val="44"/>
          <w:highlight w:val="none"/>
        </w:rPr>
      </w:pPr>
    </w:p>
    <w:p w14:paraId="1929F27F">
      <w:pPr>
        <w:pStyle w:val="3"/>
        <w:pageBreakBefore w:val="0"/>
        <w:kinsoku/>
        <w:overflowPunct/>
        <w:bidi w:val="0"/>
        <w:outlineLvl w:val="9"/>
        <w:rPr>
          <w:rFonts w:hint="eastAsia" w:ascii="仿宋" w:hAnsi="仿宋" w:eastAsia="仿宋" w:cs="仿宋"/>
          <w:color w:val="auto"/>
          <w:spacing w:val="12"/>
          <w:sz w:val="44"/>
          <w:szCs w:val="44"/>
          <w:highlight w:val="none"/>
        </w:rPr>
      </w:pPr>
    </w:p>
    <w:p w14:paraId="7E8CDF11">
      <w:pPr>
        <w:pStyle w:val="3"/>
        <w:pageBreakBefore w:val="0"/>
        <w:kinsoku/>
        <w:overflowPunct/>
        <w:bidi w:val="0"/>
        <w:outlineLvl w:val="9"/>
        <w:rPr>
          <w:rFonts w:hint="eastAsia" w:ascii="仿宋" w:hAnsi="仿宋" w:eastAsia="仿宋" w:cs="仿宋"/>
          <w:color w:val="auto"/>
          <w:spacing w:val="12"/>
          <w:sz w:val="44"/>
          <w:szCs w:val="44"/>
          <w:highlight w:val="none"/>
        </w:rPr>
      </w:pPr>
    </w:p>
    <w:p w14:paraId="0E4FB70A">
      <w:pPr>
        <w:rPr>
          <w:rFonts w:hint="eastAsia" w:ascii="仿宋" w:hAnsi="仿宋" w:eastAsia="仿宋" w:cs="仿宋"/>
        </w:rPr>
      </w:pPr>
    </w:p>
    <w:p w14:paraId="17D925F2">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14:paraId="316F073C">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14:paraId="550D7138">
      <w:pPr>
        <w:pageBreakBefore w:val="0"/>
        <w:kinsoku/>
        <w:overflowPunct/>
        <w:bidi w:val="0"/>
        <w:outlineLvl w:val="9"/>
        <w:rPr>
          <w:rFonts w:hint="eastAsia" w:ascii="仿宋" w:hAnsi="仿宋" w:eastAsia="仿宋" w:cs="仿宋"/>
          <w:color w:val="auto"/>
          <w:spacing w:val="12"/>
          <w:sz w:val="32"/>
          <w:szCs w:val="32"/>
          <w:highlight w:val="none"/>
          <w:u w:val="single"/>
        </w:rPr>
      </w:pPr>
    </w:p>
    <w:p w14:paraId="7E09FFCD">
      <w:pPr>
        <w:pageBreakBefore w:val="0"/>
        <w:kinsoku/>
        <w:overflowPunct/>
        <w:bidi w:val="0"/>
        <w:outlineLvl w:val="9"/>
        <w:rPr>
          <w:rFonts w:hint="eastAsia" w:ascii="仿宋" w:hAnsi="仿宋" w:eastAsia="仿宋" w:cs="仿宋"/>
          <w:color w:val="auto"/>
          <w:spacing w:val="12"/>
          <w:sz w:val="32"/>
          <w:szCs w:val="32"/>
          <w:highlight w:val="none"/>
          <w:u w:val="single"/>
        </w:rPr>
      </w:pPr>
    </w:p>
    <w:p w14:paraId="616F0007">
      <w:pPr>
        <w:pStyle w:val="2"/>
        <w:rPr>
          <w:rFonts w:hint="eastAsia" w:ascii="仿宋" w:hAnsi="仿宋" w:eastAsia="仿宋" w:cs="仿宋"/>
          <w:color w:val="auto"/>
          <w:spacing w:val="12"/>
          <w:sz w:val="32"/>
          <w:szCs w:val="32"/>
          <w:highlight w:val="none"/>
          <w:u w:val="single"/>
        </w:rPr>
      </w:pPr>
    </w:p>
    <w:p w14:paraId="45258A3A">
      <w:pPr>
        <w:rPr>
          <w:rFonts w:hint="eastAsia" w:ascii="仿宋" w:hAnsi="仿宋" w:eastAsia="仿宋" w:cs="仿宋"/>
        </w:rPr>
      </w:pPr>
    </w:p>
    <w:p w14:paraId="3F1CA29A">
      <w:pPr>
        <w:pageBreakBefore w:val="0"/>
        <w:kinsoku/>
        <w:overflowPunct/>
        <w:bidi w:val="0"/>
        <w:outlineLvl w:val="9"/>
        <w:rPr>
          <w:rFonts w:hint="eastAsia" w:ascii="仿宋" w:hAnsi="仿宋" w:eastAsia="仿宋" w:cs="仿宋"/>
          <w:color w:val="auto"/>
          <w:spacing w:val="12"/>
          <w:sz w:val="32"/>
          <w:szCs w:val="32"/>
          <w:highlight w:val="none"/>
          <w:u w:val="single"/>
        </w:rPr>
      </w:pPr>
    </w:p>
    <w:p w14:paraId="120B6756">
      <w:pPr>
        <w:pStyle w:val="3"/>
        <w:pageBreakBefore w:val="0"/>
        <w:kinsoku/>
        <w:overflowPunct/>
        <w:bidi w:val="0"/>
        <w:ind w:firstLine="0"/>
        <w:outlineLvl w:val="9"/>
        <w:rPr>
          <w:rFonts w:hint="eastAsia" w:ascii="仿宋" w:hAnsi="仿宋" w:eastAsia="仿宋" w:cs="仿宋"/>
          <w:color w:val="auto"/>
          <w:highlight w:val="none"/>
        </w:rPr>
      </w:pPr>
    </w:p>
    <w:p w14:paraId="7AE5A707">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14:paraId="5E276F65">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14:paraId="62B090C5">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7F93085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14:paraId="4E98480D">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14:paraId="3A894EC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14:paraId="581E1B19">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14:paraId="04504492">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14:paraId="6EF9B7B7">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14:paraId="51D1DF5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14:paraId="57F50954">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14:paraId="2DD7DFFE">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14:paraId="7EDCD41C">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14:paraId="21011268">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14:paraId="6AD167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人工费、验收费、管理费、税金、利润等</w:t>
      </w:r>
      <w:r>
        <w:rPr>
          <w:rFonts w:hint="eastAsia" w:ascii="仿宋" w:hAnsi="仿宋" w:eastAsia="仿宋" w:cs="仿宋"/>
          <w:color w:val="auto"/>
          <w:sz w:val="24"/>
          <w:highlight w:val="none"/>
          <w:lang w:eastAsia="zh-CN"/>
        </w:rPr>
        <w:t>各种费用及必要的保险费用。</w:t>
      </w:r>
    </w:p>
    <w:p w14:paraId="59292F1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合同总价一次性包死，不受市场价格变化因素的影响。</w:t>
      </w:r>
      <w:bookmarkStart w:id="1" w:name="_Toc5628"/>
    </w:p>
    <w:p w14:paraId="6B083D54">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三、款项结算</w:t>
      </w:r>
      <w:bookmarkEnd w:id="1"/>
    </w:p>
    <w:p w14:paraId="114BF33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1.合同价款的支付：合同签订后预付50%，成果文件经评审并通过后支付剩余50%款项。</w:t>
      </w:r>
      <w:bookmarkStart w:id="7" w:name="_GoBack"/>
      <w:bookmarkEnd w:id="7"/>
    </w:p>
    <w:p w14:paraId="73421F0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14:paraId="4FE6E158">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p>
    <w:p w14:paraId="2267A48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A71B480">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81B5A2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14:paraId="77CC55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14:paraId="4B29448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14:paraId="511B2D2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14:paraId="302D3F3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14:paraId="2B674C9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14:paraId="0095119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14:paraId="335EA43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14:paraId="06E60EB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14:paraId="7012E3B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14:paraId="0A409B4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14:paraId="01A4E9EE">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14:paraId="4321D2D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14:paraId="6814C48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14:paraId="51E298B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14:paraId="3E04D1EB">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14:paraId="5598FB2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14:paraId="139FA58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14:paraId="4EE523A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14:paraId="0A92B90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14:paraId="591E7F15">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14:paraId="1049406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14:paraId="299D8278">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14:paraId="0F17036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14:paraId="7F7E727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14:paraId="1D75A41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14:paraId="6D00C934">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14:paraId="2FABC26F">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14:paraId="5665C9F4">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（一）采购人因未及时向</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提供项目启动所需资料造成</w:t>
      </w:r>
      <w:r>
        <w:rPr>
          <w:rFonts w:hint="eastAsia" w:ascii="仿宋" w:hAnsi="仿宋" w:eastAsia="仿宋" w:cs="仿宋"/>
          <w:bCs/>
          <w:color w:val="auto"/>
          <w:sz w:val="24"/>
          <w:highlight w:val="none"/>
          <w:lang w:val="en-US" w:eastAsia="zh-CN"/>
        </w:rPr>
        <w:t>服务</w:t>
      </w:r>
      <w:r>
        <w:rPr>
          <w:rFonts w:hint="eastAsia" w:ascii="仿宋" w:hAnsi="仿宋" w:eastAsia="仿宋" w:cs="仿宋"/>
          <w:bCs/>
          <w:color w:val="auto"/>
          <w:sz w:val="24"/>
          <w:highlight w:val="none"/>
        </w:rPr>
        <w:t>期延误，每延误1日则本合同服务周期限延长1日，以此类推；因资料真实性给</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造成损失和产生相关连带责任时，采购人除按</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要求进行赔偿外还需承担因连带责任产生的所有责任。</w:t>
      </w:r>
    </w:p>
    <w:p w14:paraId="3417347C">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（二）因</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原因造成工期延误（自然灾害、疫情等不可抗力除外），采购人有权从未付款项中按每日3‰合同价款扣除违约金，此违约以30日为限。</w:t>
      </w:r>
    </w:p>
    <w:p w14:paraId="3DBB752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14:paraId="18514F1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14:paraId="7D52421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14:paraId="56A1311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14:paraId="38720FE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14:paraId="08DC4CD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14:paraId="0F37AF8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14:paraId="2960563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14:paraId="0E52A99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14:paraId="04C8981E">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14:paraId="578C782B">
      <w:pPr>
        <w:pageBreakBefore w:val="0"/>
        <w:kinsoku/>
        <w:overflowPunct/>
        <w:bidi w:val="0"/>
        <w:spacing w:line="500" w:lineRule="exact"/>
        <w:outlineLvl w:val="9"/>
        <w:rPr>
          <w:rFonts w:hint="eastAsia" w:ascii="仿宋" w:hAnsi="仿宋" w:eastAsia="仿宋" w:cs="仿宋"/>
          <w:color w:val="auto"/>
          <w:sz w:val="24"/>
          <w:highlight w:val="none"/>
        </w:rPr>
      </w:pPr>
    </w:p>
    <w:p w14:paraId="7D66883C">
      <w:pPr>
        <w:pStyle w:val="5"/>
        <w:pageBreakBefore w:val="0"/>
        <w:kinsoku/>
        <w:overflowPunct/>
        <w:bidi w:val="0"/>
        <w:jc w:val="center"/>
        <w:outlineLvl w:val="9"/>
        <w:rPr>
          <w:rFonts w:hint="eastAsia" w:ascii="仿宋" w:hAnsi="仿宋" w:eastAsia="仿宋" w:cs="仿宋"/>
          <w:color w:val="auto"/>
          <w:highlight w:val="none"/>
        </w:rPr>
      </w:pPr>
    </w:p>
    <w:p w14:paraId="3B7DD2C9">
      <w:pPr>
        <w:rPr>
          <w:rFonts w:hint="eastAsia"/>
        </w:rPr>
      </w:pPr>
    </w:p>
    <w:p w14:paraId="0E9B384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甲方</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14:paraId="61263B7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14:paraId="0CB35109">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14:paraId="07A822DB">
      <w:pPr>
        <w:pStyle w:val="5"/>
        <w:pageBreakBefore w:val="0"/>
        <w:kinsoku/>
        <w:overflowPunct/>
        <w:bidi w:val="0"/>
        <w:jc w:val="center"/>
        <w:outlineLvl w:val="9"/>
        <w:rPr>
          <w:rFonts w:hint="eastAsia" w:ascii="仿宋" w:hAnsi="仿宋" w:eastAsia="仿宋" w:cs="仿宋"/>
          <w:color w:val="auto"/>
          <w:highlight w:val="none"/>
        </w:rPr>
      </w:pPr>
    </w:p>
    <w:p w14:paraId="7066A459">
      <w:pPr>
        <w:pageBreakBefore w:val="0"/>
        <w:kinsoku/>
        <w:overflowPunct/>
        <w:bidi w:val="0"/>
        <w:outlineLvl w:val="9"/>
        <w:rPr>
          <w:rFonts w:hint="eastAsia" w:ascii="仿宋" w:hAnsi="仿宋" w:eastAsia="仿宋" w:cs="仿宋"/>
          <w:color w:val="auto"/>
          <w:highlight w:val="none"/>
        </w:rPr>
      </w:pPr>
    </w:p>
    <w:p w14:paraId="15D2CB16">
      <w:pPr>
        <w:pStyle w:val="2"/>
        <w:pageBreakBefore w:val="0"/>
        <w:kinsoku/>
        <w:overflowPunct/>
        <w:bidi w:val="0"/>
        <w:outlineLvl w:val="9"/>
        <w:rPr>
          <w:rFonts w:hint="eastAsia" w:ascii="仿宋" w:hAnsi="仿宋" w:eastAsia="仿宋" w:cs="仿宋"/>
          <w:color w:val="auto"/>
          <w:highlight w:val="none"/>
        </w:rPr>
      </w:pPr>
    </w:p>
    <w:p w14:paraId="75E35ACE">
      <w:pPr>
        <w:pageBreakBefore w:val="0"/>
        <w:kinsoku/>
        <w:overflowPunct/>
        <w:bidi w:val="0"/>
        <w:outlineLvl w:val="9"/>
        <w:rPr>
          <w:rFonts w:hint="eastAsia" w:ascii="仿宋" w:hAnsi="仿宋" w:eastAsia="仿宋" w:cs="仿宋"/>
          <w:color w:val="auto"/>
          <w:highlight w:val="none"/>
        </w:rPr>
      </w:pPr>
    </w:p>
    <w:p w14:paraId="136A4B1D">
      <w:pPr>
        <w:rPr>
          <w:rFonts w:hint="eastAsia" w:ascii="仿宋" w:hAnsi="仿宋" w:eastAsia="仿宋" w:cs="仿宋"/>
        </w:rPr>
      </w:pPr>
    </w:p>
    <w:p w14:paraId="71B2B330"/>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643">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7959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D7959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F4893"/>
    <w:rsid w:val="01BF5A64"/>
    <w:rsid w:val="04446A9D"/>
    <w:rsid w:val="07F10452"/>
    <w:rsid w:val="0AA260E9"/>
    <w:rsid w:val="0B4336A9"/>
    <w:rsid w:val="0F3B0205"/>
    <w:rsid w:val="0F704352"/>
    <w:rsid w:val="11C97B52"/>
    <w:rsid w:val="129F0AAB"/>
    <w:rsid w:val="12D93FBD"/>
    <w:rsid w:val="14276FAA"/>
    <w:rsid w:val="1E2702D2"/>
    <w:rsid w:val="1F08137E"/>
    <w:rsid w:val="20515ADA"/>
    <w:rsid w:val="2669113B"/>
    <w:rsid w:val="29E96D83"/>
    <w:rsid w:val="2E230254"/>
    <w:rsid w:val="30F71D86"/>
    <w:rsid w:val="31EC7411"/>
    <w:rsid w:val="31FE7144"/>
    <w:rsid w:val="33C15E0E"/>
    <w:rsid w:val="38636B0E"/>
    <w:rsid w:val="3D1E4B3E"/>
    <w:rsid w:val="540B3A33"/>
    <w:rsid w:val="549C661D"/>
    <w:rsid w:val="55151F3A"/>
    <w:rsid w:val="60A725D1"/>
    <w:rsid w:val="6389422C"/>
    <w:rsid w:val="665C4368"/>
    <w:rsid w:val="73424E39"/>
    <w:rsid w:val="74F811F5"/>
    <w:rsid w:val="797A0159"/>
    <w:rsid w:val="7CC07A8E"/>
    <w:rsid w:val="7EE747B5"/>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1870</Words>
  <Characters>1899</Characters>
  <Lines>0</Lines>
  <Paragraphs>0</Paragraphs>
  <TotalTime>0</TotalTime>
  <ScaleCrop>false</ScaleCrop>
  <LinksUpToDate>false</LinksUpToDate>
  <CharactersWithSpaces>2102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2025-04-18T11:39:00Z</dcterms:created>
  <dc:creator>pc</dc:creator>
  <cp:lastModifiedBy>夏天</cp:lastModifiedBy>
  <dcterms:modified xsi:type="dcterms:W3CDTF">2026-05-12T02:55:48Z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eyJoZGlkIjoiMDVkNGI0YzBlMjRhNWQwMzAxZWUyZDAxNWZiOTM3YmUiLCJ1c2VySWQiOiI2MzM2MTM2NDUifQ==</vt:lpwstr>
  </property>
  <property fmtid="{D5CDD505-2E9C-101B-9397-08002B2CF9AE}" pid="4" name="ICV">
    <vt:lpwstr>A0C03E577B1A4A6CAA0622F4B36104A9_13</vt:lpwstr>
  </property>
</Properties>
</file>