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7BA12">
      <w:pPr>
        <w:pageBreakBefore w:val="0"/>
        <w:kinsoku w:val="0"/>
        <w:wordWrap/>
        <w:overflowPunct/>
        <w:topLinePunct w:val="0"/>
        <w:autoSpaceDE w:val="0"/>
        <w:autoSpaceDN w:val="0"/>
        <w:bidi w:val="0"/>
        <w:adjustRightInd w:val="0"/>
        <w:snapToGrid w:val="0"/>
        <w:spacing w:line="440" w:lineRule="exact"/>
        <w:jc w:val="center"/>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32"/>
          <w:szCs w:val="32"/>
          <w:lang w:val="en-US" w:eastAsia="zh-CN"/>
        </w:rPr>
        <w:t>采购要求</w:t>
      </w:r>
    </w:p>
    <w:p w14:paraId="612CF5D5">
      <w:pPr>
        <w:spacing w:line="360" w:lineRule="auto"/>
        <w:ind w:firstLine="480" w:firstLineChars="200"/>
        <w:jc w:val="left"/>
        <w:rPr>
          <w:rFonts w:hint="eastAsia" w:ascii="Times New Roman" w:hAnsi="Times New Roman"/>
          <w:sz w:val="24"/>
        </w:rPr>
      </w:pPr>
      <w:bookmarkStart w:id="2" w:name="_GoBack"/>
      <w:bookmarkEnd w:id="2"/>
    </w:p>
    <w:p w14:paraId="2C399BC3">
      <w:pPr>
        <w:pageBreakBefore w:val="0"/>
        <w:kinsoku w:val="0"/>
        <w:wordWrap/>
        <w:overflowPunct/>
        <w:topLinePunct w:val="0"/>
        <w:autoSpaceDE w:val="0"/>
        <w:autoSpaceDN w:val="0"/>
        <w:bidi w:val="0"/>
        <w:adjustRightInd w:val="0"/>
        <w:snapToGrid w:val="0"/>
        <w:spacing w:line="440" w:lineRule="exact"/>
        <w:ind w:left="12" w:firstLine="478"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一、项目概况</w:t>
      </w:r>
    </w:p>
    <w:p w14:paraId="462E214A">
      <w:pPr>
        <w:spacing w:line="360" w:lineRule="auto"/>
        <w:ind w:firstLine="480" w:firstLineChars="200"/>
        <w:jc w:val="left"/>
        <w:rPr>
          <w:rFonts w:hint="eastAsia" w:ascii="Times New Roman" w:hAnsi="Times New Roman"/>
          <w:bCs/>
          <w:sz w:val="24"/>
          <w:szCs w:val="24"/>
        </w:rPr>
      </w:pPr>
      <w:r>
        <w:rPr>
          <w:rFonts w:hint="eastAsia" w:ascii="Times New Roman" w:hAnsi="Times New Roman"/>
          <w:sz w:val="24"/>
        </w:rPr>
        <w:t>依据</w:t>
      </w:r>
      <w:r>
        <w:rPr>
          <w:rFonts w:hint="eastAsia" w:ascii="Times New Roman" w:hAnsi="Times New Roman"/>
          <w:bCs/>
          <w:sz w:val="24"/>
          <w:szCs w:val="24"/>
        </w:rPr>
        <w:t>《水利部办公厅关于开展河湖管理范围划定成果复核工作的通知》，需要对流域面积1000平方公里以上河流管理范围划定成果进行复核</w:t>
      </w:r>
      <w:r>
        <w:rPr>
          <w:rFonts w:hint="eastAsia" w:ascii="Times New Roman" w:hAnsi="Times New Roman"/>
          <w:sz w:val="24"/>
        </w:rPr>
        <w:t>。本次志丹县主要对县域内北洛河进行划界复核。北洛河志丹段具体参数</w:t>
      </w:r>
      <w:r>
        <w:rPr>
          <w:rFonts w:hint="eastAsia" w:ascii="Times New Roman" w:hAnsi="Times New Roman"/>
          <w:bCs/>
          <w:sz w:val="24"/>
          <w:szCs w:val="24"/>
        </w:rPr>
        <w:t>如下表。</w:t>
      </w:r>
    </w:p>
    <w:tbl>
      <w:tblPr>
        <w:tblStyle w:val="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6"/>
        <w:gridCol w:w="876"/>
        <w:gridCol w:w="1127"/>
        <w:gridCol w:w="983"/>
        <w:gridCol w:w="1144"/>
        <w:gridCol w:w="1478"/>
        <w:gridCol w:w="2258"/>
      </w:tblGrid>
      <w:tr w14:paraId="162AF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exact"/>
          <w:jc w:val="center"/>
        </w:trPr>
        <w:tc>
          <w:tcPr>
            <w:tcW w:w="656" w:type="dxa"/>
            <w:vMerge w:val="restart"/>
            <w:shd w:val="clear" w:color="auto" w:fill="auto"/>
            <w:vAlign w:val="center"/>
          </w:tcPr>
          <w:p w14:paraId="15FA7DBF">
            <w:pPr>
              <w:widowControl/>
              <w:jc w:val="center"/>
              <w:rPr>
                <w:rFonts w:ascii="Times New Roman" w:hAnsi="Times New Roman"/>
                <w:color w:val="000000"/>
                <w:kern w:val="0"/>
                <w:sz w:val="22"/>
              </w:rPr>
            </w:pPr>
            <w:r>
              <w:rPr>
                <w:rFonts w:ascii="Times New Roman" w:hAnsi="宋体"/>
                <w:color w:val="000000"/>
                <w:kern w:val="0"/>
                <w:sz w:val="22"/>
              </w:rPr>
              <w:t>序号</w:t>
            </w:r>
          </w:p>
        </w:tc>
        <w:tc>
          <w:tcPr>
            <w:tcW w:w="876" w:type="dxa"/>
            <w:vMerge w:val="restart"/>
            <w:shd w:val="clear" w:color="auto" w:fill="auto"/>
            <w:vAlign w:val="center"/>
          </w:tcPr>
          <w:p w14:paraId="4DE8B8A9">
            <w:pPr>
              <w:widowControl/>
              <w:jc w:val="center"/>
              <w:rPr>
                <w:rFonts w:ascii="Times New Roman" w:hAnsi="Times New Roman"/>
                <w:color w:val="000000"/>
                <w:kern w:val="0"/>
                <w:sz w:val="22"/>
              </w:rPr>
            </w:pPr>
            <w:r>
              <w:rPr>
                <w:rFonts w:ascii="Times New Roman" w:hAnsi="宋体"/>
                <w:color w:val="000000"/>
                <w:kern w:val="0"/>
                <w:sz w:val="22"/>
              </w:rPr>
              <w:t>河流</w:t>
            </w:r>
          </w:p>
        </w:tc>
        <w:tc>
          <w:tcPr>
            <w:tcW w:w="2110" w:type="dxa"/>
            <w:gridSpan w:val="2"/>
            <w:shd w:val="clear" w:color="auto" w:fill="auto"/>
            <w:vAlign w:val="center"/>
          </w:tcPr>
          <w:p w14:paraId="08A406A5">
            <w:pPr>
              <w:widowControl/>
              <w:jc w:val="center"/>
              <w:rPr>
                <w:rFonts w:ascii="Times New Roman" w:hAnsi="Times New Roman"/>
                <w:color w:val="000000"/>
                <w:kern w:val="0"/>
                <w:sz w:val="22"/>
              </w:rPr>
            </w:pPr>
            <w:r>
              <w:rPr>
                <w:rFonts w:ascii="Times New Roman" w:hAnsi="宋体"/>
                <w:color w:val="000000"/>
                <w:kern w:val="0"/>
                <w:sz w:val="22"/>
              </w:rPr>
              <w:t>河长（</w:t>
            </w:r>
            <w:r>
              <w:rPr>
                <w:rFonts w:ascii="Times New Roman" w:hAnsi="Times New Roman"/>
                <w:color w:val="000000"/>
                <w:kern w:val="0"/>
                <w:sz w:val="22"/>
              </w:rPr>
              <w:t>km</w:t>
            </w:r>
            <w:r>
              <w:rPr>
                <w:rFonts w:ascii="Times New Roman" w:hAnsi="宋体"/>
                <w:color w:val="000000"/>
                <w:kern w:val="0"/>
                <w:sz w:val="22"/>
              </w:rPr>
              <w:t>）</w:t>
            </w:r>
          </w:p>
        </w:tc>
        <w:tc>
          <w:tcPr>
            <w:tcW w:w="2622" w:type="dxa"/>
            <w:gridSpan w:val="2"/>
            <w:shd w:val="clear" w:color="auto" w:fill="auto"/>
            <w:vAlign w:val="center"/>
          </w:tcPr>
          <w:p w14:paraId="13434915">
            <w:pPr>
              <w:widowControl/>
              <w:jc w:val="center"/>
              <w:rPr>
                <w:rFonts w:ascii="Times New Roman" w:hAnsi="Times New Roman"/>
                <w:color w:val="000000"/>
                <w:kern w:val="0"/>
                <w:sz w:val="22"/>
              </w:rPr>
            </w:pPr>
            <w:r>
              <w:rPr>
                <w:rFonts w:ascii="Times New Roman" w:hAnsi="宋体"/>
                <w:color w:val="000000"/>
                <w:kern w:val="0"/>
                <w:sz w:val="22"/>
              </w:rPr>
              <w:t>流域面积（</w:t>
            </w:r>
            <w:r>
              <w:rPr>
                <w:rFonts w:ascii="Times New Roman" w:hAnsi="Times New Roman"/>
                <w:color w:val="000000"/>
                <w:kern w:val="0"/>
                <w:sz w:val="22"/>
              </w:rPr>
              <w:t>km</w:t>
            </w:r>
            <w:r>
              <w:rPr>
                <w:rFonts w:ascii="Times New Roman" w:hAnsi="Times New Roman"/>
                <w:color w:val="000000"/>
                <w:kern w:val="0"/>
                <w:sz w:val="22"/>
                <w:vertAlign w:val="superscript"/>
              </w:rPr>
              <w:t>2</w:t>
            </w:r>
            <w:r>
              <w:rPr>
                <w:rFonts w:ascii="Times New Roman" w:hAnsi="宋体"/>
                <w:color w:val="000000"/>
                <w:kern w:val="0"/>
                <w:sz w:val="22"/>
              </w:rPr>
              <w:t>）</w:t>
            </w:r>
          </w:p>
        </w:tc>
        <w:tc>
          <w:tcPr>
            <w:tcW w:w="2258" w:type="dxa"/>
            <w:vMerge w:val="restart"/>
            <w:shd w:val="clear" w:color="auto" w:fill="auto"/>
            <w:vAlign w:val="center"/>
          </w:tcPr>
          <w:p w14:paraId="0265D95C">
            <w:pPr>
              <w:widowControl/>
              <w:jc w:val="center"/>
              <w:rPr>
                <w:rFonts w:ascii="Times New Roman" w:hAnsi="Times New Roman"/>
                <w:color w:val="000000"/>
                <w:kern w:val="0"/>
                <w:sz w:val="22"/>
              </w:rPr>
            </w:pPr>
            <w:r>
              <w:rPr>
                <w:rFonts w:ascii="Times New Roman" w:hAnsi="宋体"/>
                <w:color w:val="000000"/>
                <w:kern w:val="0"/>
                <w:sz w:val="22"/>
              </w:rPr>
              <w:t>本次划界长度（</w:t>
            </w:r>
            <w:r>
              <w:rPr>
                <w:rFonts w:ascii="Times New Roman" w:hAnsi="Times New Roman"/>
                <w:color w:val="000000"/>
                <w:kern w:val="0"/>
                <w:sz w:val="22"/>
              </w:rPr>
              <w:t>km</w:t>
            </w:r>
            <w:r>
              <w:rPr>
                <w:rFonts w:ascii="Times New Roman" w:hAnsi="宋体"/>
                <w:color w:val="000000"/>
                <w:kern w:val="0"/>
                <w:sz w:val="22"/>
              </w:rPr>
              <w:t>）</w:t>
            </w:r>
          </w:p>
        </w:tc>
      </w:tr>
      <w:tr w14:paraId="7ED56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exact"/>
          <w:jc w:val="center"/>
        </w:trPr>
        <w:tc>
          <w:tcPr>
            <w:tcW w:w="656" w:type="dxa"/>
            <w:vMerge w:val="continue"/>
            <w:shd w:val="clear" w:color="auto" w:fill="auto"/>
            <w:vAlign w:val="center"/>
          </w:tcPr>
          <w:p w14:paraId="4F760E76">
            <w:pPr>
              <w:widowControl/>
              <w:jc w:val="center"/>
              <w:rPr>
                <w:rFonts w:ascii="Times New Roman" w:hAnsi="宋体"/>
                <w:color w:val="000000"/>
                <w:kern w:val="0"/>
                <w:sz w:val="22"/>
              </w:rPr>
            </w:pPr>
          </w:p>
        </w:tc>
        <w:tc>
          <w:tcPr>
            <w:tcW w:w="876" w:type="dxa"/>
            <w:vMerge w:val="continue"/>
            <w:shd w:val="clear" w:color="auto" w:fill="auto"/>
            <w:vAlign w:val="center"/>
          </w:tcPr>
          <w:p w14:paraId="1EC3E2B0">
            <w:pPr>
              <w:widowControl/>
              <w:jc w:val="center"/>
              <w:rPr>
                <w:rFonts w:ascii="Times New Roman" w:hAnsi="宋体"/>
                <w:color w:val="000000"/>
                <w:kern w:val="0"/>
                <w:sz w:val="22"/>
              </w:rPr>
            </w:pPr>
          </w:p>
        </w:tc>
        <w:tc>
          <w:tcPr>
            <w:tcW w:w="1127" w:type="dxa"/>
            <w:shd w:val="clear" w:color="auto" w:fill="auto"/>
            <w:vAlign w:val="center"/>
          </w:tcPr>
          <w:p w14:paraId="43667DB0">
            <w:pPr>
              <w:widowControl/>
              <w:jc w:val="center"/>
              <w:rPr>
                <w:rFonts w:ascii="Times New Roman" w:hAnsi="宋体"/>
                <w:color w:val="000000"/>
                <w:kern w:val="0"/>
                <w:sz w:val="22"/>
              </w:rPr>
            </w:pPr>
            <w:r>
              <w:rPr>
                <w:rFonts w:ascii="Times New Roman" w:hAnsi="宋体"/>
                <w:color w:val="000000"/>
                <w:kern w:val="0"/>
                <w:sz w:val="22"/>
              </w:rPr>
              <w:t>全流域</w:t>
            </w:r>
          </w:p>
        </w:tc>
        <w:tc>
          <w:tcPr>
            <w:tcW w:w="983" w:type="dxa"/>
            <w:shd w:val="clear" w:color="auto" w:fill="auto"/>
            <w:vAlign w:val="center"/>
          </w:tcPr>
          <w:p w14:paraId="5839FE9C">
            <w:pPr>
              <w:widowControl/>
              <w:jc w:val="center"/>
              <w:rPr>
                <w:rFonts w:ascii="Times New Roman" w:hAnsi="宋体"/>
                <w:color w:val="000000"/>
                <w:kern w:val="0"/>
                <w:sz w:val="22"/>
              </w:rPr>
            </w:pPr>
            <w:r>
              <w:rPr>
                <w:rFonts w:hint="eastAsia" w:ascii="Times New Roman" w:hAnsi="宋体"/>
                <w:color w:val="000000"/>
                <w:kern w:val="0"/>
                <w:sz w:val="22"/>
              </w:rPr>
              <w:t>境内</w:t>
            </w:r>
          </w:p>
        </w:tc>
        <w:tc>
          <w:tcPr>
            <w:tcW w:w="1144" w:type="dxa"/>
            <w:shd w:val="clear" w:color="auto" w:fill="auto"/>
            <w:vAlign w:val="center"/>
          </w:tcPr>
          <w:p w14:paraId="3068C7F1">
            <w:pPr>
              <w:widowControl/>
              <w:jc w:val="center"/>
              <w:rPr>
                <w:rFonts w:ascii="Times New Roman" w:hAnsi="宋体"/>
                <w:color w:val="000000"/>
                <w:kern w:val="0"/>
                <w:sz w:val="22"/>
              </w:rPr>
            </w:pPr>
            <w:r>
              <w:rPr>
                <w:rFonts w:hint="eastAsia" w:ascii="Times New Roman" w:hAnsi="宋体"/>
                <w:color w:val="000000"/>
                <w:kern w:val="0"/>
                <w:sz w:val="22"/>
              </w:rPr>
              <w:t>全流域</w:t>
            </w:r>
          </w:p>
        </w:tc>
        <w:tc>
          <w:tcPr>
            <w:tcW w:w="1478" w:type="dxa"/>
            <w:shd w:val="clear" w:color="auto" w:fill="auto"/>
            <w:vAlign w:val="center"/>
          </w:tcPr>
          <w:p w14:paraId="7C12F0B9">
            <w:pPr>
              <w:widowControl/>
              <w:jc w:val="center"/>
              <w:rPr>
                <w:rFonts w:ascii="Times New Roman" w:hAnsi="宋体"/>
                <w:color w:val="000000"/>
                <w:kern w:val="0"/>
                <w:sz w:val="22"/>
              </w:rPr>
            </w:pPr>
            <w:r>
              <w:rPr>
                <w:rFonts w:hint="eastAsia" w:ascii="Times New Roman" w:hAnsi="宋体"/>
                <w:color w:val="000000"/>
                <w:kern w:val="0"/>
                <w:sz w:val="22"/>
              </w:rPr>
              <w:t>境内</w:t>
            </w:r>
          </w:p>
        </w:tc>
        <w:tc>
          <w:tcPr>
            <w:tcW w:w="2258" w:type="dxa"/>
            <w:vMerge w:val="continue"/>
            <w:shd w:val="clear" w:color="auto" w:fill="auto"/>
            <w:vAlign w:val="center"/>
          </w:tcPr>
          <w:p w14:paraId="0C7EDB72">
            <w:pPr>
              <w:widowControl/>
              <w:jc w:val="center"/>
              <w:rPr>
                <w:rFonts w:ascii="Times New Roman" w:hAnsi="宋体"/>
                <w:color w:val="000000"/>
                <w:kern w:val="0"/>
                <w:sz w:val="22"/>
              </w:rPr>
            </w:pPr>
          </w:p>
        </w:tc>
      </w:tr>
      <w:tr w14:paraId="14AE5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exact"/>
          <w:jc w:val="center"/>
        </w:trPr>
        <w:tc>
          <w:tcPr>
            <w:tcW w:w="656" w:type="dxa"/>
            <w:shd w:val="clear" w:color="auto" w:fill="auto"/>
            <w:vAlign w:val="center"/>
          </w:tcPr>
          <w:p w14:paraId="78010B03">
            <w:pPr>
              <w:widowControl/>
              <w:jc w:val="center"/>
              <w:rPr>
                <w:rFonts w:ascii="Times New Roman" w:hAnsi="Times New Roman"/>
                <w:color w:val="000000"/>
                <w:kern w:val="0"/>
                <w:sz w:val="22"/>
              </w:rPr>
            </w:pPr>
            <w:r>
              <w:rPr>
                <w:rFonts w:ascii="Times New Roman" w:hAnsi="Times New Roman"/>
                <w:color w:val="000000"/>
                <w:kern w:val="0"/>
                <w:sz w:val="22"/>
              </w:rPr>
              <w:t>1</w:t>
            </w:r>
          </w:p>
        </w:tc>
        <w:tc>
          <w:tcPr>
            <w:tcW w:w="876" w:type="dxa"/>
            <w:shd w:val="clear" w:color="auto" w:fill="auto"/>
            <w:vAlign w:val="center"/>
          </w:tcPr>
          <w:p w14:paraId="799E9A6B">
            <w:pPr>
              <w:widowControl/>
              <w:jc w:val="center"/>
              <w:rPr>
                <w:rFonts w:ascii="Times New Roman" w:hAnsi="Times New Roman"/>
                <w:color w:val="000000"/>
                <w:kern w:val="0"/>
                <w:sz w:val="22"/>
              </w:rPr>
            </w:pPr>
            <w:r>
              <w:rPr>
                <w:rFonts w:hint="eastAsia" w:ascii="Times New Roman" w:hAnsi="宋体"/>
                <w:color w:val="000000"/>
                <w:kern w:val="0"/>
                <w:sz w:val="22"/>
              </w:rPr>
              <w:t>北洛河</w:t>
            </w:r>
          </w:p>
        </w:tc>
        <w:tc>
          <w:tcPr>
            <w:tcW w:w="1127" w:type="dxa"/>
            <w:shd w:val="clear" w:color="auto" w:fill="auto"/>
            <w:vAlign w:val="center"/>
          </w:tcPr>
          <w:p w14:paraId="5491DC55">
            <w:pPr>
              <w:widowControl/>
              <w:jc w:val="center"/>
              <w:rPr>
                <w:rFonts w:hint="eastAsia" w:ascii="Times New Roman" w:hAnsi="Times New Roman"/>
                <w:color w:val="000000"/>
                <w:kern w:val="0"/>
                <w:sz w:val="22"/>
              </w:rPr>
            </w:pPr>
            <w:r>
              <w:rPr>
                <w:rFonts w:ascii="Times New Roman" w:hAnsi="Times New Roman"/>
                <w:color w:val="000000"/>
                <w:kern w:val="0"/>
                <w:sz w:val="22"/>
              </w:rPr>
              <w:t>680.3</w:t>
            </w:r>
          </w:p>
        </w:tc>
        <w:tc>
          <w:tcPr>
            <w:tcW w:w="983" w:type="dxa"/>
            <w:shd w:val="clear" w:color="auto" w:fill="auto"/>
            <w:vAlign w:val="center"/>
          </w:tcPr>
          <w:p w14:paraId="6DB4E2B5">
            <w:pPr>
              <w:widowControl/>
              <w:jc w:val="center"/>
              <w:rPr>
                <w:rFonts w:ascii="Times New Roman" w:hAnsi="Times New Roman"/>
                <w:color w:val="000000"/>
                <w:kern w:val="0"/>
                <w:sz w:val="22"/>
              </w:rPr>
            </w:pPr>
            <w:r>
              <w:rPr>
                <w:rFonts w:hint="eastAsia" w:ascii="Times New Roman" w:hAnsi="Times New Roman"/>
                <w:color w:val="000000"/>
                <w:kern w:val="0"/>
                <w:sz w:val="22"/>
              </w:rPr>
              <w:t>90.2</w:t>
            </w:r>
          </w:p>
        </w:tc>
        <w:tc>
          <w:tcPr>
            <w:tcW w:w="1144" w:type="dxa"/>
            <w:shd w:val="clear" w:color="auto" w:fill="auto"/>
            <w:vAlign w:val="center"/>
          </w:tcPr>
          <w:p w14:paraId="1E109D89">
            <w:pPr>
              <w:widowControl/>
              <w:jc w:val="center"/>
              <w:rPr>
                <w:rFonts w:hint="eastAsia" w:ascii="Times New Roman" w:hAnsi="Times New Roman"/>
                <w:color w:val="000000"/>
                <w:kern w:val="0"/>
                <w:sz w:val="22"/>
              </w:rPr>
            </w:pPr>
            <w:bookmarkStart w:id="0" w:name="OLE_LINK6"/>
            <w:bookmarkStart w:id="1" w:name="OLE_LINK7"/>
            <w:r>
              <w:rPr>
                <w:rFonts w:ascii="Times New Roman" w:hAnsi="Times New Roman"/>
                <w:color w:val="000000"/>
                <w:kern w:val="0"/>
                <w:sz w:val="22"/>
              </w:rPr>
              <w:t>26905</w:t>
            </w:r>
            <w:bookmarkEnd w:id="0"/>
            <w:bookmarkEnd w:id="1"/>
          </w:p>
        </w:tc>
        <w:tc>
          <w:tcPr>
            <w:tcW w:w="1478" w:type="dxa"/>
            <w:shd w:val="clear" w:color="auto" w:fill="auto"/>
            <w:vAlign w:val="center"/>
          </w:tcPr>
          <w:p w14:paraId="6B82BB6D">
            <w:pPr>
              <w:widowControl/>
              <w:jc w:val="center"/>
              <w:rPr>
                <w:rFonts w:ascii="Times New Roman" w:hAnsi="Times New Roman"/>
                <w:color w:val="000000"/>
                <w:kern w:val="0"/>
                <w:sz w:val="22"/>
              </w:rPr>
            </w:pPr>
            <w:r>
              <w:rPr>
                <w:rFonts w:hint="eastAsia" w:ascii="Times New Roman" w:hAnsi="Times New Roman"/>
                <w:color w:val="000000"/>
                <w:kern w:val="0"/>
                <w:sz w:val="22"/>
              </w:rPr>
              <w:t>3017</w:t>
            </w:r>
          </w:p>
        </w:tc>
        <w:tc>
          <w:tcPr>
            <w:tcW w:w="2258" w:type="dxa"/>
            <w:shd w:val="clear" w:color="auto" w:fill="auto"/>
            <w:vAlign w:val="center"/>
          </w:tcPr>
          <w:p w14:paraId="7F8DFD03">
            <w:pPr>
              <w:widowControl/>
              <w:jc w:val="center"/>
              <w:rPr>
                <w:rFonts w:ascii="Times New Roman" w:hAnsi="Times New Roman"/>
                <w:color w:val="000000"/>
                <w:kern w:val="0"/>
                <w:sz w:val="22"/>
              </w:rPr>
            </w:pPr>
            <w:r>
              <w:rPr>
                <w:rFonts w:hint="eastAsia" w:ascii="Times New Roman" w:hAnsi="Times New Roman"/>
                <w:color w:val="000000"/>
                <w:kern w:val="0"/>
                <w:sz w:val="22"/>
              </w:rPr>
              <w:t>90.2</w:t>
            </w:r>
          </w:p>
        </w:tc>
      </w:tr>
    </w:tbl>
    <w:p w14:paraId="179D4C8B">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项目名称：</w:t>
      </w:r>
      <w:r>
        <w:rPr>
          <w:rFonts w:hint="eastAsia"/>
          <w:sz w:val="24"/>
          <w:szCs w:val="24"/>
        </w:rPr>
        <w:t>志丹县水务局河湖管理范围划定成果复核编制服务</w:t>
      </w:r>
    </w:p>
    <w:p w14:paraId="1D869E8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采购人名称：</w:t>
      </w:r>
      <w:r>
        <w:rPr>
          <w:rFonts w:hint="eastAsia" w:asciiTheme="minorEastAsia" w:hAnsiTheme="minorEastAsia" w:eastAsiaTheme="minorEastAsia" w:cstheme="minorEastAsia"/>
          <w:color w:val="auto"/>
          <w:spacing w:val="-1"/>
          <w:sz w:val="24"/>
          <w:szCs w:val="24"/>
          <w:lang w:eastAsia="zh-CN"/>
        </w:rPr>
        <w:t>志丹县水务局</w:t>
      </w:r>
    </w:p>
    <w:p w14:paraId="416BC28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采购人地址：</w:t>
      </w:r>
      <w:r>
        <w:rPr>
          <w:rFonts w:hint="eastAsia" w:asciiTheme="minorEastAsia" w:hAnsiTheme="minorEastAsia" w:eastAsiaTheme="minorEastAsia" w:cstheme="minorEastAsia"/>
          <w:color w:val="auto"/>
          <w:spacing w:val="-1"/>
          <w:sz w:val="24"/>
          <w:szCs w:val="24"/>
          <w:lang w:eastAsia="zh-CN"/>
        </w:rPr>
        <w:t>志丹县</w:t>
      </w:r>
    </w:p>
    <w:p w14:paraId="33D984A9">
      <w:pPr>
        <w:pageBreakBefore w:val="0"/>
        <w:numPr>
          <w:ilvl w:val="0"/>
          <w:numId w:val="1"/>
        </w:numPr>
        <w:kinsoku w:val="0"/>
        <w:wordWrap/>
        <w:overflowPunct/>
        <w:topLinePunct w:val="0"/>
        <w:autoSpaceDE w:val="0"/>
        <w:autoSpaceDN w:val="0"/>
        <w:bidi w:val="0"/>
        <w:adjustRightInd w:val="0"/>
        <w:snapToGrid w:val="0"/>
        <w:spacing w:line="440" w:lineRule="exact"/>
        <w:ind w:left="12" w:firstLine="478" w:firstLineChars="200"/>
        <w:rPr>
          <w:rFonts w:hint="eastAsia" w:asciiTheme="minorEastAsia" w:hAnsiTheme="minorEastAsia" w:eastAsiaTheme="minorEastAsia" w:cstheme="minorEastAsia"/>
          <w:b/>
          <w:bCs/>
          <w:color w:val="auto"/>
          <w:spacing w:val="-1"/>
          <w:sz w:val="24"/>
          <w:szCs w:val="24"/>
        </w:rPr>
      </w:pPr>
      <w:r>
        <w:rPr>
          <w:rFonts w:hint="eastAsia" w:asciiTheme="minorEastAsia" w:hAnsiTheme="minorEastAsia" w:eastAsiaTheme="minorEastAsia" w:cstheme="minorEastAsia"/>
          <w:b/>
          <w:bCs/>
          <w:color w:val="auto"/>
          <w:spacing w:val="-1"/>
          <w:sz w:val="24"/>
          <w:szCs w:val="24"/>
          <w:lang w:val="en-US" w:eastAsia="zh-CN"/>
        </w:rPr>
        <w:t>服务期</w:t>
      </w:r>
      <w:r>
        <w:rPr>
          <w:rFonts w:hint="eastAsia" w:asciiTheme="minorEastAsia" w:hAnsiTheme="minorEastAsia" w:eastAsiaTheme="minorEastAsia" w:cstheme="minorEastAsia"/>
          <w:b/>
          <w:bCs/>
          <w:color w:val="auto"/>
          <w:spacing w:val="-1"/>
          <w:sz w:val="24"/>
          <w:szCs w:val="24"/>
        </w:rPr>
        <w:t>：</w:t>
      </w:r>
      <w:r>
        <w:rPr>
          <w:rFonts w:hint="eastAsia" w:asciiTheme="minorEastAsia" w:hAnsiTheme="minorEastAsia" w:eastAsiaTheme="minorEastAsia" w:cstheme="minorEastAsia"/>
          <w:b/>
          <w:bCs/>
          <w:color w:val="auto"/>
          <w:spacing w:val="-1"/>
          <w:sz w:val="24"/>
          <w:szCs w:val="24"/>
          <w:lang w:val="en-US" w:eastAsia="zh-CN"/>
        </w:rPr>
        <w:t>45天</w:t>
      </w:r>
      <w:r>
        <w:rPr>
          <w:rFonts w:hint="eastAsia" w:asciiTheme="minorEastAsia" w:hAnsiTheme="minorEastAsia" w:eastAsiaTheme="minorEastAsia" w:cstheme="minorEastAsia"/>
          <w:b/>
          <w:bCs/>
          <w:color w:val="auto"/>
          <w:spacing w:val="-1"/>
          <w:sz w:val="24"/>
          <w:szCs w:val="24"/>
        </w:rPr>
        <w:t>。</w:t>
      </w:r>
    </w:p>
    <w:p w14:paraId="1CC0CFA0">
      <w:pPr>
        <w:pageBreakBefore w:val="0"/>
        <w:numPr>
          <w:ilvl w:val="0"/>
          <w:numId w:val="1"/>
        </w:numPr>
        <w:kinsoku w:val="0"/>
        <w:wordWrap/>
        <w:overflowPunct/>
        <w:topLinePunct w:val="0"/>
        <w:autoSpaceDE w:val="0"/>
        <w:autoSpaceDN w:val="0"/>
        <w:bidi w:val="0"/>
        <w:adjustRightInd w:val="0"/>
        <w:snapToGrid w:val="0"/>
        <w:spacing w:line="440" w:lineRule="exact"/>
        <w:ind w:left="12" w:firstLine="478"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rPr>
        <w:t>供应商资</w:t>
      </w:r>
      <w:r>
        <w:rPr>
          <w:rFonts w:hint="eastAsia" w:asciiTheme="minorEastAsia" w:hAnsiTheme="minorEastAsia" w:eastAsiaTheme="minorEastAsia" w:cstheme="minorEastAsia"/>
          <w:b/>
          <w:bCs/>
          <w:color w:val="auto"/>
          <w:spacing w:val="-1"/>
          <w:sz w:val="24"/>
          <w:szCs w:val="24"/>
          <w:lang w:val="en-US" w:eastAsia="zh-CN"/>
        </w:rPr>
        <w:t>格要求</w:t>
      </w:r>
    </w:p>
    <w:p w14:paraId="5D5D6D0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（1）具有独立承担民事责任能力的法人、其他组织或自然人，并出具合法有效的营业执照（附2025年度报告）或事业单位法人证书等国家规定的相关证明，自然人参与的提供其身份证明；</w:t>
      </w:r>
    </w:p>
    <w:p w14:paraId="41654200">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（2）法定代表人授权书（附法定代表人身份证复印件）及被授权人身份证（法定代表人直接参加只须提供法定代表人身份证）；</w:t>
      </w:r>
    </w:p>
    <w:p w14:paraId="0A8BC33C">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（3）具有</w:t>
      </w:r>
      <w:r>
        <w:rPr>
          <w:rFonts w:hint="eastAsia" w:asciiTheme="minorEastAsia" w:hAnsiTheme="minorEastAsia" w:eastAsiaTheme="minorEastAsia" w:cstheme="minorEastAsia"/>
          <w:color w:val="auto"/>
          <w:spacing w:val="-1"/>
          <w:sz w:val="24"/>
          <w:szCs w:val="24"/>
          <w:lang w:val="en-US" w:eastAsia="zh-CN"/>
        </w:rPr>
        <w:t>水</w:t>
      </w:r>
      <w:r>
        <w:rPr>
          <w:rFonts w:hint="eastAsia" w:asciiTheme="minorEastAsia" w:hAnsiTheme="minorEastAsia" w:eastAsiaTheme="minorEastAsia" w:cstheme="minorEastAsia"/>
          <w:color w:val="auto"/>
          <w:spacing w:val="-1"/>
          <w:sz w:val="24"/>
          <w:szCs w:val="24"/>
        </w:rPr>
        <w:t>行政主管部门颁发的工程设计水利行业专业乙级或乙级以上资质证书；</w:t>
      </w:r>
    </w:p>
    <w:p w14:paraId="7D960982">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（4）财务状况报告：提供2025年度经审计的财务报告；或提交响应文件截止时间前三个月内银行出具的资信证明及基本存款账户开户信息；</w:t>
      </w:r>
    </w:p>
    <w:p w14:paraId="065BB6BA">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5）税收缴纳证明：提供缴费所属日期为提交响应文件截止时间前六个月内任三个月（提交响应文件截止时间当月不计入）的增值税（或企业所得税）缴费凭据或税务机关出具的完税证明/在法规范围内不需提供的应出具书面说明和证明文件；</w:t>
      </w:r>
    </w:p>
    <w:p w14:paraId="31FECA32">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6）社会保障资金缴纳证明：提供提交响应文件截止时间前六个月任意一个月份的社会保障资金缴存单据或社保机构开具的社会保险参保缴费情况证明，依法不需要缴纳社会保障资金的单位应提供相关证明材料；</w:t>
      </w:r>
    </w:p>
    <w:p w14:paraId="2727763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（7）参加本次政府采购活动前三年内在活动经营中无重大违法记录的书面声明；</w:t>
      </w:r>
    </w:p>
    <w:p w14:paraId="7D29419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8）须通过“信用中国”网站（www.creditchina.gov.cn）和中国政府采购网（www.ccgp.gov.cn）查询相关主体信用记录（查询日期为从磋商文件发放之日起至提交响应文件截止日前），以网页截图加盖投标人公章为准，对列入失信被执行人、重大税收违法案件当事人名单、政府采购严重违法失信行为记录名单及其他不符合《中华人民共和国政府采购法》第二十二条规定条件的将拒绝其参与政府采购活动。供应商必须为陕西省政府采购网在册供应商；</w:t>
      </w:r>
    </w:p>
    <w:p w14:paraId="7F0FE65A">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（9）提供具有履行本项目所必需的设备和专业技术能力的承诺函；</w:t>
      </w:r>
    </w:p>
    <w:p w14:paraId="20F3E49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（10）本项目为专门面向中小企业采购项目须根据《政府采购促进中小企业发展管理办法》（财库﹝2020﹞46号）的规定提供《中小企业声明函》；</w:t>
      </w:r>
    </w:p>
    <w:p w14:paraId="449111E2">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（11）单位负责人为同一人或者存在控股、管理关系的不同供应商，不得参加同一合同项下的政府采购活动；</w:t>
      </w:r>
    </w:p>
    <w:p w14:paraId="036D287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（12）本项目不接受联合体响应。</w:t>
      </w:r>
    </w:p>
    <w:p w14:paraId="5A0E8A9E">
      <w:pPr>
        <w:pageBreakBefore w:val="0"/>
        <w:kinsoku w:val="0"/>
        <w:wordWrap/>
        <w:overflowPunct/>
        <w:topLinePunct w:val="0"/>
        <w:autoSpaceDE w:val="0"/>
        <w:autoSpaceDN w:val="0"/>
        <w:bidi w:val="0"/>
        <w:adjustRightInd w:val="0"/>
        <w:snapToGrid w:val="0"/>
        <w:spacing w:line="440" w:lineRule="exact"/>
        <w:ind w:left="12" w:firstLine="478"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三、采购内容及要求</w:t>
      </w:r>
    </w:p>
    <w:p w14:paraId="34F9A5D6">
      <w:pPr>
        <w:pageBreakBefore w:val="0"/>
        <w:kinsoku w:val="0"/>
        <w:wordWrap/>
        <w:overflowPunct/>
        <w:topLinePunct w:val="0"/>
        <w:autoSpaceDE w:val="0"/>
        <w:autoSpaceDN w:val="0"/>
        <w:bidi w:val="0"/>
        <w:adjustRightInd w:val="0"/>
        <w:snapToGrid w:val="0"/>
        <w:spacing w:line="440" w:lineRule="exact"/>
        <w:ind w:left="12"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本次采购为</w:t>
      </w:r>
      <w:r>
        <w:rPr>
          <w:rFonts w:hint="eastAsia"/>
          <w:sz w:val="24"/>
          <w:szCs w:val="24"/>
        </w:rPr>
        <w:t>志丹县水务局河湖管理范围划定成果复核编制服务</w:t>
      </w:r>
      <w:r>
        <w:rPr>
          <w:rFonts w:hint="default" w:asciiTheme="minorEastAsia" w:hAnsiTheme="minorEastAsia" w:eastAsiaTheme="minorEastAsia" w:cstheme="minorEastAsia"/>
          <w:color w:val="auto"/>
          <w:spacing w:val="-1"/>
          <w:sz w:val="24"/>
          <w:szCs w:val="24"/>
          <w:lang w:val="en-US" w:eastAsia="zh-CN"/>
        </w:rPr>
        <w:t xml:space="preserve">，具体内容如下： </w:t>
      </w:r>
    </w:p>
    <w:p w14:paraId="4C8E83C4">
      <w:pPr>
        <w:pageBreakBefore w:val="0"/>
        <w:numPr>
          <w:ilvl w:val="0"/>
          <w:numId w:val="2"/>
        </w:numPr>
        <w:kinsoku w:val="0"/>
        <w:wordWrap/>
        <w:overflowPunct/>
        <w:topLinePunct w:val="0"/>
        <w:autoSpaceDE w:val="0"/>
        <w:autoSpaceDN w:val="0"/>
        <w:bidi w:val="0"/>
        <w:adjustRightInd w:val="0"/>
        <w:snapToGrid w:val="0"/>
        <w:spacing w:line="440" w:lineRule="exact"/>
        <w:ind w:left="12"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踏勘</w:t>
      </w:r>
      <w:r>
        <w:rPr>
          <w:rFonts w:hint="eastAsia" w:asciiTheme="minorEastAsia" w:hAnsiTheme="minorEastAsia" w:eastAsiaTheme="minorEastAsia" w:cstheme="minorEastAsia"/>
          <w:color w:val="auto"/>
          <w:spacing w:val="-1"/>
          <w:sz w:val="24"/>
          <w:szCs w:val="24"/>
          <w:lang w:val="en-US" w:eastAsia="zh-CN"/>
        </w:rPr>
        <w:t>志丹县</w:t>
      </w:r>
      <w:r>
        <w:rPr>
          <w:rFonts w:hint="default" w:asciiTheme="minorEastAsia" w:hAnsiTheme="minorEastAsia" w:eastAsiaTheme="minorEastAsia" w:cstheme="minorEastAsia"/>
          <w:color w:val="auto"/>
          <w:spacing w:val="-1"/>
          <w:sz w:val="24"/>
          <w:szCs w:val="24"/>
          <w:lang w:val="en-US" w:eastAsia="zh-CN"/>
        </w:rPr>
        <w:t xml:space="preserve">项目涉及河道，核查河道现状、堤防工程，全面收集梳理河道地形地貌、水文资料、等基础数据。 </w:t>
      </w:r>
    </w:p>
    <w:p w14:paraId="331F84EF">
      <w:pPr>
        <w:pageBreakBefore w:val="0"/>
        <w:numPr>
          <w:ilvl w:val="0"/>
          <w:numId w:val="2"/>
        </w:numPr>
        <w:kinsoku w:val="0"/>
        <w:wordWrap/>
        <w:overflowPunct/>
        <w:topLinePunct w:val="0"/>
        <w:autoSpaceDE w:val="0"/>
        <w:autoSpaceDN w:val="0"/>
        <w:bidi w:val="0"/>
        <w:adjustRightInd w:val="0"/>
        <w:snapToGrid w:val="0"/>
        <w:spacing w:line="440" w:lineRule="exact"/>
        <w:ind w:left="12" w:leftChars="0" w:firstLine="480" w:firstLineChars="200"/>
        <w:rPr>
          <w:rFonts w:hint="default" w:asciiTheme="minorEastAsia" w:hAnsiTheme="minorEastAsia" w:eastAsiaTheme="minorEastAsia" w:cstheme="minorEastAsia"/>
          <w:color w:val="auto"/>
          <w:spacing w:val="-1"/>
          <w:sz w:val="24"/>
          <w:szCs w:val="24"/>
          <w:lang w:val="en-US" w:eastAsia="zh-CN"/>
        </w:rPr>
      </w:pPr>
      <w:r>
        <w:rPr>
          <w:rFonts w:ascii="宋体" w:hAnsi="宋体" w:eastAsia="宋体" w:cs="宋体"/>
          <w:sz w:val="24"/>
          <w:szCs w:val="24"/>
        </w:rPr>
        <w:t>依据国家、省、市河道管理法规及技术标准，结合黄土高原河道特点及</w:t>
      </w:r>
      <w:r>
        <w:rPr>
          <w:rFonts w:hint="eastAsia" w:ascii="宋体" w:hAnsi="宋体" w:cs="宋体"/>
          <w:sz w:val="24"/>
          <w:szCs w:val="24"/>
          <w:lang w:eastAsia="zh-CN"/>
        </w:rPr>
        <w:t>志丹县</w:t>
      </w:r>
      <w:r>
        <w:rPr>
          <w:rFonts w:ascii="宋体" w:hAnsi="宋体" w:eastAsia="宋体" w:cs="宋体"/>
          <w:sz w:val="24"/>
          <w:szCs w:val="24"/>
        </w:rPr>
        <w:t>防洪管控要求，</w:t>
      </w:r>
      <w:r>
        <w:rPr>
          <w:rFonts w:hint="eastAsia" w:ascii="宋体" w:hAnsi="宋体" w:cs="宋体"/>
          <w:sz w:val="24"/>
          <w:szCs w:val="24"/>
          <w:lang w:eastAsia="zh-CN"/>
        </w:rPr>
        <w:t>对</w:t>
      </w:r>
      <w:r>
        <w:rPr>
          <w:rFonts w:hint="eastAsia"/>
          <w:sz w:val="24"/>
          <w:szCs w:val="24"/>
        </w:rPr>
        <w:t>北洛河志丹段河湖管理范围划定成果</w:t>
      </w:r>
      <w:r>
        <w:rPr>
          <w:rFonts w:hint="eastAsia"/>
          <w:sz w:val="24"/>
          <w:szCs w:val="24"/>
          <w:lang w:eastAsia="zh-CN"/>
        </w:rPr>
        <w:t>进行</w:t>
      </w:r>
      <w:r>
        <w:rPr>
          <w:rFonts w:hint="eastAsia"/>
          <w:sz w:val="24"/>
          <w:szCs w:val="24"/>
        </w:rPr>
        <w:t>复核</w:t>
      </w:r>
      <w:r>
        <w:rPr>
          <w:rFonts w:hint="eastAsia"/>
          <w:sz w:val="24"/>
          <w:szCs w:val="24"/>
          <w:lang w:eastAsia="zh-CN"/>
        </w:rPr>
        <w:t>。</w:t>
      </w:r>
    </w:p>
    <w:p w14:paraId="1DD4D79D">
      <w:pPr>
        <w:pageBreakBefore w:val="0"/>
        <w:numPr>
          <w:ilvl w:val="0"/>
          <w:numId w:val="2"/>
        </w:numPr>
        <w:kinsoku w:val="0"/>
        <w:wordWrap/>
        <w:overflowPunct/>
        <w:topLinePunct w:val="0"/>
        <w:autoSpaceDE w:val="0"/>
        <w:autoSpaceDN w:val="0"/>
        <w:bidi w:val="0"/>
        <w:adjustRightInd w:val="0"/>
        <w:snapToGrid w:val="0"/>
        <w:spacing w:line="440" w:lineRule="exact"/>
        <w:ind w:left="12" w:leftChars="0" w:firstLine="480" w:firstLineChars="200"/>
        <w:rPr>
          <w:rFonts w:hint="default" w:asciiTheme="minorEastAsia" w:hAnsiTheme="minorEastAsia" w:eastAsiaTheme="minorEastAsia" w:cstheme="minorEastAsia"/>
          <w:color w:val="auto"/>
          <w:spacing w:val="-1"/>
          <w:sz w:val="24"/>
          <w:szCs w:val="24"/>
          <w:lang w:val="en-US" w:eastAsia="zh-CN"/>
        </w:rPr>
      </w:pPr>
      <w:r>
        <w:rPr>
          <w:rFonts w:ascii="宋体" w:hAnsi="宋体" w:eastAsia="宋体" w:cs="宋体"/>
          <w:sz w:val="24"/>
          <w:szCs w:val="24"/>
        </w:rPr>
        <w:t>全程配合采购人开展成果上报、专家评审等工作，按评审意见修改完善校核成果，直至成果通过审查、备案并取得批复文件。</w:t>
      </w:r>
    </w:p>
    <w:p w14:paraId="4F8561B1">
      <w:pPr>
        <w:pageBreakBefore w:val="0"/>
        <w:numPr>
          <w:ilvl w:val="0"/>
          <w:numId w:val="2"/>
        </w:numPr>
        <w:kinsoku w:val="0"/>
        <w:wordWrap/>
        <w:overflowPunct/>
        <w:topLinePunct w:val="0"/>
        <w:autoSpaceDE w:val="0"/>
        <w:autoSpaceDN w:val="0"/>
        <w:bidi w:val="0"/>
        <w:adjustRightInd w:val="0"/>
        <w:snapToGrid w:val="0"/>
        <w:spacing w:line="440" w:lineRule="exact"/>
        <w:ind w:left="12" w:leftChars="0"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 xml:space="preserve">服务总体要求 </w:t>
      </w:r>
    </w:p>
    <w:p w14:paraId="00C356FA">
      <w:pPr>
        <w:pageBreakBefore w:val="0"/>
        <w:numPr>
          <w:ilvl w:val="0"/>
          <w:numId w:val="3"/>
        </w:numPr>
        <w:kinsoku w:val="0"/>
        <w:wordWrap/>
        <w:overflowPunct/>
        <w:topLinePunct w:val="0"/>
        <w:autoSpaceDE w:val="0"/>
        <w:autoSpaceDN w:val="0"/>
        <w:bidi w:val="0"/>
        <w:adjustRightInd w:val="0"/>
        <w:snapToGrid w:val="0"/>
        <w:spacing w:line="440" w:lineRule="exact"/>
        <w:ind w:left="0" w:leftChars="0"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成果质量要求：所有成果文件编制须严格遵循《河湖管理范围划定技术规范》（SL/T 852-2025）、《中华人民共和国河道管理条例》等国家现行标准规范，同时符合陕西省、延安市河道管理相关地方性法规、管理办法及技术规定。</w:t>
      </w:r>
    </w:p>
    <w:p w14:paraId="7071305E">
      <w:pPr>
        <w:pageBreakBefore w:val="0"/>
        <w:numPr>
          <w:ilvl w:val="0"/>
          <w:numId w:val="3"/>
        </w:numPr>
        <w:kinsoku w:val="0"/>
        <w:wordWrap/>
        <w:overflowPunct/>
        <w:topLinePunct w:val="0"/>
        <w:autoSpaceDE w:val="0"/>
        <w:autoSpaceDN w:val="0"/>
        <w:bidi w:val="0"/>
        <w:adjustRightInd w:val="0"/>
        <w:snapToGrid w:val="0"/>
        <w:spacing w:line="440" w:lineRule="exact"/>
        <w:ind w:left="0" w:leftChars="0"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服务时效要求：签订合同后按采购人要求时限完成工作，及时响应采购人各类技术咨询与成果整改需求。</w:t>
      </w:r>
    </w:p>
    <w:p w14:paraId="4A83661D">
      <w:pPr>
        <w:pageBreakBefore w:val="0"/>
        <w:numPr>
          <w:ilvl w:val="0"/>
          <w:numId w:val="3"/>
        </w:numPr>
        <w:kinsoku w:val="0"/>
        <w:wordWrap/>
        <w:overflowPunct/>
        <w:topLinePunct w:val="0"/>
        <w:autoSpaceDE w:val="0"/>
        <w:autoSpaceDN w:val="0"/>
        <w:bidi w:val="0"/>
        <w:adjustRightInd w:val="0"/>
        <w:snapToGrid w:val="0"/>
        <w:spacing w:line="440" w:lineRule="exact"/>
        <w:ind w:left="0" w:leftChars="0"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 xml:space="preserve">合规性要求：服务全过程严格落实政府采购相关政策，编制全过程合规，全程接受采购人及行业主管部门监督。 </w:t>
      </w:r>
    </w:p>
    <w:p w14:paraId="4BFC5ADD">
      <w:pPr>
        <w:pageBreakBefore w:val="0"/>
        <w:numPr>
          <w:ilvl w:val="0"/>
          <w:numId w:val="2"/>
        </w:numPr>
        <w:kinsoku w:val="0"/>
        <w:wordWrap/>
        <w:overflowPunct/>
        <w:topLinePunct w:val="0"/>
        <w:autoSpaceDE w:val="0"/>
        <w:autoSpaceDN w:val="0"/>
        <w:bidi w:val="0"/>
        <w:adjustRightInd w:val="0"/>
        <w:snapToGrid w:val="0"/>
        <w:spacing w:line="440" w:lineRule="exact"/>
        <w:ind w:left="12" w:leftChars="0" w:firstLine="476" w:firstLineChars="200"/>
        <w:rPr>
          <w:rFonts w:hint="default" w:asciiTheme="minorEastAsia" w:hAnsiTheme="minorEastAsia" w:eastAsiaTheme="minorEastAsia" w:cstheme="minorEastAsia"/>
          <w:color w:val="auto"/>
          <w:spacing w:val="-1"/>
          <w:sz w:val="24"/>
          <w:szCs w:val="24"/>
          <w:lang w:val="en-US" w:eastAsia="zh-CN"/>
        </w:rPr>
      </w:pPr>
      <w:r>
        <w:rPr>
          <w:rFonts w:hint="default" w:asciiTheme="minorEastAsia" w:hAnsiTheme="minorEastAsia" w:eastAsiaTheme="minorEastAsia" w:cstheme="minorEastAsia"/>
          <w:color w:val="auto"/>
          <w:spacing w:val="-1"/>
          <w:sz w:val="24"/>
          <w:szCs w:val="24"/>
          <w:lang w:val="en-US" w:eastAsia="zh-CN"/>
        </w:rPr>
        <w:t>交付成果要求</w:t>
      </w:r>
    </w:p>
    <w:p w14:paraId="1127C110">
      <w:pPr>
        <w:pageBreakBefore w:val="0"/>
        <w:numPr>
          <w:ilvl w:val="0"/>
          <w:numId w:val="0"/>
        </w:numPr>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pacing w:val="-1"/>
          <w:sz w:val="24"/>
          <w:szCs w:val="24"/>
        </w:rPr>
      </w:pPr>
      <w:r>
        <w:rPr>
          <w:rFonts w:hint="default" w:asciiTheme="minorEastAsia" w:hAnsiTheme="minorEastAsia" w:eastAsiaTheme="minorEastAsia" w:cstheme="minorEastAsia"/>
          <w:color w:val="auto"/>
          <w:spacing w:val="-1"/>
          <w:sz w:val="24"/>
          <w:szCs w:val="24"/>
          <w:lang w:val="en-US" w:eastAsia="zh-CN"/>
        </w:rPr>
        <w:t>供应商最终需交付通过审查备案的全套成果纸质版</w:t>
      </w:r>
      <w:r>
        <w:rPr>
          <w:rFonts w:hint="eastAsia" w:asciiTheme="minorEastAsia" w:hAnsiTheme="minorEastAsia" w:eastAsiaTheme="minorEastAsia" w:cstheme="minorEastAsia"/>
          <w:color w:val="auto"/>
          <w:spacing w:val="-1"/>
          <w:sz w:val="24"/>
          <w:szCs w:val="24"/>
          <w:lang w:val="en-US" w:eastAsia="zh-CN"/>
        </w:rPr>
        <w:t>报告6套</w:t>
      </w:r>
      <w:r>
        <w:rPr>
          <w:rFonts w:hint="default" w:asciiTheme="minorEastAsia" w:hAnsiTheme="minorEastAsia" w:eastAsiaTheme="minorEastAsia" w:cstheme="minorEastAsia"/>
          <w:color w:val="auto"/>
          <w:spacing w:val="-1"/>
          <w:sz w:val="24"/>
          <w:szCs w:val="24"/>
          <w:lang w:val="en-US" w:eastAsia="zh-CN"/>
        </w:rPr>
        <w:t>、电子版</w:t>
      </w:r>
      <w:r>
        <w:rPr>
          <w:rFonts w:hint="eastAsia" w:asciiTheme="minorEastAsia" w:hAnsiTheme="minorEastAsia" w:eastAsiaTheme="minorEastAsia" w:cstheme="minorEastAsia"/>
          <w:color w:val="auto"/>
          <w:spacing w:val="-1"/>
          <w:sz w:val="24"/>
          <w:szCs w:val="24"/>
          <w:lang w:val="en-US" w:eastAsia="zh-CN"/>
        </w:rPr>
        <w:t>1套</w:t>
      </w:r>
      <w:r>
        <w:rPr>
          <w:rFonts w:hint="default" w:asciiTheme="minorEastAsia" w:hAnsiTheme="minorEastAsia" w:eastAsiaTheme="minorEastAsia" w:cstheme="minorEastAsia"/>
          <w:color w:val="auto"/>
          <w:spacing w:val="-1"/>
          <w:sz w:val="24"/>
          <w:szCs w:val="24"/>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EA0908"/>
    <w:multiLevelType w:val="singleLevel"/>
    <w:tmpl w:val="D6EA0908"/>
    <w:lvl w:ilvl="0" w:tentative="0">
      <w:start w:val="1"/>
      <w:numFmt w:val="decimal"/>
      <w:suff w:val="nothing"/>
      <w:lvlText w:val="（%1）"/>
      <w:lvlJc w:val="left"/>
    </w:lvl>
  </w:abstractNum>
  <w:abstractNum w:abstractNumId="1">
    <w:nsid w:val="1AAF405D"/>
    <w:multiLevelType w:val="singleLevel"/>
    <w:tmpl w:val="1AAF405D"/>
    <w:lvl w:ilvl="0" w:tentative="0">
      <w:start w:val="1"/>
      <w:numFmt w:val="decimal"/>
      <w:suff w:val="nothing"/>
      <w:lvlText w:val="%1、"/>
      <w:lvlJc w:val="left"/>
    </w:lvl>
  </w:abstractNum>
  <w:abstractNum w:abstractNumId="2">
    <w:nsid w:val="30A1AA98"/>
    <w:multiLevelType w:val="singleLevel"/>
    <w:tmpl w:val="30A1AA98"/>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386F43"/>
    <w:rsid w:val="608F0275"/>
    <w:rsid w:val="661814F0"/>
    <w:rsid w:val="7EA06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1476</Words>
  <Characters>1559</Characters>
  <Lines>0</Lines>
  <Paragraphs>0</Paragraphs>
  <TotalTime>3</TotalTime>
  <ScaleCrop>false</ScaleCrop>
  <LinksUpToDate>false</LinksUpToDate>
  <CharactersWithSpaces>1564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2026-10-22T14:54:00Z</dcterms:created>
  <dc:creator>热爱工作</dc:creator>
  <cp:lastModifiedBy>水云浮芷</cp:lastModifiedBy>
  <dcterms:modified xsi:type="dcterms:W3CDTF">2026-10-26T07:19:53Z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B85B7830663642059D5253F82439929E_13</vt:lpwstr>
  </property>
  <property fmtid="{D5CDD505-2E9C-101B-9397-08002B2CF9AE}" pid="4" name="KSOTemplateDocerSaveRecord">
    <vt:lpwstr>eyJoZGlkIjoiMmQ4MTgzYmM3ZjUxNzExNGFmZTMyMGMwMGIwNThjN2YiLCJ1c2VySWQiOiIzNDMzNjIyMTkifQ==</vt:lpwstr>
  </property>
</Properties>
</file>