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409C4">
      <w:pPr>
        <w:pStyle w:val="5"/>
        <w:spacing w:line="360" w:lineRule="auto"/>
        <w:jc w:val="center"/>
        <w:outlineLvl w:val="1"/>
        <w:rPr>
          <w:rFonts w:hint="default"/>
          <w:color w:val="auto"/>
          <w:highlight w:val="none"/>
        </w:rPr>
      </w:pPr>
      <w:r>
        <w:rPr>
          <w:b/>
          <w:color w:val="auto"/>
          <w:sz w:val="36"/>
          <w:highlight w:val="none"/>
        </w:rPr>
        <w:t>拟签订合同文本</w:t>
      </w:r>
      <w:bookmarkStart w:id="0" w:name="_GoBack"/>
      <w:bookmarkEnd w:id="0"/>
    </w:p>
    <w:p w14:paraId="706764A4">
      <w:pPr>
        <w:spacing w:line="500" w:lineRule="exact"/>
        <w:jc w:val="center"/>
        <w:rPr>
          <w:b/>
          <w:color w:val="auto"/>
          <w:sz w:val="32"/>
          <w:highlight w:val="none"/>
        </w:rPr>
      </w:pPr>
      <w:r>
        <w:rPr>
          <w:rFonts w:hint="eastAsia"/>
          <w:b/>
          <w:bCs/>
          <w:color w:val="auto"/>
          <w:sz w:val="24"/>
          <w:highlight w:val="none"/>
        </w:rPr>
        <w:t>（仅供参考）</w:t>
      </w:r>
    </w:p>
    <w:p w14:paraId="498CC982">
      <w:pPr>
        <w:spacing w:line="500" w:lineRule="exact"/>
        <w:ind w:firstLine="720" w:firstLineChars="3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（以下简称甲方）</w:t>
      </w:r>
      <w:r>
        <w:rPr>
          <w:rFonts w:hint="eastAsia" w:ascii="宋体" w:hAnsi="宋体"/>
          <w:color w:val="auto"/>
          <w:sz w:val="24"/>
          <w:highlight w:val="none"/>
          <w:u w:val="single"/>
        </w:rPr>
        <w:t xml:space="preserve">         </w:t>
      </w:r>
      <w:r>
        <w:rPr>
          <w:rFonts w:hint="eastAsia" w:ascii="宋体" w:hAnsi="宋体"/>
          <w:color w:val="auto"/>
          <w:sz w:val="24"/>
          <w:highlight w:val="none"/>
        </w:rPr>
        <w:t>采购，在</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的监督管理下，由</w:t>
      </w:r>
      <w:r>
        <w:rPr>
          <w:rFonts w:hint="eastAsia" w:ascii="宋体" w:hAnsi="宋体"/>
          <w:color w:val="auto"/>
          <w:sz w:val="24"/>
          <w:highlight w:val="none"/>
          <w:u w:val="single"/>
          <w:lang w:eastAsia="zh-CN"/>
        </w:rPr>
        <w:t>陕西开源招标有限公司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(以下简称乙方）为该项目成交供应商。依据《中华人民共和国民法典》和《中华人民共和国政府采购法》，经甲、乙双方共同协商，按下述条款和条件签署本合同。</w:t>
      </w:r>
    </w:p>
    <w:p w14:paraId="391B69A7">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一、合同内容</w:t>
      </w:r>
    </w:p>
    <w:p w14:paraId="6BB0F4F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方负责按照合同确定的产品名称、规格型号、数量、产地、配置内容及技术标准组织供货（具体采购项目见附件1），按时运到甲方指定地点；确保所有产品各项指标达到要求；同时乙方根据产品的使用特性做好售后服务。</w:t>
      </w:r>
    </w:p>
    <w:p w14:paraId="7EB1DA7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二、合同价格</w:t>
      </w:r>
    </w:p>
    <w:p w14:paraId="08177030">
      <w:pPr>
        <w:spacing w:line="500" w:lineRule="exact"/>
        <w:ind w:left="420" w:leftChars="200"/>
        <w:jc w:val="left"/>
        <w:rPr>
          <w:rFonts w:hint="eastAsia" w:ascii="宋体" w:hAnsi="宋体"/>
          <w:color w:val="auto"/>
          <w:sz w:val="24"/>
          <w:highlight w:val="none"/>
        </w:rPr>
      </w:pPr>
      <w:r>
        <w:rPr>
          <w:rFonts w:hint="eastAsia" w:ascii="宋体" w:hAnsi="宋体"/>
          <w:color w:val="auto"/>
          <w:sz w:val="24"/>
          <w:highlight w:val="none"/>
          <w:lang w:val="en-US" w:eastAsia="zh-CN"/>
        </w:rPr>
        <w:t>合同价格</w:t>
      </w:r>
      <w:r>
        <w:rPr>
          <w:rFonts w:hint="eastAsia" w:ascii="宋体" w:hAnsi="宋体"/>
          <w:color w:val="auto"/>
          <w:sz w:val="24"/>
          <w:highlight w:val="none"/>
        </w:rPr>
        <w:t>：</w:t>
      </w:r>
      <w:r>
        <w:rPr>
          <w:rFonts w:hint="eastAsia" w:ascii="宋体" w:hAnsi="宋体"/>
          <w:color w:val="auto"/>
          <w:sz w:val="24"/>
          <w:highlight w:val="none"/>
          <w:u w:val="single"/>
        </w:rPr>
        <w:t xml:space="preserve">人民币       元整（¥         元） </w:t>
      </w:r>
    </w:p>
    <w:p w14:paraId="06378A47">
      <w:pPr>
        <w:spacing w:line="500" w:lineRule="exact"/>
        <w:jc w:val="left"/>
        <w:rPr>
          <w:rFonts w:hint="eastAsia" w:ascii="宋体" w:hAnsi="宋体"/>
          <w:color w:val="auto"/>
          <w:sz w:val="24"/>
          <w:highlight w:val="none"/>
        </w:rPr>
      </w:pPr>
      <w:r>
        <w:rPr>
          <w:rFonts w:hint="eastAsia" w:ascii="宋体" w:hAnsi="宋体"/>
          <w:color w:val="auto"/>
          <w:sz w:val="24"/>
          <w:highlight w:val="none"/>
        </w:rPr>
        <w:t>说明：</w:t>
      </w:r>
    </w:p>
    <w:p w14:paraId="1BC0790C">
      <w:pPr>
        <w:numPr>
          <w:ilvl w:val="0"/>
          <w:numId w:val="0"/>
        </w:numPr>
        <w:spacing w:line="500" w:lineRule="exact"/>
        <w:ind w:firstLine="480" w:firstLineChars="200"/>
        <w:jc w:val="left"/>
        <w:rPr>
          <w:rFonts w:hint="eastAsia" w:ascii="宋体" w:hAnsi="宋体"/>
          <w:color w:val="auto"/>
          <w:sz w:val="24"/>
          <w:highlight w:val="none"/>
        </w:rPr>
      </w:pPr>
      <w:r>
        <w:rPr>
          <w:rFonts w:hint="eastAsia" w:ascii="宋体" w:hAnsi="宋体" w:cstheme="minorBidi"/>
          <w:color w:val="auto"/>
          <w:kern w:val="2"/>
          <w:sz w:val="24"/>
          <w:szCs w:val="24"/>
          <w:highlight w:val="none"/>
          <w:lang w:val="en-US" w:eastAsia="zh-CN" w:bidi="ar-SA"/>
        </w:rPr>
        <w:t>1、</w:t>
      </w:r>
      <w:r>
        <w:rPr>
          <w:rStyle w:val="6"/>
          <w:color w:val="auto"/>
          <w:sz w:val="24"/>
          <w:highlight w:val="none"/>
        </w:rPr>
        <w:t>合同</w:t>
      </w:r>
      <w:r>
        <w:rPr>
          <w:rStyle w:val="6"/>
          <w:rFonts w:hint="eastAsia"/>
          <w:color w:val="auto"/>
          <w:sz w:val="24"/>
          <w:highlight w:val="none"/>
          <w:lang w:val="en-US"/>
        </w:rPr>
        <w:t>价格</w:t>
      </w:r>
      <w:r>
        <w:rPr>
          <w:rStyle w:val="6"/>
          <w:color w:val="auto"/>
          <w:sz w:val="24"/>
          <w:highlight w:val="none"/>
        </w:rPr>
        <w:t>包含项目报价、其他费用及应缴纳的全部税款等费用。</w:t>
      </w:r>
    </w:p>
    <w:p w14:paraId="41F07E20">
      <w:pPr>
        <w:numPr>
          <w:ilvl w:val="0"/>
          <w:numId w:val="0"/>
        </w:numPr>
        <w:spacing w:line="500" w:lineRule="exact"/>
        <w:ind w:firstLine="480" w:firstLineChars="200"/>
        <w:jc w:val="left"/>
        <w:rPr>
          <w:rFonts w:hint="eastAsia" w:ascii="宋体" w:hAnsi="宋体"/>
          <w:color w:val="auto"/>
          <w:sz w:val="24"/>
          <w:highlight w:val="none"/>
        </w:rPr>
      </w:pPr>
      <w:r>
        <w:rPr>
          <w:rFonts w:hint="eastAsia" w:ascii="宋体" w:hAnsi="宋体" w:cstheme="minorBidi"/>
          <w:color w:val="auto"/>
          <w:kern w:val="2"/>
          <w:sz w:val="24"/>
          <w:szCs w:val="24"/>
          <w:highlight w:val="none"/>
          <w:lang w:val="en-US" w:eastAsia="zh-CN" w:bidi="ar-SA"/>
        </w:rPr>
        <w:t>2、</w:t>
      </w:r>
      <w:r>
        <w:rPr>
          <w:rFonts w:hint="eastAsia" w:ascii="宋体" w:hAnsi="宋体"/>
          <w:color w:val="auto"/>
          <w:sz w:val="24"/>
          <w:highlight w:val="none"/>
        </w:rPr>
        <w:t>合同</w:t>
      </w:r>
      <w:r>
        <w:rPr>
          <w:rFonts w:hint="eastAsia" w:ascii="宋体" w:hAnsi="宋体"/>
          <w:color w:val="auto"/>
          <w:sz w:val="24"/>
          <w:highlight w:val="none"/>
          <w:lang w:val="en-US" w:eastAsia="zh-CN"/>
        </w:rPr>
        <w:t>价格</w:t>
      </w:r>
      <w:r>
        <w:rPr>
          <w:rFonts w:hint="eastAsia" w:ascii="宋体" w:hAnsi="宋体"/>
          <w:color w:val="auto"/>
          <w:sz w:val="24"/>
          <w:highlight w:val="none"/>
        </w:rPr>
        <w:t>一次包死，不受市场价格变化的影响，并作为结算的唯一依据。</w:t>
      </w:r>
    </w:p>
    <w:p w14:paraId="42237761">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三、合同款项支付</w:t>
      </w:r>
    </w:p>
    <w:p w14:paraId="124021F6">
      <w:pPr>
        <w:pStyle w:val="5"/>
        <w:spacing w:line="360" w:lineRule="auto"/>
        <w:ind w:firstLine="482" w:firstLineChars="200"/>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付款条件说明：</w:t>
      </w:r>
      <w:r>
        <w:rPr>
          <w:rFonts w:hint="eastAsia" w:ascii="宋体" w:hAnsi="宋体" w:eastAsia="宋体" w:cs="宋体"/>
          <w:color w:val="auto"/>
          <w:sz w:val="24"/>
          <w:szCs w:val="24"/>
          <w:highlight w:val="none"/>
        </w:rPr>
        <w:t>①合同签订后，供应商先行垫资，待所有货物到达指定地点、安装调试完成并由学校验收合格后，凭供应商开具的全额增值税专用发票，30日内一次性付清合同款项。②如供应商向学校提供银行、保险公司等金融机构出具的预付款保函或其他担保措施，学校可向供应商支付合同总价的40%作为预付款；待所有货物到达指定地点、安装调试完成并验收合格后，凭供应商开具的全额增值税专用发票，30日内付清剩余合同款项，达到付款条件起 30 日内，支付合同总金额的 100 %。</w:t>
      </w:r>
    </w:p>
    <w:p w14:paraId="69380550">
      <w:pPr>
        <w:spacing w:line="500" w:lineRule="exact"/>
        <w:ind w:firstLine="241"/>
        <w:jc w:val="left"/>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四、履约保证金</w:t>
      </w:r>
    </w:p>
    <w:p w14:paraId="53A9EFFF">
      <w:pPr>
        <w:pStyle w:val="5"/>
        <w:numPr>
          <w:ilvl w:val="0"/>
          <w:numId w:val="0"/>
        </w:num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本采购包履约保证金为合同金额的5.0%</w:t>
      </w:r>
    </w:p>
    <w:p w14:paraId="67B5057F">
      <w:pPr>
        <w:pStyle w:val="5"/>
        <w:numPr>
          <w:ilvl w:val="0"/>
          <w:numId w:val="0"/>
        </w:numPr>
        <w:spacing w:line="360" w:lineRule="auto"/>
        <w:ind w:firstLine="480" w:firstLineChars="20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1、履约保证金缴纳时间：供应商中标后凭中标通知书向学校缴纳中标金额的5%作为履约保证金。</w:t>
      </w:r>
    </w:p>
    <w:p w14:paraId="0B681D72">
      <w:pPr>
        <w:pStyle w:val="5"/>
        <w:numPr>
          <w:ilvl w:val="0"/>
          <w:numId w:val="0"/>
        </w:numPr>
        <w:spacing w:line="360" w:lineRule="auto"/>
        <w:ind w:firstLine="480" w:firstLineChars="20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2、履约保证金缴纳形式：中标人应当以支票、汇票、本票、保函等非现金形式缴纳。</w:t>
      </w:r>
    </w:p>
    <w:p w14:paraId="39B5573E">
      <w:pPr>
        <w:pStyle w:val="5"/>
        <w:numPr>
          <w:ilvl w:val="0"/>
          <w:numId w:val="0"/>
        </w:numPr>
        <w:spacing w:line="360" w:lineRule="auto"/>
        <w:ind w:firstLine="480" w:firstLineChars="20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3、履约保证金的退还：合同履约完毕后无息退还。</w:t>
      </w:r>
    </w:p>
    <w:p w14:paraId="004E1D2B">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五</w:t>
      </w:r>
      <w:r>
        <w:rPr>
          <w:rFonts w:hint="eastAsia" w:ascii="宋体" w:hAnsi="宋体"/>
          <w:b/>
          <w:color w:val="auto"/>
          <w:sz w:val="24"/>
          <w:highlight w:val="none"/>
        </w:rPr>
        <w:t>、</w:t>
      </w:r>
      <w:r>
        <w:rPr>
          <w:rFonts w:hint="eastAsia" w:ascii="宋体" w:hAnsi="宋体"/>
          <w:b/>
          <w:color w:val="auto"/>
          <w:sz w:val="24"/>
          <w:highlight w:val="none"/>
          <w:lang w:val="en-US" w:eastAsia="zh-CN"/>
        </w:rPr>
        <w:t>项目实施</w:t>
      </w:r>
      <w:r>
        <w:rPr>
          <w:rFonts w:hint="eastAsia" w:ascii="宋体" w:hAnsi="宋体"/>
          <w:b/>
          <w:color w:val="auto"/>
          <w:sz w:val="24"/>
          <w:highlight w:val="none"/>
        </w:rPr>
        <w:t>条件</w:t>
      </w:r>
    </w:p>
    <w:p w14:paraId="27C47EFA">
      <w:pPr>
        <w:spacing w:line="500" w:lineRule="exact"/>
        <w:ind w:firstLine="480" w:firstLineChars="200"/>
        <w:jc w:val="left"/>
        <w:rPr>
          <w:rFonts w:hint="eastAsia" w:ascii="宋体" w:hAnsi="宋体" w:cs="Helvetica"/>
          <w:color w:val="auto"/>
          <w:kern w:val="0"/>
          <w:sz w:val="24"/>
          <w:highlight w:val="none"/>
        </w:rPr>
      </w:pPr>
      <w:r>
        <w:rPr>
          <w:rFonts w:hint="eastAsia" w:ascii="宋体" w:hAnsi="宋体"/>
          <w:color w:val="auto"/>
          <w:sz w:val="24"/>
          <w:highlight w:val="none"/>
          <w:lang w:val="en-US" w:eastAsia="zh-CN"/>
        </w:rPr>
        <w:t>1、实施周期：合同签订之日起90日历日内完成交付、安装及调试。其中：合同签订后5日内，完成机柜部署、配套设施安装调试（供配电、布线、监控等），确保机柜具备设备上架条件；合同签订后7日内，完成光缆线路安装调试，实现招标方设备正常接入和运行。若逾期未完成，每逾期1天，扣除合同总金额的0.5%作为违约金，逾期超过15天，招标方有权解除合同并要求赔偿损失。</w:t>
      </w:r>
    </w:p>
    <w:p w14:paraId="77D262FC">
      <w:pPr>
        <w:spacing w:line="50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2、项目实施地点：西安戏剧学院指定地点。</w:t>
      </w:r>
    </w:p>
    <w:p w14:paraId="4EFB4E83">
      <w:pPr>
        <w:spacing w:line="500" w:lineRule="exact"/>
        <w:ind w:firstLine="480" w:firstLineChars="200"/>
        <w:jc w:val="left"/>
        <w:rPr>
          <w:rFonts w:hint="eastAsia" w:ascii="宋体" w:hAnsi="宋体"/>
          <w:color w:val="auto"/>
          <w:sz w:val="24"/>
          <w:highlight w:val="none"/>
          <w:lang w:eastAsia="zh-CN"/>
        </w:rPr>
      </w:pPr>
      <w:r>
        <w:rPr>
          <w:rFonts w:hint="eastAsia" w:ascii="宋体" w:hAnsi="宋体"/>
          <w:color w:val="auto"/>
          <w:sz w:val="24"/>
          <w:highlight w:val="none"/>
          <w:lang w:val="en-US" w:eastAsia="zh-CN"/>
        </w:rPr>
        <w:t>3、质保期：验收合格通过之日起3年。</w:t>
      </w:r>
    </w:p>
    <w:p w14:paraId="2066051D">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六</w:t>
      </w:r>
      <w:r>
        <w:rPr>
          <w:rFonts w:hint="eastAsia" w:ascii="宋体" w:hAnsi="宋体"/>
          <w:b/>
          <w:color w:val="auto"/>
          <w:sz w:val="24"/>
          <w:highlight w:val="none"/>
        </w:rPr>
        <w:t>、包装运输</w:t>
      </w:r>
    </w:p>
    <w:p w14:paraId="04DEE72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运杂费：一次包死，已包含在合同总价内，包括从产品供应地点到交货地点所包含的运输费、保险费、搬运费等一切费用。</w:t>
      </w:r>
    </w:p>
    <w:p w14:paraId="7655B34D">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运输方式：</w:t>
      </w:r>
      <w:r>
        <w:rPr>
          <w:rFonts w:hint="eastAsia" w:ascii="宋体" w:hAnsi="宋体"/>
          <w:color w:val="auto"/>
          <w:sz w:val="24"/>
          <w:highlight w:val="none"/>
          <w:u w:val="single"/>
        </w:rPr>
        <w:t xml:space="preserve">            </w:t>
      </w:r>
    </w:p>
    <w:p w14:paraId="50CC9AC4">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七</w:t>
      </w:r>
      <w:r>
        <w:rPr>
          <w:rFonts w:hint="eastAsia" w:ascii="宋体" w:hAnsi="宋体"/>
          <w:b/>
          <w:color w:val="auto"/>
          <w:sz w:val="24"/>
          <w:highlight w:val="none"/>
        </w:rPr>
        <w:t>、质量保证</w:t>
      </w:r>
    </w:p>
    <w:p w14:paraId="545A2C8A">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乙方提供给甲方的产品必须是设计科学、技术成熟、工艺优良，是用优质材料制造的、先进的、原厂生产的未曾使用过的、全新的合格产品。</w:t>
      </w:r>
    </w:p>
    <w:p w14:paraId="226B941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设计技术专利、外形专利、应用软件专利等均应符合我国有关法律及行业标准，凡因以上问题与第三方发生的任何纠纷均与甲方无关。</w:t>
      </w:r>
    </w:p>
    <w:p w14:paraId="141CBD54">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安全可靠。在正常使用下不应对操作者造成任何人身伤害，如因产品质量或标示不明确而对操作者造成损失的，甲方将保留依法索赔的权利。</w:t>
      </w:r>
    </w:p>
    <w:p w14:paraId="2D97EEDF">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有强制性安全标准的产品，乙方应提供该产品的制造许可证证明。</w:t>
      </w:r>
    </w:p>
    <w:p w14:paraId="38B3B30F">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属于国家计量检测强检的产品，供货时提供本省法定计量检测机构出具的检测证书。</w:t>
      </w:r>
    </w:p>
    <w:p w14:paraId="60E91C5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6、</w:t>
      </w:r>
      <w:r>
        <w:rPr>
          <w:rFonts w:hint="eastAsia" w:ascii="宋体" w:hAnsi="宋体"/>
          <w:color w:val="auto"/>
          <w:sz w:val="24"/>
          <w:highlight w:val="none"/>
        </w:rPr>
        <w:t>产品性能必须与其标示的技术指标项符合，甲方有权在产品的有效保质期内依据技术指标对该产品进行技术验收，其主要的技术参数达不到标准时，甲方有权无条件退货或依据有关法律索赔。</w:t>
      </w:r>
    </w:p>
    <w:p w14:paraId="69F02F6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lang w:val="en-US" w:eastAsia="zh-CN"/>
        </w:rPr>
        <w:t>7、</w:t>
      </w:r>
      <w:r>
        <w:rPr>
          <w:rFonts w:hint="eastAsia" w:ascii="宋体" w:hAnsi="宋体"/>
          <w:bCs/>
          <w:color w:val="auto"/>
          <w:sz w:val="24"/>
          <w:highlight w:val="none"/>
        </w:rPr>
        <w:t>乙方所提供</w:t>
      </w:r>
      <w:r>
        <w:rPr>
          <w:rFonts w:hint="eastAsia" w:ascii="宋体" w:hAnsi="宋体"/>
          <w:bCs/>
          <w:color w:val="auto"/>
          <w:sz w:val="24"/>
          <w:highlight w:val="none"/>
          <w:lang w:eastAsia="zh-CN"/>
        </w:rPr>
        <w:t>产品</w:t>
      </w:r>
      <w:r>
        <w:rPr>
          <w:rFonts w:hint="eastAsia" w:ascii="宋体" w:hAnsi="宋体"/>
          <w:bCs/>
          <w:color w:val="auto"/>
          <w:sz w:val="24"/>
          <w:highlight w:val="none"/>
        </w:rPr>
        <w:t>质保期为_____。</w:t>
      </w:r>
      <w:r>
        <w:rPr>
          <w:rFonts w:hint="eastAsia" w:ascii="宋体" w:hAnsi="宋体"/>
          <w:bCs/>
          <w:color w:val="auto"/>
          <w:sz w:val="24"/>
          <w:highlight w:val="none"/>
          <w:lang w:eastAsia="zh-CN"/>
        </w:rPr>
        <w:t>产品</w:t>
      </w:r>
      <w:r>
        <w:rPr>
          <w:rFonts w:hint="eastAsia" w:ascii="宋体" w:hAnsi="宋体"/>
          <w:bCs/>
          <w:color w:val="auto"/>
          <w:sz w:val="24"/>
          <w:highlight w:val="none"/>
        </w:rPr>
        <w:t>质保期按</w:t>
      </w:r>
      <w:r>
        <w:rPr>
          <w:rFonts w:hint="eastAsia" w:ascii="宋体" w:hAnsi="宋体"/>
          <w:bCs/>
          <w:color w:val="auto"/>
          <w:sz w:val="24"/>
          <w:highlight w:val="none"/>
          <w:lang w:eastAsia="zh-CN"/>
        </w:rPr>
        <w:t>产品</w:t>
      </w:r>
      <w:r>
        <w:rPr>
          <w:rFonts w:hint="eastAsia" w:ascii="宋体" w:hAnsi="宋体"/>
          <w:bCs/>
          <w:color w:val="auto"/>
          <w:sz w:val="24"/>
          <w:highlight w:val="none"/>
        </w:rPr>
        <w:t>安装验收合格办理入库之日算起。</w:t>
      </w:r>
      <w:r>
        <w:rPr>
          <w:rFonts w:hint="eastAsia" w:ascii="宋体" w:hAnsi="宋体"/>
          <w:color w:val="auto"/>
          <w:sz w:val="24"/>
          <w:highlight w:val="none"/>
        </w:rPr>
        <w:t>质保期满后如需更换零部件，只收取零部件成本费，终身免费维护保养。</w:t>
      </w:r>
    </w:p>
    <w:p w14:paraId="3E579CC5">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八</w:t>
      </w:r>
      <w:r>
        <w:rPr>
          <w:rFonts w:hint="eastAsia" w:ascii="宋体" w:hAnsi="宋体"/>
          <w:b/>
          <w:color w:val="auto"/>
          <w:sz w:val="24"/>
          <w:highlight w:val="none"/>
        </w:rPr>
        <w:t>、技术规格及标准。（详见附件2）</w:t>
      </w:r>
    </w:p>
    <w:p w14:paraId="4226124D">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九</w:t>
      </w:r>
      <w:r>
        <w:rPr>
          <w:rFonts w:hint="eastAsia" w:ascii="宋体" w:hAnsi="宋体"/>
          <w:b/>
          <w:color w:val="auto"/>
          <w:sz w:val="24"/>
          <w:highlight w:val="none"/>
        </w:rPr>
        <w:t>、配置清单。（详见附件3）</w:t>
      </w:r>
    </w:p>
    <w:p w14:paraId="4998DA8E">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lang w:val="en-US" w:eastAsia="zh-CN"/>
        </w:rPr>
        <w:t>十</w:t>
      </w:r>
      <w:r>
        <w:rPr>
          <w:rFonts w:hint="eastAsia" w:ascii="宋体" w:hAnsi="宋体"/>
          <w:b/>
          <w:color w:val="auto"/>
          <w:sz w:val="24"/>
          <w:highlight w:val="none"/>
        </w:rPr>
        <w:t>、技术服务</w:t>
      </w:r>
    </w:p>
    <w:p w14:paraId="0805577A">
      <w:pPr>
        <w:spacing w:line="500" w:lineRule="exact"/>
        <w:ind w:firstLine="482" w:firstLineChars="200"/>
        <w:jc w:val="left"/>
        <w:rPr>
          <w:rFonts w:hint="eastAsia" w:ascii="宋体" w:hAnsi="宋体"/>
          <w:b/>
          <w:color w:val="auto"/>
          <w:sz w:val="24"/>
          <w:highlight w:val="none"/>
        </w:rPr>
      </w:pPr>
      <w:r>
        <w:rPr>
          <w:rFonts w:hint="eastAsia" w:ascii="宋体" w:hAnsi="宋体"/>
          <w:b/>
          <w:color w:val="auto"/>
          <w:sz w:val="24"/>
          <w:highlight w:val="none"/>
        </w:rPr>
        <w:t>（一）技术资料：</w:t>
      </w:r>
      <w:r>
        <w:rPr>
          <w:rFonts w:hint="eastAsia" w:ascii="宋体" w:hAnsi="宋体"/>
          <w:color w:val="auto"/>
          <w:sz w:val="24"/>
          <w:highlight w:val="none"/>
          <w:u w:val="single"/>
        </w:rPr>
        <w:t xml:space="preserve">         </w:t>
      </w:r>
    </w:p>
    <w:p w14:paraId="4FF98749">
      <w:pPr>
        <w:spacing w:line="500" w:lineRule="exact"/>
        <w:ind w:firstLine="482" w:firstLineChars="200"/>
        <w:jc w:val="left"/>
        <w:rPr>
          <w:rFonts w:hint="eastAsia" w:ascii="宋体" w:hAnsi="宋体"/>
          <w:color w:val="auto"/>
          <w:sz w:val="24"/>
          <w:highlight w:val="none"/>
        </w:rPr>
      </w:pPr>
      <w:r>
        <w:rPr>
          <w:rFonts w:hint="eastAsia" w:ascii="宋体" w:hAnsi="宋体"/>
          <w:b/>
          <w:color w:val="auto"/>
          <w:sz w:val="24"/>
          <w:highlight w:val="none"/>
        </w:rPr>
        <w:t>（二）服务承诺：</w:t>
      </w:r>
      <w:r>
        <w:rPr>
          <w:rFonts w:hint="eastAsia" w:ascii="宋体" w:hAnsi="宋体"/>
          <w:color w:val="auto"/>
          <w:sz w:val="24"/>
          <w:highlight w:val="none"/>
          <w:u w:val="single"/>
        </w:rPr>
        <w:t xml:space="preserve">         </w:t>
      </w:r>
    </w:p>
    <w:p w14:paraId="32C7DC8E">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一</w:t>
      </w:r>
      <w:r>
        <w:rPr>
          <w:rFonts w:hint="eastAsia" w:ascii="宋体" w:hAnsi="宋体"/>
          <w:b/>
          <w:color w:val="auto"/>
          <w:sz w:val="24"/>
          <w:highlight w:val="none"/>
        </w:rPr>
        <w:t>、违约责任</w:t>
      </w:r>
    </w:p>
    <w:p w14:paraId="3864EFAE">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（一）按《中华</w:t>
      </w:r>
      <w:r>
        <w:rPr>
          <w:rFonts w:ascii="宋体" w:hAnsi="宋体"/>
          <w:color w:val="auto"/>
          <w:sz w:val="24"/>
          <w:highlight w:val="none"/>
        </w:rPr>
        <w:t>人民共和国</w:t>
      </w:r>
      <w:r>
        <w:rPr>
          <w:rFonts w:hint="eastAsia" w:ascii="宋体" w:hAnsi="宋体"/>
          <w:color w:val="auto"/>
          <w:sz w:val="24"/>
          <w:highlight w:val="none"/>
        </w:rPr>
        <w:t>民法典》中的相关条款执行。</w:t>
      </w:r>
    </w:p>
    <w:p w14:paraId="134BB39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（二）未按合同要求的提供产品或</w:t>
      </w:r>
      <w:r>
        <w:rPr>
          <w:rFonts w:hint="eastAsia" w:ascii="宋体" w:hAnsi="宋体"/>
          <w:color w:val="auto"/>
          <w:sz w:val="24"/>
          <w:highlight w:val="none"/>
          <w:lang w:eastAsia="zh-CN"/>
        </w:rPr>
        <w:t>产品</w:t>
      </w:r>
      <w:r>
        <w:rPr>
          <w:rFonts w:hint="eastAsia" w:ascii="宋体" w:hAnsi="宋体"/>
          <w:color w:val="auto"/>
          <w:sz w:val="24"/>
          <w:highlight w:val="none"/>
        </w:rPr>
        <w:t>质量不能满足技术要求，采购人有权终止合同，甚至对供方违约行为进行追究。</w:t>
      </w:r>
    </w:p>
    <w:p w14:paraId="5A3659DC">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（三）如有纠纷，双方友好协商解决，协商不成时可诉讼到甲方所在地人民法院解决。</w:t>
      </w:r>
    </w:p>
    <w:p w14:paraId="7222463A">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二</w:t>
      </w:r>
      <w:r>
        <w:rPr>
          <w:rFonts w:hint="eastAsia" w:ascii="宋体" w:hAnsi="宋体"/>
          <w:b/>
          <w:color w:val="auto"/>
          <w:sz w:val="24"/>
          <w:highlight w:val="none"/>
        </w:rPr>
        <w:t>、验收</w:t>
      </w:r>
    </w:p>
    <w:p w14:paraId="2E1843BD">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①初步验收</w:t>
      </w:r>
    </w:p>
    <w:p w14:paraId="63366FA2">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系统开发、部署、调试完成后，采购单位组织初验。系统初验的基本条件是：</w:t>
      </w:r>
    </w:p>
    <w:p w14:paraId="228C238D">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1）全面完成系统的设计、开发、测试和集成工作，系统安装调试，并进行相关的配置和系统优化的调试，达到功能、性能、使用等方面的要求；</w:t>
      </w:r>
    </w:p>
    <w:p w14:paraId="07365769">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2）完成系统部署实施并上线运行；</w:t>
      </w:r>
    </w:p>
    <w:p w14:paraId="5DD8362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3）用户对系统的使用方式基本满意，确实方便了用户，提高了用户的效率，达到了系统的设计目标；</w:t>
      </w:r>
    </w:p>
    <w:p w14:paraId="4F9CBF2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4）系统运行稳定，上线试运行后确保不会影响业务部门的正常工作；</w:t>
      </w:r>
    </w:p>
    <w:p w14:paraId="55996ED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5）完成实施过程中所有文档的提交。成交供应商在初验前10天提供一份详细的初验方案，经采购单位认可后执行。</w:t>
      </w:r>
    </w:p>
    <w:p w14:paraId="2B92B204">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由采购单位组织项目初步验收，初步验收通过后，即进入试运行阶段。</w:t>
      </w:r>
    </w:p>
    <w:p w14:paraId="653D065E">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②系统试运行</w:t>
      </w:r>
    </w:p>
    <w:p w14:paraId="70D9A144">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在试运行期间，软件开发商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供应商原因致使系统不能正常运行，影响到买方正常工作。所有试运行期间系统的修改和软件变化都应在试运行结束后由成交供应商写入操作和维护手册中。</w:t>
      </w:r>
    </w:p>
    <w:p w14:paraId="601DDC6C">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③项目最终验收</w:t>
      </w:r>
    </w:p>
    <w:p w14:paraId="6009DE97">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试运行期满合格可以进行项目验收。合格必须满足以下条件：</w:t>
      </w:r>
    </w:p>
    <w:p w14:paraId="0D633F1F">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1）已提供了合同的全部系统和资料，所供产品必须全部满足招标技术要求及用户需求；</w:t>
      </w:r>
    </w:p>
    <w:p w14:paraId="7C1E1533">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2）提交实施过程中所产生的全部文档，如技术文档、实施文档、用户使用和操作手册等；</w:t>
      </w:r>
    </w:p>
    <w:p w14:paraId="2E93B777">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3）在试运行期间要保障系统的正常运行；</w:t>
      </w:r>
    </w:p>
    <w:p w14:paraId="11948E16">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4）安装、调试、测试和试运行时出现的问题均已被解决；</w:t>
      </w:r>
    </w:p>
    <w:p w14:paraId="34EB159E">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5）最终需求单位出具的系统可正常运转的说明文件。</w:t>
      </w:r>
    </w:p>
    <w:p w14:paraId="5618B0A9">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14:paraId="4F45AD35">
      <w:pPr>
        <w:spacing w:line="500" w:lineRule="exact"/>
        <w:ind w:firstLine="241"/>
        <w:jc w:val="left"/>
        <w:rPr>
          <w:rFonts w:hint="eastAsia" w:ascii="宋体" w:hAnsi="宋体"/>
          <w:b/>
          <w:color w:val="auto"/>
          <w:sz w:val="24"/>
          <w:highlight w:val="none"/>
        </w:rPr>
      </w:pPr>
      <w:r>
        <w:rPr>
          <w:rFonts w:hint="eastAsia" w:ascii="宋体" w:hAnsi="宋体"/>
          <w:b/>
          <w:color w:val="auto"/>
          <w:sz w:val="24"/>
          <w:highlight w:val="none"/>
        </w:rPr>
        <w:t>十</w:t>
      </w:r>
      <w:r>
        <w:rPr>
          <w:rFonts w:hint="eastAsia" w:ascii="宋体" w:hAnsi="宋体"/>
          <w:b/>
          <w:color w:val="auto"/>
          <w:sz w:val="24"/>
          <w:highlight w:val="none"/>
          <w:lang w:val="en-US" w:eastAsia="zh-CN"/>
        </w:rPr>
        <w:t>三</w:t>
      </w:r>
      <w:r>
        <w:rPr>
          <w:rFonts w:hint="eastAsia" w:ascii="宋体" w:hAnsi="宋体"/>
          <w:b/>
          <w:color w:val="auto"/>
          <w:sz w:val="24"/>
          <w:highlight w:val="none"/>
        </w:rPr>
        <w:t>、其他事项</w:t>
      </w:r>
    </w:p>
    <w:p w14:paraId="3F12AA50">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（一）采购人在合同的履行期间以及履行期后，可以随时检查项目的执行情况，对采购标准、采购内容进行调查核实，并对发现的问题进行处理。</w:t>
      </w:r>
    </w:p>
    <w:p w14:paraId="4A1C93A8">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（二）本合同一式六份，甲方</w:t>
      </w:r>
      <w:r>
        <w:rPr>
          <w:rFonts w:hint="eastAsia" w:ascii="宋体" w:hAnsi="宋体"/>
          <w:color w:val="auto"/>
          <w:sz w:val="24"/>
          <w:highlight w:val="none"/>
          <w:u w:val="single"/>
        </w:rPr>
        <w:t xml:space="preserve">         </w:t>
      </w:r>
      <w:r>
        <w:rPr>
          <w:rFonts w:hint="eastAsia" w:ascii="宋体" w:hAnsi="宋体"/>
          <w:color w:val="auto"/>
          <w:sz w:val="24"/>
          <w:highlight w:val="none"/>
        </w:rPr>
        <w:t>四份，乙方</w:t>
      </w:r>
      <w:r>
        <w:rPr>
          <w:rFonts w:hint="eastAsia" w:ascii="宋体" w:hAnsi="宋体"/>
          <w:color w:val="auto"/>
          <w:sz w:val="24"/>
          <w:highlight w:val="none"/>
          <w:u w:val="single"/>
        </w:rPr>
        <w:t xml:space="preserve">              </w:t>
      </w:r>
      <w:r>
        <w:rPr>
          <w:rFonts w:hint="eastAsia" w:ascii="宋体" w:hAnsi="宋体"/>
          <w:color w:val="auto"/>
          <w:sz w:val="24"/>
          <w:highlight w:val="none"/>
        </w:rPr>
        <w:t>一份，采购代理机构一份，甲乙双方签字盖章后生效。</w:t>
      </w:r>
    </w:p>
    <w:p w14:paraId="455970A5">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（三）招标文件、投标</w:t>
      </w:r>
      <w:r>
        <w:rPr>
          <w:rFonts w:ascii="宋体" w:hAnsi="宋体"/>
          <w:color w:val="auto"/>
          <w:sz w:val="24"/>
          <w:highlight w:val="none"/>
        </w:rPr>
        <w:t>文件</w:t>
      </w:r>
      <w:r>
        <w:rPr>
          <w:rFonts w:hint="eastAsia" w:ascii="宋体" w:hAnsi="宋体"/>
          <w:bCs/>
          <w:color w:val="auto"/>
          <w:sz w:val="24"/>
          <w:highlight w:val="none"/>
        </w:rPr>
        <w:t>也是合同的组成部分，合同中未约定的以</w:t>
      </w:r>
      <w:r>
        <w:rPr>
          <w:rFonts w:hint="eastAsia" w:ascii="宋体" w:hAnsi="宋体"/>
          <w:color w:val="auto"/>
          <w:sz w:val="24"/>
          <w:highlight w:val="none"/>
        </w:rPr>
        <w:t>招标文件、</w:t>
      </w:r>
      <w:r>
        <w:rPr>
          <w:rFonts w:ascii="宋体" w:hAnsi="宋体"/>
          <w:color w:val="auto"/>
          <w:sz w:val="24"/>
          <w:highlight w:val="none"/>
        </w:rPr>
        <w:t>响应文件</w:t>
      </w:r>
      <w:r>
        <w:rPr>
          <w:rFonts w:hint="eastAsia" w:ascii="宋体" w:hAnsi="宋体"/>
          <w:bCs/>
          <w:color w:val="auto"/>
          <w:sz w:val="24"/>
          <w:highlight w:val="none"/>
        </w:rPr>
        <w:t xml:space="preserve">为准。 </w:t>
      </w:r>
    </w:p>
    <w:p w14:paraId="134330E7">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 xml:space="preserve">合同签订地点：   </w:t>
      </w:r>
    </w:p>
    <w:p w14:paraId="13B7C1EC">
      <w:pPr>
        <w:spacing w:line="50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合同签订时间：    年   月    日</w:t>
      </w:r>
    </w:p>
    <w:p w14:paraId="0B973076">
      <w:pPr>
        <w:spacing w:line="500" w:lineRule="exact"/>
        <w:jc w:val="left"/>
        <w:rPr>
          <w:rFonts w:hint="eastAsia" w:ascii="宋体" w:hAnsi="宋体"/>
          <w:color w:val="auto"/>
          <w:sz w:val="24"/>
          <w:highlight w:val="none"/>
        </w:rPr>
      </w:pPr>
    </w:p>
    <w:p w14:paraId="422ADB69">
      <w:pPr>
        <w:spacing w:line="500" w:lineRule="exact"/>
        <w:jc w:val="left"/>
        <w:rPr>
          <w:rFonts w:hint="eastAsia" w:ascii="宋体" w:hAnsi="宋体"/>
          <w:color w:val="auto"/>
          <w:sz w:val="24"/>
          <w:highlight w:val="none"/>
        </w:rPr>
      </w:pPr>
      <w:r>
        <w:rPr>
          <w:rFonts w:hint="eastAsia" w:ascii="宋体" w:hAnsi="宋体"/>
          <w:color w:val="auto"/>
          <w:sz w:val="24"/>
          <w:highlight w:val="none"/>
        </w:rPr>
        <w:t>甲    方                           乙    方</w:t>
      </w:r>
    </w:p>
    <w:p w14:paraId="01301BFF">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单位名称：         </w:t>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单位名称：</w:t>
      </w:r>
    </w:p>
    <w:p w14:paraId="2DAEB8BD">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地    址：  </w:t>
      </w:r>
      <w:r>
        <w:rPr>
          <w:color w:val="auto"/>
          <w:highlight w:val="none"/>
        </w:rPr>
        <w:tab/>
      </w:r>
      <w:r>
        <w:rPr>
          <w:rFonts w:hint="eastAsia" w:ascii="宋体" w:hAnsi="宋体"/>
          <w:color w:val="auto"/>
          <w:sz w:val="24"/>
          <w:highlight w:val="none"/>
        </w:rPr>
        <w:t xml:space="preserve">       </w:t>
      </w:r>
      <w:r>
        <w:rPr>
          <w:color w:val="auto"/>
          <w:highlight w:val="none"/>
        </w:rPr>
        <w:tab/>
      </w:r>
      <w:r>
        <w:rPr>
          <w:color w:val="auto"/>
          <w:highlight w:val="none"/>
        </w:rPr>
        <w:tab/>
      </w:r>
      <w:r>
        <w:rPr>
          <w:color w:val="auto"/>
          <w:highlight w:val="none"/>
        </w:rPr>
        <w:tab/>
      </w:r>
      <w:r>
        <w:rPr>
          <w:rFonts w:hint="eastAsia"/>
          <w:color w:val="auto"/>
          <w:highlight w:val="none"/>
        </w:rPr>
        <w:t xml:space="preserve">    </w:t>
      </w:r>
      <w:r>
        <w:rPr>
          <w:rFonts w:hint="eastAsia" w:ascii="宋体" w:hAnsi="宋体"/>
          <w:color w:val="auto"/>
          <w:sz w:val="24"/>
          <w:highlight w:val="none"/>
        </w:rPr>
        <w:t>地    址：</w:t>
      </w:r>
    </w:p>
    <w:p w14:paraId="22F1FFDB">
      <w:pPr>
        <w:spacing w:line="500" w:lineRule="exact"/>
        <w:jc w:val="left"/>
        <w:rPr>
          <w:rFonts w:hint="eastAsia" w:ascii="宋体" w:hAnsi="宋体"/>
          <w:color w:val="auto"/>
          <w:sz w:val="24"/>
          <w:highlight w:val="none"/>
        </w:rPr>
      </w:pPr>
    </w:p>
    <w:p w14:paraId="38F147B1">
      <w:pPr>
        <w:spacing w:line="500" w:lineRule="exact"/>
        <w:jc w:val="left"/>
        <w:rPr>
          <w:rFonts w:hint="eastAsia" w:ascii="宋体" w:hAnsi="宋体"/>
          <w:color w:val="auto"/>
          <w:sz w:val="24"/>
          <w:highlight w:val="none"/>
        </w:rPr>
      </w:pPr>
      <w:r>
        <w:rPr>
          <w:rFonts w:hint="eastAsia" w:ascii="宋体" w:hAnsi="宋体"/>
          <w:color w:val="auto"/>
          <w:sz w:val="24"/>
          <w:highlight w:val="none"/>
        </w:rPr>
        <w:t>法定代表人：                       法定代表人：</w:t>
      </w:r>
    </w:p>
    <w:p w14:paraId="1B582C4E">
      <w:pPr>
        <w:spacing w:line="500" w:lineRule="exact"/>
        <w:jc w:val="left"/>
        <w:rPr>
          <w:rFonts w:hint="eastAsia" w:ascii="宋体" w:hAnsi="宋体"/>
          <w:color w:val="auto"/>
          <w:sz w:val="24"/>
          <w:highlight w:val="none"/>
        </w:rPr>
      </w:pPr>
    </w:p>
    <w:p w14:paraId="20A863C9">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联系电话：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联系电话：</w:t>
      </w:r>
    </w:p>
    <w:p w14:paraId="7708D961">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开 户 行：         </w:t>
      </w: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开 户 行：</w:t>
      </w:r>
    </w:p>
    <w:p w14:paraId="29884365">
      <w:pPr>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账    号：             </w:t>
      </w:r>
      <w:r>
        <w:rPr>
          <w:color w:val="auto"/>
          <w:highlight w:val="none"/>
        </w:rPr>
        <w:tab/>
      </w:r>
      <w:r>
        <w:rPr>
          <w:color w:val="auto"/>
          <w:highlight w:val="none"/>
        </w:rPr>
        <w:tab/>
      </w:r>
      <w:r>
        <w:rPr>
          <w:color w:val="auto"/>
          <w:highlight w:val="none"/>
        </w:rPr>
        <w:tab/>
      </w:r>
      <w:r>
        <w:rPr>
          <w:rFonts w:hint="eastAsia" w:ascii="宋体" w:hAnsi="宋体"/>
          <w:color w:val="auto"/>
          <w:sz w:val="24"/>
          <w:highlight w:val="none"/>
        </w:rPr>
        <w:t xml:space="preserve"> </w:t>
      </w:r>
      <w:r>
        <w:rPr>
          <w:color w:val="auto"/>
          <w:highlight w:val="none"/>
        </w:rPr>
        <w:tab/>
      </w:r>
      <w:r>
        <w:rPr>
          <w:rFonts w:hint="eastAsia" w:ascii="宋体" w:hAnsi="宋体"/>
          <w:color w:val="auto"/>
          <w:sz w:val="24"/>
          <w:highlight w:val="none"/>
        </w:rPr>
        <w:t>账    号：</w:t>
      </w:r>
    </w:p>
    <w:p w14:paraId="6B8E358F">
      <w:pPr>
        <w:pStyle w:val="2"/>
        <w:spacing w:line="500" w:lineRule="exact"/>
        <w:rPr>
          <w:rFonts w:hint="eastAsia"/>
          <w:bCs/>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ab/>
      </w:r>
    </w:p>
    <w:p w14:paraId="49A98DCF">
      <w:pPr>
        <w:pStyle w:val="2"/>
        <w:rPr>
          <w:rFonts w:hint="eastAsia"/>
          <w:color w:val="auto"/>
          <w:highlight w:val="none"/>
        </w:rPr>
      </w:pPr>
      <w:r>
        <w:rPr>
          <w:color w:val="auto"/>
          <w:highlight w:val="none"/>
        </w:rPr>
        <w:br w:type="page"/>
      </w:r>
    </w:p>
    <w:p w14:paraId="08B2168B">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附件1 采购内容</w:t>
      </w:r>
    </w:p>
    <w:tbl>
      <w:tblPr>
        <w:tblStyle w:val="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59BA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33178BE4">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序号</w:t>
            </w:r>
          </w:p>
        </w:tc>
        <w:tc>
          <w:tcPr>
            <w:tcW w:w="1224" w:type="dxa"/>
            <w:vAlign w:val="center"/>
          </w:tcPr>
          <w:p w14:paraId="295E88EA">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产品名称</w:t>
            </w:r>
          </w:p>
        </w:tc>
        <w:tc>
          <w:tcPr>
            <w:tcW w:w="1224" w:type="dxa"/>
            <w:vAlign w:val="center"/>
          </w:tcPr>
          <w:p w14:paraId="2AB73FBE">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lang w:val="en-US" w:eastAsia="zh-CN"/>
              </w:rPr>
              <w:t>规格</w:t>
            </w:r>
            <w:r>
              <w:rPr>
                <w:rFonts w:hint="eastAsia" w:ascii="宋体" w:hAnsi="宋体"/>
                <w:bCs/>
                <w:color w:val="auto"/>
                <w:sz w:val="24"/>
                <w:highlight w:val="none"/>
              </w:rPr>
              <w:t>型号</w:t>
            </w:r>
          </w:p>
        </w:tc>
        <w:tc>
          <w:tcPr>
            <w:tcW w:w="1225" w:type="dxa"/>
            <w:vAlign w:val="center"/>
          </w:tcPr>
          <w:p w14:paraId="5315217B">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产地</w:t>
            </w:r>
          </w:p>
        </w:tc>
        <w:tc>
          <w:tcPr>
            <w:tcW w:w="1224" w:type="dxa"/>
            <w:vAlign w:val="center"/>
          </w:tcPr>
          <w:p w14:paraId="6CB25422">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生产厂家</w:t>
            </w:r>
          </w:p>
        </w:tc>
        <w:tc>
          <w:tcPr>
            <w:tcW w:w="1224" w:type="dxa"/>
            <w:vAlign w:val="center"/>
          </w:tcPr>
          <w:p w14:paraId="10527E23">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单位</w:t>
            </w:r>
          </w:p>
        </w:tc>
        <w:tc>
          <w:tcPr>
            <w:tcW w:w="1225" w:type="dxa"/>
            <w:vAlign w:val="center"/>
          </w:tcPr>
          <w:p w14:paraId="47BDB9D7">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单价</w:t>
            </w:r>
          </w:p>
          <w:p w14:paraId="548F3EA0">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（元）</w:t>
            </w:r>
          </w:p>
        </w:tc>
        <w:tc>
          <w:tcPr>
            <w:tcW w:w="992" w:type="dxa"/>
            <w:vAlign w:val="center"/>
          </w:tcPr>
          <w:p w14:paraId="166271F2">
            <w:pPr>
              <w:tabs>
                <w:tab w:val="left" w:pos="810"/>
              </w:tabs>
              <w:spacing w:line="400" w:lineRule="exact"/>
              <w:jc w:val="center"/>
              <w:rPr>
                <w:rFonts w:hint="eastAsia" w:ascii="宋体" w:hAnsi="宋体"/>
                <w:bCs/>
                <w:color w:val="auto"/>
                <w:sz w:val="24"/>
                <w:highlight w:val="none"/>
              </w:rPr>
            </w:pPr>
            <w:r>
              <w:rPr>
                <w:rFonts w:hint="eastAsia" w:ascii="宋体" w:hAnsi="宋体"/>
                <w:bCs/>
                <w:color w:val="auto"/>
                <w:sz w:val="24"/>
                <w:highlight w:val="none"/>
              </w:rPr>
              <w:t>备注</w:t>
            </w:r>
          </w:p>
        </w:tc>
      </w:tr>
      <w:tr w14:paraId="2A9D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FC5E7D2">
            <w:pPr>
              <w:spacing w:line="400" w:lineRule="exact"/>
              <w:jc w:val="center"/>
              <w:rPr>
                <w:rFonts w:hint="eastAsia" w:ascii="宋体" w:hAnsi="宋体"/>
                <w:bCs/>
                <w:color w:val="auto"/>
                <w:sz w:val="24"/>
                <w:highlight w:val="none"/>
              </w:rPr>
            </w:pPr>
          </w:p>
        </w:tc>
        <w:tc>
          <w:tcPr>
            <w:tcW w:w="1224" w:type="dxa"/>
            <w:vAlign w:val="center"/>
          </w:tcPr>
          <w:p w14:paraId="765B364E">
            <w:pPr>
              <w:spacing w:line="400" w:lineRule="exact"/>
              <w:jc w:val="center"/>
              <w:rPr>
                <w:rFonts w:hint="eastAsia" w:ascii="宋体" w:hAnsi="宋体"/>
                <w:bCs/>
                <w:color w:val="auto"/>
                <w:sz w:val="24"/>
                <w:highlight w:val="none"/>
              </w:rPr>
            </w:pPr>
          </w:p>
        </w:tc>
        <w:tc>
          <w:tcPr>
            <w:tcW w:w="1224" w:type="dxa"/>
            <w:vAlign w:val="center"/>
          </w:tcPr>
          <w:p w14:paraId="243F586E">
            <w:pPr>
              <w:spacing w:line="400" w:lineRule="exact"/>
              <w:jc w:val="center"/>
              <w:rPr>
                <w:rFonts w:hint="eastAsia" w:ascii="宋体" w:hAnsi="宋体"/>
                <w:bCs/>
                <w:color w:val="auto"/>
                <w:sz w:val="24"/>
                <w:highlight w:val="none"/>
              </w:rPr>
            </w:pPr>
          </w:p>
        </w:tc>
        <w:tc>
          <w:tcPr>
            <w:tcW w:w="1225" w:type="dxa"/>
            <w:vAlign w:val="center"/>
          </w:tcPr>
          <w:p w14:paraId="2D3044CF">
            <w:pPr>
              <w:spacing w:line="400" w:lineRule="exact"/>
              <w:jc w:val="center"/>
              <w:rPr>
                <w:rFonts w:hint="eastAsia" w:ascii="宋体" w:hAnsi="宋体"/>
                <w:bCs/>
                <w:color w:val="auto"/>
                <w:sz w:val="24"/>
                <w:highlight w:val="none"/>
              </w:rPr>
            </w:pPr>
          </w:p>
        </w:tc>
        <w:tc>
          <w:tcPr>
            <w:tcW w:w="1224" w:type="dxa"/>
            <w:vAlign w:val="center"/>
          </w:tcPr>
          <w:p w14:paraId="2FCC92AA">
            <w:pPr>
              <w:spacing w:line="400" w:lineRule="exact"/>
              <w:jc w:val="center"/>
              <w:rPr>
                <w:rFonts w:hint="eastAsia" w:ascii="宋体" w:hAnsi="宋体"/>
                <w:bCs/>
                <w:color w:val="auto"/>
                <w:sz w:val="24"/>
                <w:highlight w:val="none"/>
              </w:rPr>
            </w:pPr>
          </w:p>
        </w:tc>
        <w:tc>
          <w:tcPr>
            <w:tcW w:w="1224" w:type="dxa"/>
            <w:vAlign w:val="center"/>
          </w:tcPr>
          <w:p w14:paraId="562358F3">
            <w:pPr>
              <w:spacing w:line="400" w:lineRule="exact"/>
              <w:jc w:val="center"/>
              <w:rPr>
                <w:rFonts w:hint="eastAsia" w:ascii="宋体" w:hAnsi="宋体"/>
                <w:bCs/>
                <w:color w:val="auto"/>
                <w:sz w:val="24"/>
                <w:highlight w:val="none"/>
              </w:rPr>
            </w:pPr>
          </w:p>
        </w:tc>
        <w:tc>
          <w:tcPr>
            <w:tcW w:w="1225" w:type="dxa"/>
            <w:vAlign w:val="center"/>
          </w:tcPr>
          <w:p w14:paraId="25185046">
            <w:pPr>
              <w:spacing w:line="400" w:lineRule="exact"/>
              <w:jc w:val="center"/>
              <w:rPr>
                <w:rFonts w:hint="eastAsia" w:ascii="宋体" w:hAnsi="宋体"/>
                <w:bCs/>
                <w:color w:val="auto"/>
                <w:sz w:val="24"/>
                <w:highlight w:val="none"/>
              </w:rPr>
            </w:pPr>
          </w:p>
        </w:tc>
        <w:tc>
          <w:tcPr>
            <w:tcW w:w="992" w:type="dxa"/>
            <w:vAlign w:val="center"/>
          </w:tcPr>
          <w:p w14:paraId="30CC59C8">
            <w:pPr>
              <w:spacing w:line="400" w:lineRule="exact"/>
              <w:jc w:val="center"/>
              <w:rPr>
                <w:rFonts w:hint="eastAsia" w:ascii="宋体" w:hAnsi="宋体"/>
                <w:bCs/>
                <w:color w:val="auto"/>
                <w:sz w:val="24"/>
                <w:highlight w:val="none"/>
              </w:rPr>
            </w:pPr>
          </w:p>
        </w:tc>
      </w:tr>
      <w:tr w14:paraId="6D3F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6A881EBA">
            <w:pPr>
              <w:spacing w:line="400" w:lineRule="exact"/>
              <w:jc w:val="center"/>
              <w:rPr>
                <w:rFonts w:hint="eastAsia" w:ascii="宋体" w:hAnsi="宋体"/>
                <w:bCs/>
                <w:color w:val="auto"/>
                <w:sz w:val="24"/>
                <w:highlight w:val="none"/>
              </w:rPr>
            </w:pPr>
          </w:p>
        </w:tc>
        <w:tc>
          <w:tcPr>
            <w:tcW w:w="1224" w:type="dxa"/>
            <w:vAlign w:val="center"/>
          </w:tcPr>
          <w:p w14:paraId="030FC374">
            <w:pPr>
              <w:spacing w:line="400" w:lineRule="exact"/>
              <w:jc w:val="center"/>
              <w:rPr>
                <w:rFonts w:hint="eastAsia" w:ascii="宋体" w:hAnsi="宋体"/>
                <w:bCs/>
                <w:color w:val="auto"/>
                <w:sz w:val="24"/>
                <w:highlight w:val="none"/>
              </w:rPr>
            </w:pPr>
          </w:p>
        </w:tc>
        <w:tc>
          <w:tcPr>
            <w:tcW w:w="1224" w:type="dxa"/>
            <w:vAlign w:val="center"/>
          </w:tcPr>
          <w:p w14:paraId="0EC9F29D">
            <w:pPr>
              <w:spacing w:line="400" w:lineRule="exact"/>
              <w:jc w:val="center"/>
              <w:rPr>
                <w:rFonts w:hint="eastAsia" w:ascii="宋体" w:hAnsi="宋体"/>
                <w:bCs/>
                <w:color w:val="auto"/>
                <w:sz w:val="24"/>
                <w:highlight w:val="none"/>
              </w:rPr>
            </w:pPr>
          </w:p>
        </w:tc>
        <w:tc>
          <w:tcPr>
            <w:tcW w:w="1225" w:type="dxa"/>
            <w:vAlign w:val="center"/>
          </w:tcPr>
          <w:p w14:paraId="746D30B9">
            <w:pPr>
              <w:spacing w:line="400" w:lineRule="exact"/>
              <w:jc w:val="center"/>
              <w:rPr>
                <w:rFonts w:hint="eastAsia" w:ascii="宋体" w:hAnsi="宋体"/>
                <w:bCs/>
                <w:color w:val="auto"/>
                <w:sz w:val="24"/>
                <w:highlight w:val="none"/>
              </w:rPr>
            </w:pPr>
          </w:p>
        </w:tc>
        <w:tc>
          <w:tcPr>
            <w:tcW w:w="1224" w:type="dxa"/>
            <w:vAlign w:val="center"/>
          </w:tcPr>
          <w:p w14:paraId="1BF32930">
            <w:pPr>
              <w:spacing w:line="400" w:lineRule="exact"/>
              <w:jc w:val="center"/>
              <w:rPr>
                <w:rFonts w:hint="eastAsia" w:ascii="宋体" w:hAnsi="宋体"/>
                <w:bCs/>
                <w:color w:val="auto"/>
                <w:sz w:val="24"/>
                <w:highlight w:val="none"/>
              </w:rPr>
            </w:pPr>
          </w:p>
        </w:tc>
        <w:tc>
          <w:tcPr>
            <w:tcW w:w="1224" w:type="dxa"/>
            <w:vAlign w:val="center"/>
          </w:tcPr>
          <w:p w14:paraId="5A7FD334">
            <w:pPr>
              <w:spacing w:line="400" w:lineRule="exact"/>
              <w:jc w:val="center"/>
              <w:rPr>
                <w:rFonts w:hint="eastAsia" w:ascii="宋体" w:hAnsi="宋体"/>
                <w:bCs/>
                <w:color w:val="auto"/>
                <w:sz w:val="24"/>
                <w:highlight w:val="none"/>
              </w:rPr>
            </w:pPr>
          </w:p>
        </w:tc>
        <w:tc>
          <w:tcPr>
            <w:tcW w:w="1225" w:type="dxa"/>
            <w:vAlign w:val="center"/>
          </w:tcPr>
          <w:p w14:paraId="74D657A4">
            <w:pPr>
              <w:spacing w:line="400" w:lineRule="exact"/>
              <w:jc w:val="center"/>
              <w:rPr>
                <w:rFonts w:hint="eastAsia" w:ascii="宋体" w:hAnsi="宋体"/>
                <w:bCs/>
                <w:color w:val="auto"/>
                <w:sz w:val="24"/>
                <w:highlight w:val="none"/>
              </w:rPr>
            </w:pPr>
          </w:p>
        </w:tc>
        <w:tc>
          <w:tcPr>
            <w:tcW w:w="992" w:type="dxa"/>
            <w:vAlign w:val="center"/>
          </w:tcPr>
          <w:p w14:paraId="5DED220B">
            <w:pPr>
              <w:spacing w:line="400" w:lineRule="exact"/>
              <w:jc w:val="center"/>
              <w:rPr>
                <w:rFonts w:hint="eastAsia" w:ascii="宋体" w:hAnsi="宋体"/>
                <w:bCs/>
                <w:color w:val="auto"/>
                <w:sz w:val="24"/>
                <w:highlight w:val="none"/>
              </w:rPr>
            </w:pPr>
          </w:p>
        </w:tc>
      </w:tr>
      <w:tr w14:paraId="60D6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5107E5D">
            <w:pPr>
              <w:spacing w:line="400" w:lineRule="exact"/>
              <w:jc w:val="center"/>
              <w:rPr>
                <w:rFonts w:hint="eastAsia" w:ascii="宋体" w:hAnsi="宋体"/>
                <w:bCs/>
                <w:color w:val="auto"/>
                <w:sz w:val="24"/>
                <w:highlight w:val="none"/>
              </w:rPr>
            </w:pPr>
          </w:p>
        </w:tc>
        <w:tc>
          <w:tcPr>
            <w:tcW w:w="1224" w:type="dxa"/>
            <w:vAlign w:val="center"/>
          </w:tcPr>
          <w:p w14:paraId="24CC8CEE">
            <w:pPr>
              <w:spacing w:line="400" w:lineRule="exact"/>
              <w:jc w:val="center"/>
              <w:rPr>
                <w:rFonts w:hint="eastAsia" w:ascii="宋体" w:hAnsi="宋体"/>
                <w:bCs/>
                <w:color w:val="auto"/>
                <w:sz w:val="24"/>
                <w:highlight w:val="none"/>
              </w:rPr>
            </w:pPr>
          </w:p>
        </w:tc>
        <w:tc>
          <w:tcPr>
            <w:tcW w:w="1224" w:type="dxa"/>
            <w:vAlign w:val="center"/>
          </w:tcPr>
          <w:p w14:paraId="56474374">
            <w:pPr>
              <w:spacing w:line="400" w:lineRule="exact"/>
              <w:jc w:val="center"/>
              <w:rPr>
                <w:rFonts w:hint="eastAsia" w:ascii="宋体" w:hAnsi="宋体"/>
                <w:bCs/>
                <w:color w:val="auto"/>
                <w:sz w:val="24"/>
                <w:highlight w:val="none"/>
              </w:rPr>
            </w:pPr>
          </w:p>
        </w:tc>
        <w:tc>
          <w:tcPr>
            <w:tcW w:w="1225" w:type="dxa"/>
            <w:vAlign w:val="center"/>
          </w:tcPr>
          <w:p w14:paraId="06F38D70">
            <w:pPr>
              <w:spacing w:line="400" w:lineRule="exact"/>
              <w:jc w:val="center"/>
              <w:rPr>
                <w:rFonts w:hint="eastAsia" w:ascii="宋体" w:hAnsi="宋体"/>
                <w:bCs/>
                <w:color w:val="auto"/>
                <w:sz w:val="24"/>
                <w:highlight w:val="none"/>
              </w:rPr>
            </w:pPr>
          </w:p>
        </w:tc>
        <w:tc>
          <w:tcPr>
            <w:tcW w:w="1224" w:type="dxa"/>
            <w:vAlign w:val="center"/>
          </w:tcPr>
          <w:p w14:paraId="4885C26D">
            <w:pPr>
              <w:spacing w:line="400" w:lineRule="exact"/>
              <w:jc w:val="center"/>
              <w:rPr>
                <w:rFonts w:hint="eastAsia" w:ascii="宋体" w:hAnsi="宋体"/>
                <w:bCs/>
                <w:color w:val="auto"/>
                <w:sz w:val="24"/>
                <w:highlight w:val="none"/>
              </w:rPr>
            </w:pPr>
          </w:p>
        </w:tc>
        <w:tc>
          <w:tcPr>
            <w:tcW w:w="1224" w:type="dxa"/>
            <w:vAlign w:val="center"/>
          </w:tcPr>
          <w:p w14:paraId="4E80A70A">
            <w:pPr>
              <w:spacing w:line="400" w:lineRule="exact"/>
              <w:jc w:val="center"/>
              <w:rPr>
                <w:rFonts w:hint="eastAsia" w:ascii="宋体" w:hAnsi="宋体"/>
                <w:bCs/>
                <w:color w:val="auto"/>
                <w:sz w:val="24"/>
                <w:highlight w:val="none"/>
              </w:rPr>
            </w:pPr>
          </w:p>
        </w:tc>
        <w:tc>
          <w:tcPr>
            <w:tcW w:w="1225" w:type="dxa"/>
            <w:vAlign w:val="center"/>
          </w:tcPr>
          <w:p w14:paraId="38950380">
            <w:pPr>
              <w:spacing w:line="400" w:lineRule="exact"/>
              <w:jc w:val="center"/>
              <w:rPr>
                <w:rFonts w:hint="eastAsia" w:ascii="宋体" w:hAnsi="宋体"/>
                <w:bCs/>
                <w:color w:val="auto"/>
                <w:sz w:val="24"/>
                <w:highlight w:val="none"/>
              </w:rPr>
            </w:pPr>
          </w:p>
        </w:tc>
        <w:tc>
          <w:tcPr>
            <w:tcW w:w="992" w:type="dxa"/>
            <w:vAlign w:val="center"/>
          </w:tcPr>
          <w:p w14:paraId="47B4094F">
            <w:pPr>
              <w:spacing w:line="400" w:lineRule="exact"/>
              <w:jc w:val="center"/>
              <w:rPr>
                <w:rFonts w:hint="eastAsia" w:ascii="宋体" w:hAnsi="宋体"/>
                <w:bCs/>
                <w:color w:val="auto"/>
                <w:sz w:val="24"/>
                <w:highlight w:val="none"/>
              </w:rPr>
            </w:pPr>
          </w:p>
        </w:tc>
      </w:tr>
      <w:tr w14:paraId="06F3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0D6FC755">
            <w:pPr>
              <w:spacing w:line="400" w:lineRule="exact"/>
              <w:jc w:val="center"/>
              <w:rPr>
                <w:rFonts w:hint="eastAsia" w:ascii="宋体" w:hAnsi="宋体"/>
                <w:bCs/>
                <w:color w:val="auto"/>
                <w:sz w:val="24"/>
                <w:highlight w:val="none"/>
              </w:rPr>
            </w:pPr>
          </w:p>
        </w:tc>
        <w:tc>
          <w:tcPr>
            <w:tcW w:w="1224" w:type="dxa"/>
            <w:vAlign w:val="center"/>
          </w:tcPr>
          <w:p w14:paraId="143EB4B0">
            <w:pPr>
              <w:spacing w:line="400" w:lineRule="exact"/>
              <w:jc w:val="center"/>
              <w:rPr>
                <w:rFonts w:hint="eastAsia" w:ascii="宋体" w:hAnsi="宋体"/>
                <w:bCs/>
                <w:color w:val="auto"/>
                <w:sz w:val="24"/>
                <w:highlight w:val="none"/>
              </w:rPr>
            </w:pPr>
          </w:p>
        </w:tc>
        <w:tc>
          <w:tcPr>
            <w:tcW w:w="1224" w:type="dxa"/>
            <w:vAlign w:val="center"/>
          </w:tcPr>
          <w:p w14:paraId="44A68F3E">
            <w:pPr>
              <w:spacing w:line="400" w:lineRule="exact"/>
              <w:jc w:val="center"/>
              <w:rPr>
                <w:rFonts w:hint="eastAsia" w:ascii="宋体" w:hAnsi="宋体"/>
                <w:bCs/>
                <w:color w:val="auto"/>
                <w:sz w:val="24"/>
                <w:highlight w:val="none"/>
              </w:rPr>
            </w:pPr>
          </w:p>
        </w:tc>
        <w:tc>
          <w:tcPr>
            <w:tcW w:w="1225" w:type="dxa"/>
            <w:vAlign w:val="center"/>
          </w:tcPr>
          <w:p w14:paraId="44D2060E">
            <w:pPr>
              <w:spacing w:line="400" w:lineRule="exact"/>
              <w:jc w:val="center"/>
              <w:rPr>
                <w:rFonts w:hint="eastAsia" w:ascii="宋体" w:hAnsi="宋体"/>
                <w:bCs/>
                <w:color w:val="auto"/>
                <w:sz w:val="24"/>
                <w:highlight w:val="none"/>
              </w:rPr>
            </w:pPr>
          </w:p>
        </w:tc>
        <w:tc>
          <w:tcPr>
            <w:tcW w:w="1224" w:type="dxa"/>
            <w:vAlign w:val="center"/>
          </w:tcPr>
          <w:p w14:paraId="483F1A55">
            <w:pPr>
              <w:spacing w:line="400" w:lineRule="exact"/>
              <w:jc w:val="center"/>
              <w:rPr>
                <w:rFonts w:hint="eastAsia" w:ascii="宋体" w:hAnsi="宋体"/>
                <w:bCs/>
                <w:color w:val="auto"/>
                <w:sz w:val="24"/>
                <w:highlight w:val="none"/>
              </w:rPr>
            </w:pPr>
          </w:p>
        </w:tc>
        <w:tc>
          <w:tcPr>
            <w:tcW w:w="1224" w:type="dxa"/>
            <w:vAlign w:val="center"/>
          </w:tcPr>
          <w:p w14:paraId="37E20127">
            <w:pPr>
              <w:spacing w:line="400" w:lineRule="exact"/>
              <w:jc w:val="center"/>
              <w:rPr>
                <w:rFonts w:hint="eastAsia" w:ascii="宋体" w:hAnsi="宋体"/>
                <w:bCs/>
                <w:color w:val="auto"/>
                <w:sz w:val="24"/>
                <w:highlight w:val="none"/>
              </w:rPr>
            </w:pPr>
          </w:p>
        </w:tc>
        <w:tc>
          <w:tcPr>
            <w:tcW w:w="1225" w:type="dxa"/>
            <w:vAlign w:val="center"/>
          </w:tcPr>
          <w:p w14:paraId="7452F993">
            <w:pPr>
              <w:spacing w:line="400" w:lineRule="exact"/>
              <w:jc w:val="center"/>
              <w:rPr>
                <w:rFonts w:hint="eastAsia" w:ascii="宋体" w:hAnsi="宋体"/>
                <w:bCs/>
                <w:color w:val="auto"/>
                <w:sz w:val="24"/>
                <w:highlight w:val="none"/>
              </w:rPr>
            </w:pPr>
          </w:p>
        </w:tc>
        <w:tc>
          <w:tcPr>
            <w:tcW w:w="992" w:type="dxa"/>
            <w:vAlign w:val="center"/>
          </w:tcPr>
          <w:p w14:paraId="2E3D7663">
            <w:pPr>
              <w:spacing w:line="400" w:lineRule="exact"/>
              <w:jc w:val="center"/>
              <w:rPr>
                <w:rFonts w:hint="eastAsia" w:ascii="宋体" w:hAnsi="宋体"/>
                <w:bCs/>
                <w:color w:val="auto"/>
                <w:sz w:val="24"/>
                <w:highlight w:val="none"/>
              </w:rPr>
            </w:pPr>
          </w:p>
        </w:tc>
      </w:tr>
      <w:tr w14:paraId="32CB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6EA7CA6">
            <w:pPr>
              <w:spacing w:line="400" w:lineRule="exact"/>
              <w:jc w:val="center"/>
              <w:rPr>
                <w:rFonts w:hint="eastAsia" w:ascii="宋体" w:hAnsi="宋体"/>
                <w:bCs/>
                <w:color w:val="auto"/>
                <w:sz w:val="24"/>
                <w:highlight w:val="none"/>
              </w:rPr>
            </w:pPr>
          </w:p>
        </w:tc>
        <w:tc>
          <w:tcPr>
            <w:tcW w:w="1224" w:type="dxa"/>
            <w:vAlign w:val="center"/>
          </w:tcPr>
          <w:p w14:paraId="2CBCC1CD">
            <w:pPr>
              <w:spacing w:line="400" w:lineRule="exact"/>
              <w:jc w:val="center"/>
              <w:rPr>
                <w:rFonts w:hint="eastAsia" w:ascii="宋体" w:hAnsi="宋体"/>
                <w:bCs/>
                <w:color w:val="auto"/>
                <w:sz w:val="24"/>
                <w:highlight w:val="none"/>
              </w:rPr>
            </w:pPr>
          </w:p>
        </w:tc>
        <w:tc>
          <w:tcPr>
            <w:tcW w:w="1224" w:type="dxa"/>
            <w:vAlign w:val="center"/>
          </w:tcPr>
          <w:p w14:paraId="6063929D">
            <w:pPr>
              <w:spacing w:line="400" w:lineRule="exact"/>
              <w:jc w:val="center"/>
              <w:rPr>
                <w:rFonts w:hint="eastAsia" w:ascii="宋体" w:hAnsi="宋体"/>
                <w:bCs/>
                <w:color w:val="auto"/>
                <w:sz w:val="24"/>
                <w:highlight w:val="none"/>
              </w:rPr>
            </w:pPr>
          </w:p>
        </w:tc>
        <w:tc>
          <w:tcPr>
            <w:tcW w:w="1225" w:type="dxa"/>
            <w:vAlign w:val="center"/>
          </w:tcPr>
          <w:p w14:paraId="66FC7344">
            <w:pPr>
              <w:spacing w:line="400" w:lineRule="exact"/>
              <w:jc w:val="center"/>
              <w:rPr>
                <w:rFonts w:hint="eastAsia" w:ascii="宋体" w:hAnsi="宋体"/>
                <w:bCs/>
                <w:color w:val="auto"/>
                <w:sz w:val="24"/>
                <w:highlight w:val="none"/>
              </w:rPr>
            </w:pPr>
          </w:p>
        </w:tc>
        <w:tc>
          <w:tcPr>
            <w:tcW w:w="1224" w:type="dxa"/>
            <w:vAlign w:val="center"/>
          </w:tcPr>
          <w:p w14:paraId="7DDED68F">
            <w:pPr>
              <w:spacing w:line="400" w:lineRule="exact"/>
              <w:jc w:val="center"/>
              <w:rPr>
                <w:rFonts w:hint="eastAsia" w:ascii="宋体" w:hAnsi="宋体"/>
                <w:bCs/>
                <w:color w:val="auto"/>
                <w:sz w:val="24"/>
                <w:highlight w:val="none"/>
              </w:rPr>
            </w:pPr>
          </w:p>
        </w:tc>
        <w:tc>
          <w:tcPr>
            <w:tcW w:w="1224" w:type="dxa"/>
            <w:vAlign w:val="center"/>
          </w:tcPr>
          <w:p w14:paraId="68DA2A80">
            <w:pPr>
              <w:spacing w:line="400" w:lineRule="exact"/>
              <w:jc w:val="center"/>
              <w:rPr>
                <w:rFonts w:hint="eastAsia" w:ascii="宋体" w:hAnsi="宋体"/>
                <w:bCs/>
                <w:color w:val="auto"/>
                <w:sz w:val="24"/>
                <w:highlight w:val="none"/>
              </w:rPr>
            </w:pPr>
          </w:p>
        </w:tc>
        <w:tc>
          <w:tcPr>
            <w:tcW w:w="1225" w:type="dxa"/>
            <w:vAlign w:val="center"/>
          </w:tcPr>
          <w:p w14:paraId="149D68C3">
            <w:pPr>
              <w:spacing w:line="400" w:lineRule="exact"/>
              <w:jc w:val="center"/>
              <w:rPr>
                <w:rFonts w:hint="eastAsia" w:ascii="宋体" w:hAnsi="宋体"/>
                <w:bCs/>
                <w:color w:val="auto"/>
                <w:sz w:val="24"/>
                <w:highlight w:val="none"/>
              </w:rPr>
            </w:pPr>
          </w:p>
        </w:tc>
        <w:tc>
          <w:tcPr>
            <w:tcW w:w="992" w:type="dxa"/>
            <w:vAlign w:val="center"/>
          </w:tcPr>
          <w:p w14:paraId="75C8C8C5">
            <w:pPr>
              <w:spacing w:line="400" w:lineRule="exact"/>
              <w:jc w:val="center"/>
              <w:rPr>
                <w:rFonts w:hint="eastAsia" w:ascii="宋体" w:hAnsi="宋体"/>
                <w:bCs/>
                <w:color w:val="auto"/>
                <w:sz w:val="24"/>
                <w:highlight w:val="none"/>
              </w:rPr>
            </w:pPr>
          </w:p>
        </w:tc>
      </w:tr>
      <w:tr w14:paraId="0C54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340FD9B3">
            <w:pPr>
              <w:spacing w:line="400" w:lineRule="exact"/>
              <w:jc w:val="center"/>
              <w:rPr>
                <w:rFonts w:hint="eastAsia" w:ascii="宋体" w:hAnsi="宋体"/>
                <w:bCs/>
                <w:color w:val="auto"/>
                <w:sz w:val="24"/>
                <w:highlight w:val="none"/>
              </w:rPr>
            </w:pPr>
          </w:p>
        </w:tc>
        <w:tc>
          <w:tcPr>
            <w:tcW w:w="1224" w:type="dxa"/>
            <w:vAlign w:val="center"/>
          </w:tcPr>
          <w:p w14:paraId="5F1F7068">
            <w:pPr>
              <w:spacing w:line="400" w:lineRule="exact"/>
              <w:jc w:val="center"/>
              <w:rPr>
                <w:rFonts w:hint="eastAsia" w:ascii="宋体" w:hAnsi="宋体"/>
                <w:bCs/>
                <w:color w:val="auto"/>
                <w:sz w:val="24"/>
                <w:highlight w:val="none"/>
              </w:rPr>
            </w:pPr>
          </w:p>
        </w:tc>
        <w:tc>
          <w:tcPr>
            <w:tcW w:w="1224" w:type="dxa"/>
            <w:vAlign w:val="center"/>
          </w:tcPr>
          <w:p w14:paraId="54283174">
            <w:pPr>
              <w:spacing w:line="400" w:lineRule="exact"/>
              <w:jc w:val="center"/>
              <w:rPr>
                <w:rFonts w:hint="eastAsia" w:ascii="宋体" w:hAnsi="宋体"/>
                <w:bCs/>
                <w:color w:val="auto"/>
                <w:sz w:val="24"/>
                <w:highlight w:val="none"/>
              </w:rPr>
            </w:pPr>
          </w:p>
        </w:tc>
        <w:tc>
          <w:tcPr>
            <w:tcW w:w="1225" w:type="dxa"/>
            <w:vAlign w:val="center"/>
          </w:tcPr>
          <w:p w14:paraId="24FE09A8">
            <w:pPr>
              <w:spacing w:line="400" w:lineRule="exact"/>
              <w:jc w:val="center"/>
              <w:rPr>
                <w:rFonts w:hint="eastAsia" w:ascii="宋体" w:hAnsi="宋体"/>
                <w:bCs/>
                <w:color w:val="auto"/>
                <w:sz w:val="24"/>
                <w:highlight w:val="none"/>
              </w:rPr>
            </w:pPr>
          </w:p>
        </w:tc>
        <w:tc>
          <w:tcPr>
            <w:tcW w:w="1224" w:type="dxa"/>
            <w:vAlign w:val="center"/>
          </w:tcPr>
          <w:p w14:paraId="40C535B1">
            <w:pPr>
              <w:spacing w:line="400" w:lineRule="exact"/>
              <w:jc w:val="center"/>
              <w:rPr>
                <w:rFonts w:hint="eastAsia" w:ascii="宋体" w:hAnsi="宋体"/>
                <w:bCs/>
                <w:color w:val="auto"/>
                <w:sz w:val="24"/>
                <w:highlight w:val="none"/>
              </w:rPr>
            </w:pPr>
          </w:p>
        </w:tc>
        <w:tc>
          <w:tcPr>
            <w:tcW w:w="1224" w:type="dxa"/>
            <w:vAlign w:val="center"/>
          </w:tcPr>
          <w:p w14:paraId="68A9A1F6">
            <w:pPr>
              <w:spacing w:line="400" w:lineRule="exact"/>
              <w:jc w:val="center"/>
              <w:rPr>
                <w:rFonts w:hint="eastAsia" w:ascii="宋体" w:hAnsi="宋体"/>
                <w:bCs/>
                <w:color w:val="auto"/>
                <w:sz w:val="24"/>
                <w:highlight w:val="none"/>
              </w:rPr>
            </w:pPr>
          </w:p>
        </w:tc>
        <w:tc>
          <w:tcPr>
            <w:tcW w:w="1225" w:type="dxa"/>
            <w:vAlign w:val="center"/>
          </w:tcPr>
          <w:p w14:paraId="4EB75254">
            <w:pPr>
              <w:spacing w:line="400" w:lineRule="exact"/>
              <w:jc w:val="center"/>
              <w:rPr>
                <w:rFonts w:hint="eastAsia" w:ascii="宋体" w:hAnsi="宋体"/>
                <w:bCs/>
                <w:color w:val="auto"/>
                <w:sz w:val="24"/>
                <w:highlight w:val="none"/>
              </w:rPr>
            </w:pPr>
          </w:p>
        </w:tc>
        <w:tc>
          <w:tcPr>
            <w:tcW w:w="992" w:type="dxa"/>
            <w:vAlign w:val="center"/>
          </w:tcPr>
          <w:p w14:paraId="69DE32EF">
            <w:pPr>
              <w:spacing w:line="400" w:lineRule="exact"/>
              <w:jc w:val="center"/>
              <w:rPr>
                <w:rFonts w:hint="eastAsia" w:ascii="宋体" w:hAnsi="宋体"/>
                <w:bCs/>
                <w:color w:val="auto"/>
                <w:sz w:val="24"/>
                <w:highlight w:val="none"/>
              </w:rPr>
            </w:pPr>
          </w:p>
        </w:tc>
      </w:tr>
      <w:tr w14:paraId="1B997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320F9A26">
            <w:pPr>
              <w:spacing w:line="400" w:lineRule="exact"/>
              <w:rPr>
                <w:rFonts w:hint="eastAsia" w:ascii="宋体" w:hAnsi="宋体"/>
                <w:bCs/>
                <w:color w:val="auto"/>
                <w:sz w:val="24"/>
                <w:highlight w:val="none"/>
              </w:rPr>
            </w:pPr>
            <w:r>
              <w:rPr>
                <w:rFonts w:hint="eastAsia" w:ascii="宋体" w:hAnsi="宋体"/>
                <w:bCs/>
                <w:color w:val="auto"/>
                <w:sz w:val="24"/>
                <w:highlight w:val="none"/>
              </w:rPr>
              <w:t>单价合计：</w:t>
            </w:r>
            <w:r>
              <w:rPr>
                <w:rFonts w:hint="eastAsia" w:ascii="宋体" w:hAnsi="宋体"/>
                <w:color w:val="auto"/>
                <w:sz w:val="24"/>
                <w:highlight w:val="none"/>
              </w:rPr>
              <w:t>人民币</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hint="eastAsia" w:ascii="宋体" w:hAnsi="宋体"/>
                <w:color w:val="auto"/>
                <w:sz w:val="24"/>
                <w:highlight w:val="none"/>
                <w:u w:val="single"/>
              </w:rPr>
              <w:t xml:space="preserve">       </w:t>
            </w:r>
            <w:r>
              <w:rPr>
                <w:rFonts w:hint="eastAsia" w:ascii="宋体" w:hAnsi="宋体"/>
                <w:color w:val="auto"/>
                <w:sz w:val="24"/>
                <w:highlight w:val="none"/>
              </w:rPr>
              <w:t>元）</w:t>
            </w:r>
          </w:p>
        </w:tc>
      </w:tr>
    </w:tbl>
    <w:p w14:paraId="68E94675">
      <w:pPr>
        <w:spacing w:line="360" w:lineRule="auto"/>
        <w:ind w:firstLine="241"/>
        <w:jc w:val="left"/>
        <w:rPr>
          <w:rFonts w:hint="eastAsia" w:ascii="宋体" w:hAnsi="宋体"/>
          <w:b/>
          <w:bCs/>
          <w:color w:val="auto"/>
          <w:sz w:val="24"/>
          <w:highlight w:val="none"/>
        </w:rPr>
      </w:pPr>
    </w:p>
    <w:p w14:paraId="5840EF83">
      <w:pPr>
        <w:spacing w:line="360" w:lineRule="auto"/>
        <w:ind w:firstLine="241"/>
        <w:jc w:val="left"/>
        <w:rPr>
          <w:rFonts w:hint="eastAsia" w:ascii="宋体" w:hAnsi="宋体"/>
          <w:b/>
          <w:bCs/>
          <w:color w:val="auto"/>
          <w:sz w:val="24"/>
          <w:highlight w:val="none"/>
        </w:rPr>
      </w:pPr>
      <w:r>
        <w:rPr>
          <w:rFonts w:hint="eastAsia" w:ascii="宋体" w:hAnsi="宋体"/>
          <w:b/>
          <w:bCs/>
          <w:color w:val="auto"/>
          <w:sz w:val="24"/>
          <w:highlight w:val="none"/>
        </w:rPr>
        <w:t xml:space="preserve">附件2 </w:t>
      </w:r>
      <w:r>
        <w:rPr>
          <w:rFonts w:hint="eastAsia" w:ascii="宋体" w:hAnsi="宋体"/>
          <w:b/>
          <w:color w:val="auto"/>
          <w:sz w:val="24"/>
          <w:highlight w:val="none"/>
        </w:rPr>
        <w:t>技术规格及标准</w:t>
      </w:r>
    </w:p>
    <w:p w14:paraId="4E315BD7">
      <w:pPr>
        <w:spacing w:line="360" w:lineRule="auto"/>
        <w:rPr>
          <w:rFonts w:hint="eastAsia" w:ascii="宋体" w:hAnsi="宋体"/>
          <w:bCs/>
          <w:color w:val="auto"/>
          <w:sz w:val="24"/>
          <w:highlight w:val="none"/>
        </w:rPr>
      </w:pPr>
    </w:p>
    <w:p w14:paraId="569D2C7B">
      <w:pPr>
        <w:pStyle w:val="2"/>
        <w:spacing w:line="500" w:lineRule="exact"/>
        <w:ind w:firstLine="241"/>
        <w:rPr>
          <w:rFonts w:hint="eastAsia" w:eastAsiaTheme="minorEastAsia" w:cstheme="minorBidi"/>
          <w:b/>
          <w:bCs/>
          <w:color w:val="auto"/>
          <w:highlight w:val="none"/>
          <w:lang w:val="en-US" w:bidi="ar-SA"/>
        </w:rPr>
      </w:pPr>
      <w:r>
        <w:rPr>
          <w:rFonts w:hint="eastAsia" w:eastAsiaTheme="minorEastAsia" w:cstheme="minorBidi"/>
          <w:b/>
          <w:bCs/>
          <w:color w:val="auto"/>
          <w:highlight w:val="none"/>
          <w:lang w:val="en-US" w:bidi="ar-SA"/>
        </w:rPr>
        <w:t>附件3 配置清单</w:t>
      </w:r>
    </w:p>
    <w:p w14:paraId="66C061AB">
      <w:pPr>
        <w:spacing w:before="156" w:beforeLines="50" w:line="360" w:lineRule="auto"/>
        <w:rPr>
          <w:rFonts w:hint="eastAsia" w:ascii="宋体" w:hAnsi="宋体"/>
          <w:b/>
          <w:bCs/>
          <w:color w:val="auto"/>
          <w:sz w:val="24"/>
          <w:highlight w:val="none"/>
        </w:rPr>
      </w:pPr>
    </w:p>
    <w:p w14:paraId="6C29C8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B55A8"/>
    <w:rsid w:val="5A6B5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character" w:customStyle="1" w:styleId="6">
    <w:name w:val="NormalCharacter"/>
    <w:link w:val="7"/>
    <w:qFormat/>
    <w:uiPriority w:val="0"/>
    <w:rPr>
      <w:rFonts w:ascii="Times New Roman" w:hAnsi="Times New Roman" w:eastAsia="宋体" w:cs="Times New Roman"/>
    </w:rPr>
  </w:style>
  <w:style w:type="paragraph" w:customStyle="1" w:styleId="7">
    <w:name w:val="UserStyle_64"/>
    <w:basedOn w:val="1"/>
    <w:link w:val="6"/>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2026-04-09T06:40:00Z</dcterms:created>
  <dc:creator>Aurora</dc:creator>
  <cp:lastModifiedBy>Aurora</cp:lastModifiedBy>
  <dcterms:modified xsi:type="dcterms:W3CDTF">2026-04-09T06:47:45Z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7DAC47D3523349B88533D928BCFA2A1F_11</vt:lpwstr>
  </property>
  <property fmtid="{D5CDD505-2E9C-101B-9397-08002B2CF9AE}" pid="4" name="KSOTemplateDocerSaveRecord">
    <vt:lpwstr>eyJoZGlkIjoiMjFkZWJjZjdkYjI4NGFiYWJjNTI5ZmQzMDdiZTdjOTQiLCJ1c2VySWQiOiIzMjMxNzgwNTIifQ==</vt:lpwstr>
  </property>
</Properties>
</file>