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版本号：LH-TC-2026-0320260608001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扫黑除恶移动警务查询系统购置项目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LH-TC-2026-03</w:t>
      </w:r>
      <w:r>
        <w:br/>
      </w:r>
      <w:r>
        <w:br/>
      </w:r>
      <w:r>
        <w:br/>
      </w:r>
    </w:p>
    <w:p>
      <w:pPr>
        <w:pStyle w:val="null3"/>
        <w:jc w:val="center"/>
        <w:outlineLvl w:val="2"/>
      </w:pPr>
      <w:r>
        <w:rPr>
          <w:rFonts w:ascii="仿宋_GB2312" w:hAnsi="仿宋_GB2312" w:cs="仿宋_GB2312" w:eastAsia="仿宋_GB2312"/>
          <w:sz w:val="28"/>
          <w:b/>
        </w:rPr>
        <w:t>铜川市公安局新区分局</w:t>
      </w:r>
    </w:p>
    <w:p>
      <w:pPr>
        <w:pStyle w:val="null3"/>
        <w:jc w:val="center"/>
        <w:outlineLvl w:val="2"/>
      </w:pPr>
      <w:r>
        <w:rPr>
          <w:rFonts w:ascii="仿宋_GB2312" w:hAnsi="仿宋_GB2312" w:cs="仿宋_GB2312" w:eastAsia="仿宋_GB2312"/>
          <w:sz w:val="28"/>
          <w:b/>
        </w:rPr>
        <w:t>陕西翎海项目管理有限公司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陕西翎海项目管理有限公司</w:t>
      </w:r>
      <w:r>
        <w:rPr>
          <w:rFonts w:ascii="仿宋_GB2312" w:hAnsi="仿宋_GB2312" w:cs="仿宋_GB2312" w:eastAsia="仿宋_GB2312"/>
        </w:rPr>
        <w:t>（以下简称“代理机构”）受</w:t>
      </w:r>
      <w:r>
        <w:rPr>
          <w:rFonts w:ascii="仿宋_GB2312" w:hAnsi="仿宋_GB2312" w:cs="仿宋_GB2312" w:eastAsia="仿宋_GB2312"/>
        </w:rPr>
        <w:t>铜川市公安局新区分局</w:t>
      </w:r>
      <w:r>
        <w:rPr>
          <w:rFonts w:ascii="仿宋_GB2312" w:hAnsi="仿宋_GB2312" w:cs="仿宋_GB2312" w:eastAsia="仿宋_GB2312"/>
        </w:rPr>
        <w:t>委托，拟对</w:t>
      </w:r>
      <w:r>
        <w:rPr>
          <w:rFonts w:ascii="仿宋_GB2312" w:hAnsi="仿宋_GB2312" w:cs="仿宋_GB2312" w:eastAsia="仿宋_GB2312"/>
        </w:rPr>
        <w:t>扫黑除恶移动警务查询系统购置项目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LH-TC-2026-03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扫黑除恶移动警务查询系统购置项目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购买⼀批扫⿊除恶移动警务查询系统及硬件设备(授权版) 主要功能或⽬标:执法现场快速核查、实时调取关联警情数据、⾼效固定基础证据等。需满⾜的要求:为深挖违法犯罪，精准打击提供关键技术⽀撑。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缴纳证明：提供投标文件递交截止日前六个月内任意1个月的纳税证明或完税证明，相关证明材料，证明资料上应有相关机构的公章或业务专用章。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3、社会保障资金缴纳证明：提供投标文件递交截止日前六个月内任意1个月的社会保障资金相关证明材料，证明资料上应有相关机构的公章或业务专用章。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4、承诺函：提供具有履行合同所必需的设备和专业技术能力的承诺函；供应商需在项目电子化交易系统中按要求上传相应证明文件并进行电子签章。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5、信誉要求：供应商不得为“信用中国”中列入失信被执行人和重大税收违法案件当事人名单的供应商，不得为“中国政府采购网” 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6、授权代表：提供法定代表人授权书（附法定代表人、被授权人身份证复印件）；法定代表人直接参加投标的，须提供法定代表人身份证明文件；供应商需在项目电子化交易系统中按要求上传相应证明文件并进行电子签章。</w:t>
      </w:r>
    </w:p>
    <w:p>
      <w:pPr>
        <w:pStyle w:val="null3"/>
      </w:pPr>
      <w:r>
        <w:rPr>
          <w:rFonts w:ascii="仿宋_GB2312" w:hAnsi="仿宋_GB2312" w:cs="仿宋_GB2312" w:eastAsia="仿宋_GB2312"/>
        </w:rPr>
        <w:t>7、无违法记录证明：供应商出具本企业参加政府采购活动前三年内经营活动中没有重大违法记录的书面声明。供应商需在项目电子化交易系统中按要求上传相应证明文件并进行电子签章。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8、不接受联合体投标：提供非联合体声明；供应商需在项目电子化交易系统中按要求上传相应证明文件并进行电子签章。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铜川市公安局新区分局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铜川市新区咸丰路8号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景辉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15609197899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陕西翎海项目管理有限公司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陕西省西安市灞桥区陕西省西安市灞桥区半坡国际广场6号楼1801室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13289317787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代理服务费收费标准：招标代理服务费按发改价格[2011]534号文件、发改办价格[2003]857号、原国家计委《招标代理服务收费管理暂行办法》【2002】1980号文件计算标准作为最终招标代理服务费金额收取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铜川市公安局新区分局</w:t>
      </w:r>
      <w:r>
        <w:rPr>
          <w:rFonts w:ascii="仿宋_GB2312" w:hAnsi="仿宋_GB2312" w:cs="仿宋_GB2312" w:eastAsia="仿宋_GB2312"/>
        </w:rPr>
        <w:t>和</w:t>
      </w:r>
      <w:r>
        <w:rPr>
          <w:rFonts w:ascii="仿宋_GB2312" w:hAnsi="仿宋_GB2312" w:cs="仿宋_GB2312" w:eastAsia="仿宋_GB2312"/>
        </w:rPr>
        <w:t>陕西翎海项目管理有限公司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铜川市公安局新区分局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陕西翎海项目管理有限公司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铜川市公安局新区分局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陕西翎海项目管理有限公司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1.按国家现行项目实施规范和合同规定的验收标准等要求进行验收。 2.由甲方和乙方共同对项目进行整体验收，甲方对验收是否合格进行确认。其内容包括是否按照甲方要求进行交货、是否在规定时间内交货验收完毕。 3.验收依据包含但不限于：本项目招标文件、响应文件；本合同及附件文本；合同履行时国家及行业现行的标准和技术规范。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联系人：齐敏</w:t>
      </w:r>
    </w:p>
    <w:p>
      <w:pPr>
        <w:pStyle w:val="null3"/>
      </w:pPr>
      <w:r>
        <w:rPr>
          <w:rFonts w:ascii="仿宋_GB2312" w:hAnsi="仿宋_GB2312" w:cs="仿宋_GB2312" w:eastAsia="仿宋_GB2312"/>
        </w:rPr>
        <w:t>联系电话：18161791282</w:t>
      </w:r>
    </w:p>
    <w:p>
      <w:pPr>
        <w:pStyle w:val="null3"/>
      </w:pPr>
      <w:r>
        <w:rPr>
          <w:rFonts w:ascii="仿宋_GB2312" w:hAnsi="仿宋_GB2312" w:cs="仿宋_GB2312" w:eastAsia="仿宋_GB2312"/>
        </w:rPr>
        <w:t>地址：陕西省西安市灞桥区半坡国际广场6号楼1801室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购买一批扫黑除恶移动警务查询系统及硬件设备(授权版) 主要功能或目标:执法现场快速核查、实时调取关联警情数据、高效固定基础证据等。需满足的要求:为深挖违法犯罪，精准打击提供关键技术支撑。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扫黑除恶移动警务查询系统及硬件（授权版）</w:t>
            </w:r>
          </w:p>
        </w:tc>
        <w:tc>
          <w:tcPr>
            <w:tcW w:type="dxa" w:w="755"/>
          </w:tcPr>
          <w:p>
            <w:pPr>
              <w:pStyle w:val="null3"/>
              <w:jc w:val="right"/>
            </w:pPr>
            <w:r>
              <w:rPr>
                <w:rFonts w:ascii="仿宋_GB2312" w:hAnsi="仿宋_GB2312" w:cs="仿宋_GB2312" w:eastAsia="仿宋_GB2312"/>
              </w:rPr>
              <w:t>120.00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标的名称：扫黑除恶移动警务查询系统及硬件（授权版）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53"/>
              <w:gridCol w:w="2099"/>
            </w:tblGrid>
            <w:tr>
              <w:tc>
                <w:tcPr>
                  <w:tcW w:type="dxa" w:w="45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名称</w:t>
                  </w:r>
                </w:p>
              </w:tc>
              <w:tc>
                <w:tcPr>
                  <w:tcW w:type="dxa" w:w="209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参数及技术要求</w:t>
                  </w:r>
                </w:p>
              </w:tc>
            </w:tr>
            <w:tr>
              <w:tc>
                <w:tcPr>
                  <w:tcW w:type="dxa" w:w="45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警务查询系统及硬件</w:t>
                  </w: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基本要求：</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）移动警务终端包含安全加密卡，支持与陕西省公安厅新一代移动警务平台无缝对接。</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双系统隔离：</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1）两个操作系统运行在不同的ROM空间，系统文件独立。</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2）两个操作系统间支持一键快速切换、指纹切换、NFC感应切换。</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3）某一个系统瘫痪不会影响另一个系统的运行。</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处理器要求：</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1）国产CPU。</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操作系统要求：</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操作双系统。</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存储要求：</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1）运行内存（RAM）</w:t>
                  </w:r>
                  <w:r>
                    <w:rPr>
                      <w:rFonts w:ascii="仿宋_GB2312" w:hAnsi="仿宋_GB2312" w:cs="仿宋_GB2312" w:eastAsia="仿宋_GB2312"/>
                      <w:sz w:val="18"/>
                    </w:rPr>
                    <w:t>≥</w:t>
                  </w:r>
                  <w:r>
                    <w:rPr>
                      <w:rFonts w:ascii="仿宋_GB2312" w:hAnsi="仿宋_GB2312" w:cs="仿宋_GB2312" w:eastAsia="仿宋_GB2312"/>
                      <w:sz w:val="18"/>
                    </w:rPr>
                    <w:t>12 GB。</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2）机身内存（ROM）</w:t>
                  </w:r>
                  <w:r>
                    <w:rPr>
                      <w:rFonts w:ascii="仿宋_GB2312" w:hAnsi="仿宋_GB2312" w:cs="仿宋_GB2312" w:eastAsia="仿宋_GB2312"/>
                      <w:sz w:val="18"/>
                    </w:rPr>
                    <w:t>≥</w:t>
                  </w:r>
                  <w:r>
                    <w:rPr>
                      <w:rFonts w:ascii="仿宋_GB2312" w:hAnsi="仿宋_GB2312" w:cs="仿宋_GB2312" w:eastAsia="仿宋_GB2312"/>
                      <w:sz w:val="18"/>
                    </w:rPr>
                    <w:t>512 GB。</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拍摄功能要求：</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后置主摄像头</w:t>
                  </w:r>
                  <w:r>
                    <w:rPr>
                      <w:rFonts w:ascii="仿宋_GB2312" w:hAnsi="仿宋_GB2312" w:cs="仿宋_GB2312" w:eastAsia="仿宋_GB2312"/>
                      <w:sz w:val="18"/>
                    </w:rPr>
                    <w:t>≥</w:t>
                  </w:r>
                  <w:r>
                    <w:rPr>
                      <w:rFonts w:ascii="仿宋_GB2312" w:hAnsi="仿宋_GB2312" w:cs="仿宋_GB2312" w:eastAsia="仿宋_GB2312"/>
                      <w:sz w:val="18"/>
                    </w:rPr>
                    <w:t>5000万像素</w:t>
                  </w:r>
                </w:p>
                <w:p>
                  <w:pPr>
                    <w:pStyle w:val="null3"/>
                    <w:numPr>
                      <w:ilvl w:val="0"/>
                      <w:numId w:val="1"/>
                    </w:numPr>
                    <w:jc w:val="left"/>
                  </w:pPr>
                  <w:r>
                    <w:rPr>
                      <w:rFonts w:ascii="仿宋_GB2312" w:hAnsi="仿宋_GB2312" w:cs="仿宋_GB2312" w:eastAsia="仿宋_GB2312"/>
                      <w:sz w:val="18"/>
                    </w:rPr>
                    <w:t>前置摄像头</w:t>
                  </w:r>
                  <w:r>
                    <w:rPr>
                      <w:rFonts w:ascii="仿宋_GB2312" w:hAnsi="仿宋_GB2312" w:cs="仿宋_GB2312" w:eastAsia="仿宋_GB2312"/>
                      <w:sz w:val="18"/>
                    </w:rPr>
                    <w:t>≥</w:t>
                  </w:r>
                  <w:r>
                    <w:rPr>
                      <w:rFonts w:ascii="仿宋_GB2312" w:hAnsi="仿宋_GB2312" w:cs="仿宋_GB2312" w:eastAsia="仿宋_GB2312"/>
                      <w:sz w:val="18"/>
                    </w:rPr>
                    <w:t>1300万像素。</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传输功能要求：</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1）NFC：支持读卡器模式、点对点模式。</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2）定位：支持北斗卫星定位，兼容多卫星融合定位。</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其它要求：</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1）电池容量</w:t>
                  </w:r>
                  <w:r>
                    <w:rPr>
                      <w:rFonts w:ascii="仿宋_GB2312" w:hAnsi="仿宋_GB2312" w:cs="仿宋_GB2312" w:eastAsia="仿宋_GB2312"/>
                      <w:sz w:val="18"/>
                    </w:rPr>
                    <w:t>≥</w:t>
                  </w:r>
                  <w:r>
                    <w:rPr>
                      <w:rFonts w:ascii="仿宋_GB2312" w:hAnsi="仿宋_GB2312" w:cs="仿宋_GB2312" w:eastAsia="仿宋_GB2312"/>
                      <w:sz w:val="18"/>
                    </w:rPr>
                    <w:t>5200mAh（典型值)；支持Type-C数据线接口；支持HOTA在线软件升级。</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2）提供《公安部安全与警用电子产品质量检测中心》检测报告。</w:t>
                  </w:r>
                </w:p>
              </w:tc>
            </w:tr>
            <w:tr>
              <w:tc>
                <w:tcPr>
                  <w:tcW w:type="dxa" w:w="45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移动警务应用对接</w:t>
                  </w: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对接要求：</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对接陕西省公安厅新一代移动警务平台应用系统，实现一线民警移动执法办案、现场业务办理、远程异地办公等移动业务的需求，提高公安机关应急指挥、快速反应、高效服务的能力。供应商须保证应用的持续更新、功能的不断完善。</w:t>
                  </w:r>
                </w:p>
              </w:tc>
            </w:tr>
            <w:tr>
              <w:tc>
                <w:tcPr>
                  <w:tcW w:type="dxa" w:w="453"/>
                  <w:vMerge/>
                  <w:tcBorders>
                    <w:top w:val="none" w:color="000000" w:sz="4"/>
                    <w:left w:val="single" w:color="000000" w:sz="4"/>
                    <w:bottom w:val="single" w:color="000000" w:sz="4"/>
                    <w:right w:val="single" w:color="000000" w:sz="4"/>
                  </w:tcBorders>
                </w:tcPr>
                <w:p/>
              </w:tc>
              <w:tc>
                <w:tcPr>
                  <w:tcW w:type="dxa" w:w="2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2）供应商按照公安部新一代移动警务相关要求及陕西省公安厅应用对接规范进行迁移改造，与陕西省公安厅新一代移动警务平台应用系统全部兼容。</w:t>
                  </w:r>
                </w:p>
              </w:tc>
            </w:tr>
            <w:tr>
              <w:tc>
                <w:tcPr>
                  <w:tcW w:type="dxa" w:w="4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基础通信服务</w:t>
                  </w:r>
                </w:p>
              </w:tc>
              <w:tc>
                <w:tcPr>
                  <w:tcW w:type="dxa" w:w="20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每月提供</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0</w:t>
                  </w:r>
                  <w:r>
                    <w:rPr>
                      <w:rFonts w:ascii="仿宋_GB2312" w:hAnsi="仿宋_GB2312" w:cs="仿宋_GB2312" w:eastAsia="仿宋_GB2312"/>
                      <w:sz w:val="18"/>
                      <w:color w:val="000000"/>
                    </w:rPr>
                    <w:t>00分钟国内时长语音接入，通信流量</w:t>
                  </w:r>
                  <w:r>
                    <w:rPr>
                      <w:rFonts w:ascii="仿宋_GB2312" w:hAnsi="仿宋_GB2312" w:cs="仿宋_GB2312" w:eastAsia="仿宋_GB2312"/>
                      <w:sz w:val="18"/>
                      <w:color w:val="000000"/>
                    </w:rPr>
                    <w:t>≥</w:t>
                  </w:r>
                  <w:r>
                    <w:rPr>
                      <w:rFonts w:ascii="仿宋_GB2312" w:hAnsi="仿宋_GB2312" w:cs="仿宋_GB2312" w:eastAsia="仿宋_GB2312"/>
                      <w:sz w:val="18"/>
                      <w:color w:val="000000"/>
                    </w:rPr>
                    <w:t>150GB全国通用流量，实现信息内外网之间网络资源数据的安全交换，保障在移动信息化建设过程中，只有合法的用户才能访问合法的信息内外资源，按照采购人要求定制符合要求的视频彩铃。</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供货期30日历天，系统运维3年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进度款，自合同签订之日起、全部供货完成、硬件验收合格，乙方凭合规发票，达到付款条件起15个工作日内，支付合同总金额的34.0%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进度款，自首期付款满1年，乙方凭合规发票，达到付款条件起15个工作日内，支付合同总金额的33.0%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进度款，自首期付款满2年，乙方凭合规发票，达到付款条件起15个工作日内，支付合同总金额的33.0%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1）成交供应商向采购人提交项目实施过程中的所有资料；（2）验收须以合同、招标文件及响应文件、澄清及国家相应的标准、规范等为依据； （3）符合中华人民共和国国家和履约地相关安全质量标准、行业技术规范标准、环保节能标准；（4）符合招标文件及响应文件承诺中采购人认可的合理最佳配置、参数规格及各项要求； （5）双方约定的其他验收标准；（6）采购人在合同的履行期间以及履行期后，可以随时检查项目的执行情况，对采购标准、采购内容进行调查核实，并对发现的问题进行处理。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（一）手机终端硬件保修范围（免费保修） 免费保修内容（出厂质量问题全免维修费、配件费、上门费） 原厂出厂质量缺陷：主板、屏幕、摄像头、听筒、充电尾插、系统原生故障、不开机、无信号等非人为损坏故障，免费维修；同一故障3次返修无法修复免费换新机。 原厂标配配件：原装充电器、数据线因产品质量故障免费更换（按附件三包期限）。 质保期内免费远程调试、系统刷机、基础软件故障处理。 （二）3 年通信套餐服务保修（全合约3年免费运维） 免费服务保修范围（36个月全程） 网络故障：号码无信号、无法通话、流量异常断网、集团专网 / APN 接入失败、套餐资费计费错误，移动7*24受理、限时排障；计费多扣费据实退费。 业务保障：套餐档位、语音 / 流量资源按合同约定足额保障，合约期内不得私自降套餐、关停业务、变更资费标准。 日常售后：免费补卡、号码故障排查、客户经理对接、资费对账、业务变更协助。 故障响应时限（政府采购通用）：故障报修1小时响应，市区3小时现场处置，偏远24小时处置；短时间无法修复临时开通备用通信方案 / 备用卡 （三）保修期：手机整机质保1年，通信服务3年全周期质保。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1.乙方应按合同约定时间完成合同义务，若发生延迟，乙方应向甲方支付合同总价款10%的违约金，且甲方有权单方解除本合同。但甲方书面同意延迟或因甲方原因导致延迟的，乙方不承担违约责任。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二、解决争议的方法：执行本合同过程中发生争议，应友好协商解决，协商不成的，可协商或由有关部门调解解决，协商或调解不成的，可向采购方所在地人民法院提起诉讼。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财务审计报告需附带财政部注册会计师行业统一监管平台备案的二维码及报告编码、在财政部注册会计师行业统一监管平台可查询，报告内容需包含审计报告和审计报告中所涉及的财务报表和报表附注）以及财务情况说明书，②可提供文件递交截止日前三个月内从基本户银行开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六个月内任意1个月的纳税证明或完税证明，相关证明材料，证明资料上应有相关机构的公章或业务专用章。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六个月内任意1个月的社会保障资金相关证明材料，证明资料上应有相关机构的公章或业务专用章。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提供法定代表人授权书（附法定代表人、被授权人身份证复印件）；法定代表人直接参加投标的，须提供法定代表人身份证明文件；供应商需在项目电子化交易系统中按要求上传相应证明文件并进行电子签章。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法人授权书.docx 法人证明书.docx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无违法记录证明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提供非联合体声明；供应商需在项目电子化交易系统中按要求上传相应证明文件并进行电子签章。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技术方案.docx 法人证明书.docx 本国产品说明 中小企业声明函 商务应答表 中国境内生产的组件成本核算基本规则 其他.docx 投标人应提交的相关资格证明材料 法人授权书.docx 产品技术参数表 投标函 残疾人福利性单位声明函 供应商项目业绩一览表.docx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 中指定的页面落款处加盖公章并由法定代表人或被 授权人签名（或盖章），其余页面逐页盖公章，否 则将作为无效投标文件处理。招标文件凡是要求法 定代表人签名或盖章之处，非法人单位的负责人均参照执行。</w:t>
            </w:r>
          </w:p>
        </w:tc>
        <w:tc>
          <w:tcPr>
            <w:tcW w:type="dxa" w:w="1661"/>
          </w:tcPr>
          <w:p>
            <w:pPr>
              <w:pStyle w:val="null3"/>
            </w:pPr>
            <w:r>
              <w:rPr>
                <w:rFonts w:ascii="仿宋_GB2312" w:hAnsi="仿宋_GB2312" w:cs="仿宋_GB2312" w:eastAsia="仿宋_GB2312"/>
              </w:rPr>
              <w:t>开标一览表 技术方案.docx 法人证明书.docx 本国产品说明 中小企业声明函 商务应答表 中国境内生产的组件成本核算基本规则 其他.docx 投标人应提交的相关资格证明材料 法人授权书.docx 产品技术参数表 投标函 残疾人福利性单位声明函 供应商项目业绩一览表.docx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本国产品说明 商务应答表 标的清单 关于符合本国产品标准的声明函 投标文件封面 中国境内生产的组件成本核算基本规则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商务应答表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自响应文件递交截止之日起90日历天</w:t>
            </w:r>
          </w:p>
        </w:tc>
        <w:tc>
          <w:tcPr>
            <w:tcW w:type="dxa" w:w="1661"/>
          </w:tcPr>
          <w:p>
            <w:pPr>
              <w:pStyle w:val="null3"/>
            </w:pPr>
            <w:r>
              <w:rPr>
                <w:rFonts w:ascii="仿宋_GB2312" w:hAnsi="仿宋_GB2312" w:cs="仿宋_GB2312" w:eastAsia="仿宋_GB2312"/>
              </w:rPr>
              <w:t>法人授权书.docx 法人证明书.docx 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A、供应商的响应报价有选择性报价或者磋商报价重新计算后超过本项目采购预算或者最高限价的； B、供应商未经过正常渠道领取招标文件，或供应商名称与领取招标文件时登记的供应商名称不符的； C、无投标有效期或有效期达不到招标文件要求的； D、供应商针对同一项目递交两份或多份内容不同的响应文件，未书面声明哪一份是有效的或出现选择性报价的； E、提供虚假资料；提供虚假资质、虚假技术 指标证明材料、虚假证明（包括第三方提供的虚假证明）；出现虚假应答、承诺、声明的； F、供应商附加了采购单位难以接受的条件或条款的； G、供应商前期参与了本次项目方案设计的； H、在政府采购或其它重大项目履约过程中有不良记录或未能按期履约的； I、供应商使用虚假印章或印章无法证实为真实有效； J、投标报价与市场价格偏离较大、低于成本、形成不正当竞争的； K、报价子目出现漏项或报价与要求不符的； L、供应商响应的采购范围及采购内容与招标文件要求出现重大负偏差的； M、实质性内容不满足、未完全未响应招标要求或擅自改动工程量清单的； N、供应商有串通参与投标、行贿等违法行为的； O、响应文件的关键内容字迹模糊、无法辨认的； P、不符合法律、法规规定的其它实质性要求的。</w:t>
            </w:r>
          </w:p>
        </w:tc>
        <w:tc>
          <w:tcPr>
            <w:tcW w:type="dxa" w:w="1661"/>
          </w:tcPr>
          <w:p>
            <w:pPr>
              <w:pStyle w:val="null3"/>
            </w:pPr>
            <w:r>
              <w:rPr>
                <w:rFonts w:ascii="仿宋_GB2312" w:hAnsi="仿宋_GB2312" w:cs="仿宋_GB2312" w:eastAsia="仿宋_GB2312"/>
              </w:rPr>
              <w:t>开标一览表 技术方案.docx 法人证明书.docx 本国产品说明 中小企业声明函 商务应答表 中国境内生产的组件成本核算基本规则 其他.docx 投标人应提交的相关资格证明材料 法人授权书.docx 产品技术参数表 投标函 残疾人福利性单位声明函 供应商项目业绩一览表.docx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及服务内容清楚、明确，完全满⾜或优于采购⽂件的技术参数及服务要求，得17分。若任意⼀项技术参数及服务要求不满⾜采购⽂件要求，或者未按要求提供证明材料的视为负偏离，每负偏离⼀项扣1分，扣完为⽌。 注：技术参数须在技术响应表中注明佐证材料的页码；须提供充足的证明材料包括但不限于提供第三方产品检测报告、厂商或者供应商加盖公章承诺函、功能说明、产品功能截图、产品说明书、原厂商授权文件、安全检测文件。</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技术⽅案</w:t>
            </w:r>
          </w:p>
        </w:tc>
        <w:tc>
          <w:tcPr>
            <w:tcW w:type="dxa" w:w="2492"/>
          </w:tcPr>
          <w:p>
            <w:pPr>
              <w:pStyle w:val="null3"/>
            </w:pPr>
            <w:r>
              <w:rPr>
                <w:rFonts w:ascii="仿宋_GB2312" w:hAnsi="仿宋_GB2312" w:cs="仿宋_GB2312" w:eastAsia="仿宋_GB2312"/>
              </w:rPr>
              <w:t>1、评审内容：供应商需依据采购要求，能根据项⽬的整体特点，编写合理的项⽬技术⽅案，包括①应⽤定制服务；②应⽤⽀撑服务；③安全加密服务；④移动终端管理系统对接等⽅⾯； 2、评审标准： ①完整性：⽅案须全⾯，对评审内容中的各项要求有详细描述及说明； ②可实施性：切合本项⽬实际情况，实施步骤清晰、科学、合理； ③针对性：⽅案能够紧扣项⽬实际情况，内容全⾯、科学合理、详细具体。 3、赋分标准： ①应⽤定制服务；全部内容齐全详述得3分；缺少量内容得1.5分；关键内容缺失不得分； ②应⽤⽀撑服务；全部内容齐全详述得3分；缺少量内容得1.5分；关键内容缺失不得分； ③安全加密服务；全部内容齐全详述得3分；缺少量内容得1.5分；关键内容缺失不得分； ④移动终端管理系统对接等⽅⾯；全部内容齐全详述得3分；缺少量内容得1.5分；关键内容缺失不得分；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1、评审内容：供应商需依据采购要求再结合本项目整体特点编制实施方案，包含项目人员配置、进度计划、设备部署、调试验收等内容。 2、评审标准： ①完整性：⽅案须全⾯，对评审内容中的各项要求有详细描述及说明； ②可实施性：切合本项⽬实际情况，实施步骤清晰、科学、合理； ③针对性：⽅案能够紧扣项⽬实际情况，内容全⾯、科学合理、详细具体。 3、赋分标准： ①人员配置：全部内容齐全详述得3分；缺少量内容得1.5分；关键内容缺失不得分； ②进度计划：全部内容齐全详述得3分；缺少量内容得1.5分；关键内容缺失不得分； ③设备部署：全部内容齐全详述得3分；缺少量内容得1.5分；关键内容缺失不得分； ④调试验收：全部内容齐全详述得3分；缺少量内容得1.5分；关键内容缺失不得分；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1、评审内容：供应商需依据采购要求再结合本项目整体特点编制供货组织安排。包含①批量备货方案②供货周期管控③物流与交付保障； 2、评审标准： ①完整性：⽅案须全⾯，对评审内容中的各项要求有详细描述及说明； ②可实施性：切合本项⽬实际情况，实施步骤清晰、科学、合理； ③针对性：⽅案能够紧扣项⽬实际情况，内容全⾯、科学合理、详细具体。 3、赋分标准： ①批量备货方案：全部内容齐全详述得1.5分；缺少量内容得1分；关键内容缺失不得分； ②供货周期管控：全部内容齐全详述得1.5分；缺少量内容得1分；关键内容缺失不得分； ③物流与交付保障：全部内容齐全详述得1.5分；缺少量内容得1分；关键内容缺失不得分；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1、评审内容：供应商需依据采购要求再结合本项目整体特点编制质量保证服务。包括但不限于①货源管控；②出厂质检；③到货核验； 2、评审标准： ①完整性：⽅案须全⾯，对评审内容中的各项要求有详细描述及说明； ②可实施性：切合本项⽬实际情况，实施步骤清晰、科学、合理； ③针对性：⽅案能够紧扣项⽬实际情况，内容全⾯、科学合理、详细具体。 3、赋分标准： ①货源管控：全部内容齐全详述得1.5分；缺少量内容得1分；关键内容缺失不得分； ②出厂质检：全部内容齐全详述得1.5分；缺少量内容得1分；关键内容缺失不得分； ③到货核验：全部内容齐全详述得1.5分；缺少量内容得1分；关键内容缺失不得分；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1、评审内容：供应商需依据采购要求再结合本项目整体特点编制应急保障方案。包括但不限于①进度延误；②出现质量问题时的补救措施等。 2、评审标准： ①完整性：⽅案须全⾯，对评审内容中的各项要求有详细描述及说明； ②可实施性：切合本项⽬实际情况，实施步骤清晰、科学、合理； ③针对性：⽅案能够紧扣项⽬实际情况，内容全⾯、科学合理、详细具体。 3、赋分标准： ①进度延误：全部内容齐全详述得3分；缺少量内容得1.5分；关键内容缺失不得分； ②出现质量问题时的补救措施：全部内容齐全详述得3分；缺少量内容得1.5分；关键内容缺失不得分；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1、评审内容：供应商需依据采购要求再结合本项目整体特点编制售后服务方案。包括但不限于①售后服务计划；②售后服务措施；③服务人员保障及故障响应时间；④售后服务承诺。 2、评审标准： ①完整性：⽅案须全⾯，对评审内容中的各项要求有详细描述及说明； ②可实施性：切合本项⽬实际情况，实施步骤清晰、科学、合理； ③针对性：⽅案能够紧扣项⽬实际情况，内容全⾯、科学合理、详细具体。 3、赋分标准： ①售后服务计划：全部内容齐全详述得1.5分；缺少量内容得1分；关键内容缺失不得分； ②售后服务措施：全部内容齐全详述得1.5分；缺少量内容得1分；关键内容缺失不得分； ③服务人员保障及故障响应时间：全部内容齐全详述得1.5分；缺少量内容得1分；关键内容缺失不得分； ④售后服务承诺：全部内容齐全详述得1.5分；缺少量内容得1分；关键内容缺失不得分；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供应商所供产品货源渠道正常，技术资料⻬全，符合国家标准、⽆产权纠纷，提供来源渠道证明材料（包括但不限于项⽬授权、供货合同、相关部⻔认证证书等），表述清楚明确、充分，证明材料⻬全，得2分，⽆证明材料或证明材料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投标人自2023年1月1日至今，具有公安系统移动警务终端、警务信息化同类供货业绩，单份业绩同时提供中标通知书和完整合同（含设备清单、盖章页）复印件，每项有效业绩得2分，满分6分。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第一步：投标总报价低于或等于财政预算价格的，为有效投标报价。超财政预算的投标报价为无效投标报价。无效投标报价的投标文件不进行评审，也不得中标。 第二步：价格分采用低价优先法计算，即满足招标文件要求且投标价格最低的投标报价为评标基准价，其价格分为满分。 其他投标单位的价格分统一按照下列公式计算： 投标报价得分=（评标基准价/投标报价）*30%*100，小数点后保留两位，第三位四舍五入。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详见附件：供应商项目业绩一览表.docx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