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8C470">
      <w:pPr>
        <w:pStyle w:val="5"/>
        <w:spacing w:line="360" w:lineRule="auto"/>
        <w:jc w:val="center"/>
        <w:rPr>
          <w:rFonts w:hint="eastAsia" w:ascii="宋体" w:hAnsi="宋体" w:cs="宋体"/>
          <w:b/>
          <w:bCs/>
          <w:sz w:val="36"/>
          <w:szCs w:val="36"/>
        </w:rPr>
      </w:pPr>
      <w:bookmarkStart w:id="0" w:name="_Toc16018"/>
      <w:bookmarkStart w:id="1" w:name="_Toc25550"/>
      <w:bookmarkStart w:id="2" w:name="_Toc3062"/>
      <w:bookmarkStart w:id="3" w:name="_Toc312314165"/>
      <w:bookmarkStart w:id="4" w:name="_Toc14625"/>
      <w:bookmarkStart w:id="5" w:name="_Toc311556604"/>
      <w:bookmarkStart w:id="6" w:name="_Toc316547681"/>
      <w:bookmarkStart w:id="7" w:name="_Toc17225"/>
      <w:r>
        <w:rPr>
          <w:rFonts w:hint="eastAsia" w:ascii="宋体" w:hAnsi="宋体" w:cs="宋体"/>
          <w:b/>
          <w:bCs/>
          <w:sz w:val="36"/>
          <w:szCs w:val="36"/>
        </w:rPr>
        <w:t>合同的主要条款</w:t>
      </w:r>
    </w:p>
    <w:p w14:paraId="0F653C16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30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rPr>
          <w:rFonts w:hint="eastAsia" w:ascii="宋体" w:hAnsi="宋体" w:cs="宋体"/>
          <w:sz w:val="24"/>
          <w:szCs w:val="24"/>
        </w:rPr>
        <w:t>合同编号：</w:t>
      </w:r>
    </w:p>
    <w:p w14:paraId="6739F8C5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甲方（招标人）：铜川市公安局新区分局 </w:t>
      </w:r>
    </w:p>
    <w:p w14:paraId="3771F678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乙方（中标人）： </w:t>
      </w:r>
    </w:p>
    <w:p w14:paraId="765FB82C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根据《中华人民共和国政府采购法》、《中华人民共和国民法典》等相关法律，甲、乙双方就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>扫黑除恶移动警务查询系统购置项目</w:t>
      </w:r>
      <w:r>
        <w:rPr>
          <w:rFonts w:hint="eastAsia" w:ascii="宋体" w:hAnsi="宋体" w:cs="宋体"/>
          <w:sz w:val="24"/>
          <w:szCs w:val="24"/>
        </w:rPr>
        <w:t xml:space="preserve">，经平等协商达成合同如下： </w:t>
      </w:r>
    </w:p>
    <w:p w14:paraId="7300718F">
      <w:pPr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一、合同文件 </w:t>
      </w:r>
    </w:p>
    <w:p w14:paraId="3F02020C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本合同所附下列文件是构成本合同不可分割的部分，组成合同的各项文件应互相解释，互为说明，解释合同文件的优先顺序如下： </w:t>
      </w:r>
    </w:p>
    <w:p w14:paraId="6E9F33E8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（一）合同格式以及合同条款 </w:t>
      </w:r>
    </w:p>
    <w:p w14:paraId="75EB63D7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（二）中标通知书 </w:t>
      </w:r>
    </w:p>
    <w:p w14:paraId="600758E8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（三）中标人在评标过程中做出的有关澄清、说明、承诺或者补正文件 </w:t>
      </w:r>
    </w:p>
    <w:p w14:paraId="4116DE4C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（四）中标人投标文件 </w:t>
      </w:r>
    </w:p>
    <w:p w14:paraId="20E9AD5C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（五）招标文件 </w:t>
      </w:r>
    </w:p>
    <w:p w14:paraId="43C2ADEA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（六）本合同附件 </w:t>
      </w:r>
    </w:p>
    <w:p w14:paraId="4D910D8B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同一层次的合同文件规定有矛盾的以较后时间制定的为准。 </w:t>
      </w:r>
    </w:p>
    <w:p w14:paraId="289534D5">
      <w:pPr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二、合同的范围和条件 </w:t>
      </w:r>
    </w:p>
    <w:p w14:paraId="40765F28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本合同的范围和条件应与上述合同文件的规定相一致。 </w:t>
      </w:r>
    </w:p>
    <w:p w14:paraId="122FC79E">
      <w:pPr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三、货物、数量以及规格 </w:t>
      </w:r>
    </w:p>
    <w:p w14:paraId="15F0922E">
      <w:pPr>
        <w:pStyle w:val="5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本合同所提供的货物、数量以及规格等详见乙方投标文件报价清单（应包含品牌、型号、产地、技术参数、数量、单价、合计等信息）。</w:t>
      </w:r>
    </w:p>
    <w:tbl>
      <w:tblPr>
        <w:tblStyle w:val="7"/>
        <w:tblW w:w="9114" w:type="dxa"/>
        <w:tblInd w:w="-119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1418"/>
        <w:gridCol w:w="1276"/>
        <w:gridCol w:w="1559"/>
        <w:gridCol w:w="1203"/>
        <w:gridCol w:w="796"/>
        <w:gridCol w:w="761"/>
        <w:gridCol w:w="1307"/>
      </w:tblGrid>
      <w:tr w14:paraId="0D9666A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794" w:type="dxa"/>
            <w:noWrap w:val="0"/>
            <w:vAlign w:val="center"/>
          </w:tcPr>
          <w:p w14:paraId="3D04123F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bCs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napToGrid w:val="0"/>
                <w:sz w:val="24"/>
                <w:szCs w:val="24"/>
              </w:rPr>
              <w:t>序号</w:t>
            </w:r>
          </w:p>
        </w:tc>
        <w:tc>
          <w:tcPr>
            <w:tcW w:w="1418" w:type="dxa"/>
            <w:noWrap w:val="0"/>
            <w:vAlign w:val="center"/>
          </w:tcPr>
          <w:p w14:paraId="0CE0B22A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bCs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napToGrid w:val="0"/>
                <w:sz w:val="24"/>
                <w:szCs w:val="24"/>
              </w:rPr>
              <w:t>品名</w:t>
            </w:r>
          </w:p>
        </w:tc>
        <w:tc>
          <w:tcPr>
            <w:tcW w:w="1276" w:type="dxa"/>
            <w:noWrap w:val="0"/>
            <w:vAlign w:val="center"/>
          </w:tcPr>
          <w:p w14:paraId="05215F37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bCs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napToGrid w:val="0"/>
                <w:sz w:val="24"/>
                <w:szCs w:val="24"/>
              </w:rPr>
              <w:t>品牌</w:t>
            </w:r>
          </w:p>
        </w:tc>
        <w:tc>
          <w:tcPr>
            <w:tcW w:w="1559" w:type="dxa"/>
            <w:noWrap w:val="0"/>
            <w:vAlign w:val="center"/>
          </w:tcPr>
          <w:p w14:paraId="266ED625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bCs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napToGrid w:val="0"/>
                <w:sz w:val="24"/>
                <w:szCs w:val="24"/>
              </w:rPr>
              <w:t>规格型号</w:t>
            </w:r>
          </w:p>
        </w:tc>
        <w:tc>
          <w:tcPr>
            <w:tcW w:w="1203" w:type="dxa"/>
            <w:noWrap w:val="0"/>
            <w:vAlign w:val="center"/>
          </w:tcPr>
          <w:p w14:paraId="34267FAF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bCs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napToGrid w:val="0"/>
                <w:sz w:val="24"/>
                <w:szCs w:val="24"/>
              </w:rPr>
              <w:t>产地</w:t>
            </w:r>
          </w:p>
        </w:tc>
        <w:tc>
          <w:tcPr>
            <w:tcW w:w="796" w:type="dxa"/>
            <w:noWrap w:val="0"/>
            <w:vAlign w:val="center"/>
          </w:tcPr>
          <w:p w14:paraId="137CB61B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bCs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napToGrid w:val="0"/>
                <w:sz w:val="24"/>
                <w:szCs w:val="24"/>
              </w:rPr>
              <w:t>数量</w:t>
            </w:r>
          </w:p>
        </w:tc>
        <w:tc>
          <w:tcPr>
            <w:tcW w:w="761" w:type="dxa"/>
            <w:noWrap w:val="0"/>
            <w:vAlign w:val="center"/>
          </w:tcPr>
          <w:p w14:paraId="607C4D5F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bCs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napToGrid w:val="0"/>
                <w:sz w:val="24"/>
                <w:szCs w:val="24"/>
              </w:rPr>
              <w:t>单价</w:t>
            </w:r>
          </w:p>
        </w:tc>
        <w:tc>
          <w:tcPr>
            <w:tcW w:w="1307" w:type="dxa"/>
            <w:noWrap w:val="0"/>
            <w:vAlign w:val="center"/>
          </w:tcPr>
          <w:p w14:paraId="4E50306D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bCs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napToGrid w:val="0"/>
                <w:sz w:val="24"/>
                <w:szCs w:val="24"/>
              </w:rPr>
              <w:t>金额</w:t>
            </w:r>
          </w:p>
        </w:tc>
      </w:tr>
      <w:tr w14:paraId="1103F3C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794" w:type="dxa"/>
            <w:noWrap/>
            <w:vAlign w:val="center"/>
          </w:tcPr>
          <w:p w14:paraId="5AE60FF1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sz w:val="24"/>
                <w:szCs w:val="24"/>
              </w:rPr>
              <w:t>1</w:t>
            </w:r>
          </w:p>
        </w:tc>
        <w:tc>
          <w:tcPr>
            <w:tcW w:w="1418" w:type="dxa"/>
            <w:noWrap/>
            <w:vAlign w:val="center"/>
          </w:tcPr>
          <w:p w14:paraId="4B47FF7C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sz w:val="24"/>
                <w:szCs w:val="24"/>
              </w:rPr>
              <w:t>XXX</w:t>
            </w:r>
          </w:p>
        </w:tc>
        <w:tc>
          <w:tcPr>
            <w:tcW w:w="1276" w:type="dxa"/>
            <w:noWrap/>
            <w:vAlign w:val="center"/>
          </w:tcPr>
          <w:p w14:paraId="37B47BAE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sz w:val="24"/>
                <w:szCs w:val="24"/>
              </w:rPr>
              <w:t>XX</w:t>
            </w:r>
          </w:p>
        </w:tc>
        <w:tc>
          <w:tcPr>
            <w:tcW w:w="1559" w:type="dxa"/>
            <w:noWrap/>
            <w:vAlign w:val="center"/>
          </w:tcPr>
          <w:p w14:paraId="0C622806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sz w:val="24"/>
                <w:szCs w:val="24"/>
              </w:rPr>
              <w:t>XX-XXXX</w:t>
            </w:r>
          </w:p>
        </w:tc>
        <w:tc>
          <w:tcPr>
            <w:tcW w:w="1203" w:type="dxa"/>
            <w:noWrap/>
            <w:vAlign w:val="center"/>
          </w:tcPr>
          <w:p w14:paraId="602F60B5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sz w:val="24"/>
                <w:szCs w:val="24"/>
              </w:rPr>
              <w:t>X省市</w:t>
            </w:r>
          </w:p>
        </w:tc>
        <w:tc>
          <w:tcPr>
            <w:tcW w:w="796" w:type="dxa"/>
            <w:noWrap/>
            <w:vAlign w:val="center"/>
          </w:tcPr>
          <w:p w14:paraId="3D162DB6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sz w:val="24"/>
                <w:szCs w:val="24"/>
              </w:rPr>
              <w:t>XX</w:t>
            </w:r>
          </w:p>
        </w:tc>
        <w:tc>
          <w:tcPr>
            <w:tcW w:w="761" w:type="dxa"/>
            <w:noWrap w:val="0"/>
            <w:vAlign w:val="center"/>
          </w:tcPr>
          <w:p w14:paraId="69BE3880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sz w:val="24"/>
                <w:szCs w:val="24"/>
              </w:rPr>
              <w:t>XX</w:t>
            </w:r>
          </w:p>
        </w:tc>
        <w:tc>
          <w:tcPr>
            <w:tcW w:w="1307" w:type="dxa"/>
            <w:noWrap w:val="0"/>
            <w:vAlign w:val="center"/>
          </w:tcPr>
          <w:p w14:paraId="1936D91B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 w:val="24"/>
                <w:szCs w:val="24"/>
              </w:rPr>
              <w:t>XXXXX.00</w:t>
            </w:r>
          </w:p>
        </w:tc>
      </w:tr>
      <w:tr w14:paraId="40BAA6A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794" w:type="dxa"/>
            <w:noWrap/>
            <w:vAlign w:val="center"/>
          </w:tcPr>
          <w:p w14:paraId="434D530F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sz w:val="24"/>
                <w:szCs w:val="24"/>
              </w:rPr>
              <w:t>2</w:t>
            </w:r>
          </w:p>
        </w:tc>
        <w:tc>
          <w:tcPr>
            <w:tcW w:w="1418" w:type="dxa"/>
            <w:noWrap/>
            <w:vAlign w:val="center"/>
          </w:tcPr>
          <w:p w14:paraId="74BAAF3D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sz w:val="24"/>
                <w:szCs w:val="24"/>
              </w:rPr>
              <w:t>XXX</w:t>
            </w:r>
          </w:p>
        </w:tc>
        <w:tc>
          <w:tcPr>
            <w:tcW w:w="1276" w:type="dxa"/>
            <w:noWrap/>
            <w:vAlign w:val="center"/>
          </w:tcPr>
          <w:p w14:paraId="113D7219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sz w:val="24"/>
                <w:szCs w:val="24"/>
              </w:rPr>
              <w:t>XX</w:t>
            </w:r>
          </w:p>
        </w:tc>
        <w:tc>
          <w:tcPr>
            <w:tcW w:w="1559" w:type="dxa"/>
            <w:noWrap/>
            <w:vAlign w:val="center"/>
          </w:tcPr>
          <w:p w14:paraId="02C95543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sz w:val="24"/>
                <w:szCs w:val="24"/>
              </w:rPr>
              <w:t>XX-XXXX</w:t>
            </w:r>
          </w:p>
        </w:tc>
        <w:tc>
          <w:tcPr>
            <w:tcW w:w="1203" w:type="dxa"/>
            <w:noWrap/>
            <w:vAlign w:val="center"/>
          </w:tcPr>
          <w:p w14:paraId="66DDACAE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sz w:val="24"/>
                <w:szCs w:val="24"/>
              </w:rPr>
              <w:t>X省市</w:t>
            </w:r>
          </w:p>
        </w:tc>
        <w:tc>
          <w:tcPr>
            <w:tcW w:w="796" w:type="dxa"/>
            <w:noWrap/>
            <w:vAlign w:val="center"/>
          </w:tcPr>
          <w:p w14:paraId="72BF2C3F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sz w:val="24"/>
                <w:szCs w:val="24"/>
              </w:rPr>
              <w:t>XX</w:t>
            </w:r>
          </w:p>
        </w:tc>
        <w:tc>
          <w:tcPr>
            <w:tcW w:w="761" w:type="dxa"/>
            <w:noWrap w:val="0"/>
            <w:vAlign w:val="center"/>
          </w:tcPr>
          <w:p w14:paraId="0F07543D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sz w:val="24"/>
                <w:szCs w:val="24"/>
              </w:rPr>
              <w:t>XX</w:t>
            </w:r>
          </w:p>
        </w:tc>
        <w:tc>
          <w:tcPr>
            <w:tcW w:w="1307" w:type="dxa"/>
            <w:noWrap w:val="0"/>
            <w:vAlign w:val="center"/>
          </w:tcPr>
          <w:p w14:paraId="2940DB27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 w:val="24"/>
                <w:szCs w:val="24"/>
              </w:rPr>
              <w:t>XXXXX.00</w:t>
            </w:r>
          </w:p>
        </w:tc>
      </w:tr>
      <w:tr w14:paraId="555BE9F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794" w:type="dxa"/>
            <w:noWrap/>
            <w:vAlign w:val="center"/>
          </w:tcPr>
          <w:p w14:paraId="5054BB1E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sz w:val="24"/>
                <w:szCs w:val="24"/>
              </w:rPr>
              <w:t>3</w:t>
            </w:r>
          </w:p>
        </w:tc>
        <w:tc>
          <w:tcPr>
            <w:tcW w:w="1418" w:type="dxa"/>
            <w:noWrap/>
            <w:vAlign w:val="center"/>
          </w:tcPr>
          <w:p w14:paraId="68AD3FDE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sz w:val="24"/>
                <w:szCs w:val="24"/>
              </w:rPr>
              <w:t>XXX</w:t>
            </w:r>
          </w:p>
        </w:tc>
        <w:tc>
          <w:tcPr>
            <w:tcW w:w="1276" w:type="dxa"/>
            <w:noWrap/>
            <w:vAlign w:val="center"/>
          </w:tcPr>
          <w:p w14:paraId="5E67AFEE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sz w:val="24"/>
                <w:szCs w:val="24"/>
              </w:rPr>
              <w:t>XX</w:t>
            </w:r>
          </w:p>
        </w:tc>
        <w:tc>
          <w:tcPr>
            <w:tcW w:w="1559" w:type="dxa"/>
            <w:noWrap/>
            <w:vAlign w:val="center"/>
          </w:tcPr>
          <w:p w14:paraId="3C273B2E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sz w:val="24"/>
                <w:szCs w:val="24"/>
              </w:rPr>
              <w:t>XX-XXXX</w:t>
            </w:r>
          </w:p>
        </w:tc>
        <w:tc>
          <w:tcPr>
            <w:tcW w:w="1203" w:type="dxa"/>
            <w:noWrap/>
            <w:vAlign w:val="center"/>
          </w:tcPr>
          <w:p w14:paraId="487ECED4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sz w:val="24"/>
                <w:szCs w:val="24"/>
              </w:rPr>
              <w:t>X省市</w:t>
            </w:r>
          </w:p>
        </w:tc>
        <w:tc>
          <w:tcPr>
            <w:tcW w:w="796" w:type="dxa"/>
            <w:noWrap/>
            <w:vAlign w:val="center"/>
          </w:tcPr>
          <w:p w14:paraId="74907DA4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sz w:val="24"/>
                <w:szCs w:val="24"/>
              </w:rPr>
              <w:t>XX</w:t>
            </w:r>
          </w:p>
        </w:tc>
        <w:tc>
          <w:tcPr>
            <w:tcW w:w="761" w:type="dxa"/>
            <w:noWrap w:val="0"/>
            <w:vAlign w:val="center"/>
          </w:tcPr>
          <w:p w14:paraId="05554DE2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sz w:val="24"/>
                <w:szCs w:val="24"/>
              </w:rPr>
              <w:t>XX</w:t>
            </w:r>
          </w:p>
        </w:tc>
        <w:tc>
          <w:tcPr>
            <w:tcW w:w="1307" w:type="dxa"/>
            <w:noWrap w:val="0"/>
            <w:vAlign w:val="center"/>
          </w:tcPr>
          <w:p w14:paraId="4282158F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 w:val="24"/>
                <w:szCs w:val="24"/>
              </w:rPr>
              <w:t>XXXXX.00</w:t>
            </w:r>
          </w:p>
        </w:tc>
      </w:tr>
      <w:tr w14:paraId="7920BA5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5047" w:type="dxa"/>
            <w:gridSpan w:val="4"/>
            <w:noWrap/>
            <w:vAlign w:val="center"/>
          </w:tcPr>
          <w:p w14:paraId="3FE92E8A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sz w:val="24"/>
                <w:szCs w:val="24"/>
              </w:rPr>
              <w:t>合计</w:t>
            </w:r>
          </w:p>
        </w:tc>
        <w:tc>
          <w:tcPr>
            <w:tcW w:w="4067" w:type="dxa"/>
            <w:gridSpan w:val="4"/>
            <w:noWrap/>
            <w:vAlign w:val="center"/>
          </w:tcPr>
          <w:p w14:paraId="197A8E04">
            <w:pPr>
              <w:kinsoku w:val="0"/>
              <w:autoSpaceDE w:val="0"/>
              <w:autoSpaceDN w:val="0"/>
              <w:spacing w:line="360" w:lineRule="auto"/>
              <w:textAlignment w:val="baseline"/>
              <w:rPr>
                <w:rFonts w:ascii="宋体" w:hAnsi="宋体" w:cs="宋体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sz w:val="24"/>
                <w:szCs w:val="24"/>
              </w:rPr>
              <w:t>小写：</w:t>
            </w:r>
            <w:r>
              <w:rPr>
                <w:rFonts w:hint="eastAsia" w:ascii="宋体" w:hAnsi="宋体" w:cs="宋体"/>
                <w:snapToGrid w:val="0"/>
                <w:sz w:val="24"/>
                <w:szCs w:val="24"/>
                <w:u w:val="single"/>
              </w:rPr>
              <w:t xml:space="preserve">XXXXXXX.00元 </w:t>
            </w:r>
          </w:p>
          <w:p w14:paraId="79D21232">
            <w:pPr>
              <w:kinsoku w:val="0"/>
              <w:autoSpaceDE w:val="0"/>
              <w:autoSpaceDN w:val="0"/>
              <w:spacing w:line="360" w:lineRule="auto"/>
              <w:textAlignment w:val="baseline"/>
              <w:rPr>
                <w:rFonts w:ascii="宋体" w:hAnsi="宋体" w:cs="宋体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sz w:val="24"/>
                <w:szCs w:val="24"/>
                <w:lang w:val="zh-CN"/>
              </w:rPr>
              <w:t>大写：</w:t>
            </w:r>
            <w:r>
              <w:rPr>
                <w:rFonts w:hint="eastAsia" w:ascii="宋体" w:hAnsi="宋体" w:cs="宋体"/>
                <w:snapToGrid w:val="0"/>
                <w:sz w:val="24"/>
                <w:szCs w:val="24"/>
                <w:u w:val="single"/>
              </w:rPr>
              <w:t xml:space="preserve">XXXXXXXXXXXXXXXX元整 </w:t>
            </w:r>
          </w:p>
        </w:tc>
      </w:tr>
    </w:tbl>
    <w:p w14:paraId="6128CBFC">
      <w:pPr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四、合同金额 </w:t>
      </w:r>
    </w:p>
    <w:p w14:paraId="6B23341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1、根据上述文件要求，合同金额为人民币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napToGrid w:val="0"/>
          <w:sz w:val="24"/>
          <w:szCs w:val="24"/>
          <w:u w:val="single"/>
        </w:rPr>
        <w:t>XXXXXXX.00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万元，大写：</w:t>
      </w:r>
      <w:r>
        <w:rPr>
          <w:rFonts w:hint="eastAsia" w:ascii="宋体" w:hAnsi="宋体" w:cs="宋体"/>
          <w:snapToGrid w:val="0"/>
          <w:sz w:val="24"/>
          <w:szCs w:val="24"/>
          <w:u w:val="single"/>
        </w:rPr>
        <w:t>XXXXXXXXXXXXX元整</w:t>
      </w:r>
      <w:r>
        <w:rPr>
          <w:rFonts w:hint="eastAsia" w:ascii="宋体" w:hAnsi="宋体" w:cs="宋体"/>
          <w:sz w:val="24"/>
          <w:szCs w:val="24"/>
        </w:rPr>
        <w:t xml:space="preserve">。 </w:t>
      </w:r>
    </w:p>
    <w:p w14:paraId="57D0FC60">
      <w:pPr>
        <w:pStyle w:val="5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2、本合同总价款已包括乙方为履行本合同义务所发生的一切费用，包括但不限于交通费、运输费、物流费、装卸费、包装费、安装费</w:t>
      </w:r>
      <w:r>
        <w:rPr>
          <w:rFonts w:hint="eastAsia" w:ascii="宋体" w:hAnsi="宋体"/>
          <w:sz w:val="24"/>
          <w:szCs w:val="24"/>
          <w:lang w:eastAsia="zh-CN"/>
        </w:rPr>
        <w:t>、</w:t>
      </w:r>
      <w:r>
        <w:rPr>
          <w:rFonts w:hint="eastAsia" w:ascii="宋体" w:hAnsi="宋体"/>
          <w:sz w:val="24"/>
          <w:szCs w:val="24"/>
          <w:lang w:val="en-US" w:eastAsia="zh-CN"/>
        </w:rPr>
        <w:t>以及三年运维服务费</w:t>
      </w:r>
      <w:r>
        <w:rPr>
          <w:rFonts w:hint="eastAsia" w:ascii="宋体" w:hAnsi="宋体"/>
          <w:sz w:val="24"/>
          <w:szCs w:val="24"/>
        </w:rPr>
        <w:t>等。甲方无须另行向乙方支付本合同规定之外的其他任何费用，该价格系固定不变价格，且不随市场价格、通货膨胀等因素的影响而波动。</w:t>
      </w:r>
    </w:p>
    <w:p w14:paraId="156A2C87">
      <w:pPr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五、付款方式 </w:t>
      </w:r>
    </w:p>
    <w:p w14:paraId="5C9E838E"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1、 进度款，自合同签订之日起、全部供货完成、硬件验收合格，乙方凭合规发票，达到付款条件起15个工作日内，支付合同总金额的34.0%</w:t>
      </w:r>
    </w:p>
    <w:p w14:paraId="3F827197"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2、 进度款，自首期付款满1年，乙方凭合规发票，达到付款条件起15个工作日内，支付合同总金额的33.0%</w:t>
      </w:r>
    </w:p>
    <w:p w14:paraId="320D9C11"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3、 进度款，自首期付款满2年，乙方凭合规发票，达到付款条件起15个工作日内，支付合同总金额的33.0%</w:t>
      </w:r>
      <w:r>
        <w:rPr>
          <w:rFonts w:hint="eastAsia" w:ascii="宋体" w:hAnsi="宋体" w:cs="宋体"/>
          <w:sz w:val="24"/>
          <w:szCs w:val="24"/>
          <w:lang w:eastAsia="zh-CN"/>
        </w:rPr>
        <w:t>。</w:t>
      </w:r>
    </w:p>
    <w:p w14:paraId="4FCFD486">
      <w:pPr>
        <w:pStyle w:val="5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付款前，乙方应开具符合国家规定的支付全额发票给甲方，否则甲方有权延迟付款。在履行本合同过程中，若乙方的货款收款账户发生变更，乙方需将变更后的收款账户以书面形式及时通知甲方，甲方按照乙方提供的银行账户支付货款后，因乙方提供账户或者账号相关信息遗漏、错误、更改等原因所产生的后果由乙方自行承担。</w:t>
      </w:r>
    </w:p>
    <w:p w14:paraId="57428815">
      <w:pPr>
        <w:pStyle w:val="5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3、因本项目为政府采购项目，若因相关政策或财务程序等影响，导致甲方不能及时付款，乙方应予以合理宽限，甲方不构成违约。</w:t>
      </w:r>
    </w:p>
    <w:p w14:paraId="34BBF367">
      <w:pPr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六、交货 </w:t>
      </w:r>
    </w:p>
    <w:p w14:paraId="7AB4453C">
      <w:pPr>
        <w:spacing w:line="360" w:lineRule="auto"/>
        <w:ind w:firstLine="482" w:firstLineChars="200"/>
        <w:rPr>
          <w:rFonts w:ascii="宋体" w:hAnsi="宋体" w:cs="宋体"/>
          <w:b/>
          <w:sz w:val="24"/>
          <w:szCs w:val="24"/>
          <w:u w:val="single"/>
        </w:rPr>
      </w:pPr>
      <w:r>
        <w:rPr>
          <w:rFonts w:hint="eastAsia" w:ascii="宋体" w:hAnsi="宋体" w:cs="宋体"/>
          <w:b/>
          <w:sz w:val="24"/>
          <w:szCs w:val="24"/>
        </w:rPr>
        <w:t>1、交货期：</w:t>
      </w:r>
      <w:r>
        <w:rPr>
          <w:rFonts w:hint="eastAsia" w:ascii="宋体" w:hAnsi="宋体" w:cs="宋体"/>
          <w:b/>
          <w:sz w:val="24"/>
          <w:szCs w:val="24"/>
          <w:u w:val="single"/>
          <w:lang w:val="en-US" w:eastAsia="zh-CN"/>
        </w:rPr>
        <w:t>合同签订供货期30⽇历天，系统运维3年。</w:t>
      </w:r>
    </w:p>
    <w:p w14:paraId="737BC233">
      <w:pPr>
        <w:spacing w:line="360" w:lineRule="auto"/>
        <w:ind w:firstLine="482" w:firstLineChars="20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2、交货地点：</w:t>
      </w:r>
      <w:r>
        <w:rPr>
          <w:rFonts w:hint="eastAsia" w:ascii="宋体" w:hAnsi="宋体" w:cs="宋体"/>
          <w:b/>
          <w:sz w:val="24"/>
          <w:szCs w:val="24"/>
          <w:u w:val="single"/>
          <w:lang w:val="en-US" w:eastAsia="zh-CN"/>
        </w:rPr>
        <w:t>采购人</w:t>
      </w:r>
      <w:r>
        <w:rPr>
          <w:rFonts w:hint="eastAsia" w:ascii="宋体" w:hAnsi="宋体" w:cs="宋体"/>
          <w:b/>
          <w:sz w:val="24"/>
          <w:szCs w:val="24"/>
          <w:u w:val="single"/>
        </w:rPr>
        <w:t>指定地点</w:t>
      </w:r>
    </w:p>
    <w:p w14:paraId="0CB2A2EF">
      <w:pPr>
        <w:pStyle w:val="4"/>
        <w:spacing w:before="4" w:line="360" w:lineRule="auto"/>
        <w:ind w:right="0" w:firstLine="482" w:firstLineChars="200"/>
        <w:jc w:val="left"/>
        <w:rPr>
          <w:rFonts w:hint="eastAsia" w:ascii="宋体" w:hAnsi="宋体" w:eastAsia="宋体" w:cs="宋体"/>
          <w:b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24"/>
          <w:szCs w:val="24"/>
          <w:lang w:val="en-US" w:eastAsia="zh-CN" w:bidi="ar-SA"/>
        </w:rPr>
        <w:t>3、质保期：</w:t>
      </w:r>
      <w:r>
        <w:rPr>
          <w:rFonts w:hint="eastAsia" w:ascii="宋体" w:hAnsi="宋体" w:eastAsia="宋体" w:cs="宋体"/>
          <w:b/>
          <w:kern w:val="2"/>
          <w:sz w:val="24"/>
          <w:szCs w:val="24"/>
          <w:u w:val="single"/>
          <w:lang w:val="en-US" w:eastAsia="zh-CN" w:bidi="ar-SA"/>
        </w:rPr>
        <w:t xml:space="preserve"> ⼿机整机质保1年，通信服务3年全周期质保。</w:t>
      </w:r>
    </w:p>
    <w:p w14:paraId="70FC7919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4、</w:t>
      </w:r>
      <w:r>
        <w:rPr>
          <w:rFonts w:hint="eastAsia" w:ascii="宋体" w:hAnsi="宋体" w:cs="宋体"/>
          <w:sz w:val="24"/>
          <w:szCs w:val="24"/>
        </w:rPr>
        <w:t xml:space="preserve">风险负担：货物毁损、灭失的风险在该货物通过甲乙双方联合验收交付前由乙方承担，通过联合验收交付后由甲方承担；因质量问题甲方拒收的，风险由乙方承担。 </w:t>
      </w:r>
    </w:p>
    <w:p w14:paraId="27EEDD81">
      <w:pPr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七、质量 </w:t>
      </w:r>
    </w:p>
    <w:p w14:paraId="1900B5EC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乙方提供的货物应符合国家相关质量验收标准且为全新、原装、有正规进货渠道的货物，质量、规格、外观等符合警用装备最新行业标准； </w:t>
      </w:r>
    </w:p>
    <w:p w14:paraId="48BD8FA5">
      <w:pPr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八、运输要求 </w:t>
      </w:r>
    </w:p>
    <w:p w14:paraId="7D354EAF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涉及的商品包装和快递包装，均应符合《商品包装政府采购需求标准（试行）》《快递包装政府采购需求标准（试行）》的要求，包装应适应于远距离运输、防潮、防震、防锈和防野蛮装卸，以确保货物安全无损运抵指定地点</w:t>
      </w:r>
      <w:bookmarkStart w:id="8" w:name="_GoBack"/>
      <w:bookmarkEnd w:id="8"/>
      <w:r>
        <w:rPr>
          <w:rFonts w:hint="eastAsia" w:ascii="宋体" w:hAnsi="宋体" w:cs="宋体"/>
          <w:sz w:val="24"/>
          <w:szCs w:val="24"/>
        </w:rPr>
        <w:t xml:space="preserve">。 </w:t>
      </w:r>
    </w:p>
    <w:p w14:paraId="537B1607">
      <w:pPr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九、知识产权 </w:t>
      </w:r>
    </w:p>
    <w:p w14:paraId="59D72F04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供⽅原有知识产权归⾃⾝所有，甲⽅享有设备公务使⽤权，依托甲⽅数据形成资料权属归甲⽅，出现知识产权侵权由供⽅全权负责赔偿。 </w:t>
      </w:r>
    </w:p>
    <w:p w14:paraId="50357123">
      <w:pPr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十、验收 </w:t>
      </w:r>
    </w:p>
    <w:p w14:paraId="0AC0283B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1）成交供应商向采购⼈提交项⽬实施过程中的所有资料；（2）验收须以合同、招标⽂件及响应⽂件、澄清及国家相应的标准、规范等为依据； （3）符合中华⼈⺠共和国国家和履约地相关安全质量标准、⾏业技术规范标准、环保节能标准；（4）符合招标⽂件及响应⽂件承诺中采购⼈认可的合理最佳配置、参数规格及各项要求； （5）双⽅约定的其他验收标准；（6）采购⼈在合同的履⾏期间以及履⾏期后，可以随时检查项⽬的执⾏情况，对采购标准、采购内容进⾏调查核实，并对发现的问题进⾏处理。 </w:t>
      </w:r>
    </w:p>
    <w:p w14:paraId="4901096C">
      <w:pPr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十一、售后服务</w:t>
      </w:r>
    </w:p>
    <w:p w14:paraId="0DEBFE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/>
          <w:sz w:val="24"/>
          <w:szCs w:val="24"/>
        </w:rPr>
      </w:pPr>
      <w:r>
        <w:rPr>
          <w:rFonts w:hint="eastAsia" w:ascii="宋体" w:hAnsi="宋体" w:cs="宋体"/>
          <w:b w:val="0"/>
          <w:bCs/>
          <w:sz w:val="24"/>
          <w:szCs w:val="24"/>
        </w:rPr>
        <w:t xml:space="preserve">（⼀）⼿机终端硬件保修范围（免费保修） 免费保修内容（出⼚质量问题全免维修费、配件费、上⻔费） 原⼚出⼚质量缺陷：主板、屏幕、摄像头、听筒、充电尾插、系统原⽣故障、不开机、⽆信号等⾮⼈为损坏故障，免费维修；同⼀故障3次返修⽆法修复免费换新机。 原⼚标配配件：原装充电器、数据线因产品质量故障免费更换（按附件三包期限）。 质保期内免费远程调试、系统刷机、基础软件故障处理。 </w:t>
      </w:r>
    </w:p>
    <w:p w14:paraId="1B5884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cs="宋体"/>
          <w:b w:val="0"/>
          <w:bCs/>
          <w:sz w:val="24"/>
          <w:szCs w:val="24"/>
        </w:rPr>
        <w:t>（⼆）3 年通信套餐服务保修（全合约3年免费运维） 免费服务保修范围（36个⽉全程） ⽹络故障：号码⽆信号、⽆法通话、流量异常断⽹、集团专⽹ / APN 接⼊失败、套餐资费计费错误，移动7*24受理、限时排障；计费多扣费据实退费。 业务保障：套餐档位、语⾳ / 流量资源按合同约定⾜额保障，合约期内不得私⾃降套餐、关停业务、变更资费标准。 ⽇常售后：免费补卡、号码故障排查、客⼾经理对接、资费对账、业务变更协助。 故障响应时限（政府采购通⽤）：故障报修1⼩时响应，市区3⼩时现场处置，偏远24⼩时处置；短时间⽆法修复临时开通备⽤通信⽅案 / 备⽤卡</w:t>
      </w: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。</w:t>
      </w:r>
    </w:p>
    <w:p w14:paraId="41D91F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十二、违约条款 </w:t>
      </w:r>
    </w:p>
    <w:p w14:paraId="1246E236"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⼀、违约责任： 1.⼄⽅应按合同约定时间完成合同义务，若发⽣延迟，⼄⽅应向甲⽅⽀付合同总价款10%的违约⾦，且甲⽅有权单⽅解除本合同。但甲⽅书⾯同意延迟或因甲⽅原因导致延迟的，⼄⽅不承担违约责任。 </w:t>
      </w:r>
    </w:p>
    <w:p w14:paraId="4BA397D4"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本次活动因⼄⽅原因导致侵害甲⽅或第三⽅合法权益的，应由⼄⽅承担相应赔偿责任，并向甲⽅⽀付合同总价款10%的违约⾦。 </w:t>
      </w:r>
    </w:p>
    <w:p w14:paraId="312A71DA">
      <w:pPr>
        <w:numPr>
          <w:ilvl w:val="0"/>
          <w:numId w:val="1"/>
        </w:numPr>
        <w:spacing w:line="360" w:lineRule="auto"/>
        <w:ind w:left="0" w:leftChars="0"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若⼄⽅未经甲⽅同意泄露本合同约定的任何秘密信息的，⼄⽅应按照合同总价款的10%向甲⽅⽀付违约⾦，并赔偿因此给甲⽅造成的损失。 </w:t>
      </w:r>
    </w:p>
    <w:p w14:paraId="407DF21B">
      <w:pPr>
        <w:numPr>
          <w:ilvl w:val="0"/>
          <w:numId w:val="0"/>
        </w:numPr>
        <w:spacing w:line="360" w:lineRule="auto"/>
        <w:ind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4.⼄⽅保证向甲⽅开具发票的真实性、合法性，若⼄⽅向甲⽅开具的发票存在真实性、合法性问题，给甲⽅造成损失的，⼄⽅应按合同总价款的10%向甲⽅⽀付违约⾦，违约⾦不⾜以弥补损失的，⼄⽅还应承担相应赔偿责任。 </w:t>
      </w:r>
    </w:p>
    <w:p w14:paraId="0FC55A21">
      <w:pPr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十三、不可抗力条款 </w:t>
      </w:r>
    </w:p>
    <w:p w14:paraId="11E2CB6D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因不可抗力致使一方不能及时或完全履行合同的，应及时通知招标代理机构及另一方，双方互不承担责任，并在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5 </w:t>
      </w:r>
      <w:r>
        <w:rPr>
          <w:rFonts w:hint="eastAsia" w:ascii="宋体" w:hAnsi="宋体" w:cs="宋体"/>
          <w:sz w:val="24"/>
          <w:szCs w:val="24"/>
        </w:rPr>
        <w:t xml:space="preserve">天内提供有关不可抗力的相应证明。合同未履行部分是否继续履行、如何履行等问题，可由双方协商解决。 </w:t>
      </w:r>
    </w:p>
    <w:p w14:paraId="40D69E5C">
      <w:pPr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十四、保密条款</w:t>
      </w:r>
    </w:p>
    <w:p w14:paraId="1525CA27">
      <w:pPr>
        <w:pStyle w:val="5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对于本合同内容，对于因履行本合同所知悉、接触或取得的有关对方的信息、文件及资料（包括商业秘密、财务信息、技术信息、产品信息、人事信息、用户资料及其他标明保密的文件或信息等相关数据），甲乙双方均应履行并应要求己方工作人员履行保密义务，禁止任何与本合同项下服务项目实施无关的人员接触前述保密内容，任何一方未经对方书面同意不得向第三方透露或进行不当使用，否则守约方有权要求违约方依法承担责任。</w:t>
      </w:r>
    </w:p>
    <w:p w14:paraId="061E39F9">
      <w:pPr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十五、争议的解决方式 </w:t>
      </w:r>
    </w:p>
    <w:p w14:paraId="5DFAAD2D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合同发生纠纷时，双方应协商解决，协商不成可以向</w:t>
      </w:r>
      <w:r>
        <w:rPr>
          <w:rFonts w:hint="eastAsia" w:ascii="宋体" w:hAnsi="宋体" w:cs="宋体"/>
          <w:sz w:val="24"/>
          <w:szCs w:val="24"/>
          <w:u w:val="single"/>
        </w:rPr>
        <w:t>甲方</w:t>
      </w:r>
      <w:r>
        <w:rPr>
          <w:rFonts w:hint="eastAsia" w:ascii="宋体" w:hAnsi="宋体" w:cs="宋体"/>
          <w:sz w:val="24"/>
          <w:szCs w:val="24"/>
        </w:rPr>
        <w:t>所在地人民法院提起诉讼。</w:t>
      </w:r>
    </w:p>
    <w:p w14:paraId="0AE9C302">
      <w:pPr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十六、补充协议 </w:t>
      </w:r>
    </w:p>
    <w:p w14:paraId="419A1DF8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合同未尽事宜，经双方协商可签订补充协议，所签订的补充协议与本合同具有同等的法律效力，补充协议的生效应符合本合同的有关规定。合同补充条款应同时报同级财政部门备案。</w:t>
      </w:r>
    </w:p>
    <w:p w14:paraId="2DB67B62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十</w:t>
      </w:r>
      <w:r>
        <w:rPr>
          <w:rFonts w:hint="eastAsia" w:ascii="宋体" w:hAnsi="宋体"/>
          <w:b/>
          <w:sz w:val="24"/>
          <w:szCs w:val="24"/>
        </w:rPr>
        <w:t>七</w:t>
      </w:r>
      <w:r>
        <w:rPr>
          <w:rFonts w:ascii="宋体" w:hAnsi="宋体"/>
          <w:b/>
          <w:sz w:val="24"/>
          <w:szCs w:val="24"/>
        </w:rPr>
        <w:t>、</w:t>
      </w:r>
      <w:r>
        <w:rPr>
          <w:rFonts w:ascii="宋体" w:hAnsi="宋体" w:cs="宋体"/>
          <w:b/>
          <w:sz w:val="24"/>
          <w:szCs w:val="24"/>
        </w:rPr>
        <w:t>合同保存</w:t>
      </w:r>
    </w:p>
    <w:p w14:paraId="2B89D698">
      <w:pPr>
        <w:pStyle w:val="4"/>
        <w:tabs>
          <w:tab w:val="left" w:pos="9062"/>
        </w:tabs>
        <w:spacing w:line="360" w:lineRule="auto"/>
        <w:ind w:left="125" w:right="102" w:firstLine="480" w:firstLineChars="200"/>
        <w:jc w:val="both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本合同一式</w:t>
      </w:r>
      <w:r>
        <w:rPr>
          <w:rFonts w:hint="eastAsia" w:ascii="宋体" w:hAnsi="宋体"/>
          <w:sz w:val="24"/>
          <w:szCs w:val="24"/>
          <w:u w:val="single"/>
        </w:rPr>
        <w:t xml:space="preserve">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>肆</w:t>
      </w:r>
      <w:r>
        <w:rPr>
          <w:rFonts w:hint="eastAsia" w:ascii="宋体" w:hAnsi="宋体"/>
          <w:sz w:val="24"/>
          <w:szCs w:val="24"/>
          <w:u w:val="single"/>
        </w:rPr>
        <w:t xml:space="preserve"> </w:t>
      </w:r>
      <w:r>
        <w:rPr>
          <w:rFonts w:ascii="宋体" w:hAnsi="宋体"/>
          <w:sz w:val="24"/>
          <w:szCs w:val="24"/>
        </w:rPr>
        <w:t>份，甲方</w:t>
      </w:r>
      <w:r>
        <w:rPr>
          <w:rFonts w:hint="eastAsia" w:ascii="宋体" w:hAnsi="宋体"/>
          <w:sz w:val="24"/>
          <w:szCs w:val="24"/>
          <w:u w:val="single"/>
        </w:rPr>
        <w:t xml:space="preserve">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>贰</w:t>
      </w:r>
      <w:r>
        <w:rPr>
          <w:rFonts w:hint="eastAsia" w:ascii="宋体" w:hAnsi="宋体"/>
          <w:sz w:val="24"/>
          <w:szCs w:val="24"/>
          <w:u w:val="single"/>
        </w:rPr>
        <w:t xml:space="preserve"> </w:t>
      </w:r>
      <w:r>
        <w:rPr>
          <w:rFonts w:ascii="宋体" w:hAnsi="宋体"/>
          <w:sz w:val="24"/>
          <w:szCs w:val="24"/>
        </w:rPr>
        <w:t>份，乙方</w:t>
      </w:r>
      <w:r>
        <w:rPr>
          <w:rFonts w:hint="eastAsia" w:ascii="宋体" w:hAnsi="宋体"/>
          <w:sz w:val="24"/>
          <w:szCs w:val="24"/>
          <w:u w:val="single"/>
        </w:rPr>
        <w:t xml:space="preserve"> 贰 </w:t>
      </w:r>
      <w:r>
        <w:rPr>
          <w:rFonts w:ascii="宋体" w:hAnsi="宋体"/>
          <w:sz w:val="24"/>
          <w:szCs w:val="24"/>
        </w:rPr>
        <w:t>份。</w:t>
      </w:r>
    </w:p>
    <w:tbl>
      <w:tblPr>
        <w:tblStyle w:val="7"/>
        <w:tblW w:w="8774" w:type="dxa"/>
        <w:tblInd w:w="1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  <w:gridCol w:w="4574"/>
      </w:tblGrid>
      <w:tr w14:paraId="32AB3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00" w:type="dxa"/>
            <w:noWrap w:val="0"/>
            <w:vAlign w:val="top"/>
          </w:tcPr>
          <w:p w14:paraId="56E55007">
            <w:pPr>
              <w:pStyle w:val="4"/>
              <w:tabs>
                <w:tab w:val="left" w:pos="9062"/>
              </w:tabs>
              <w:spacing w:line="360" w:lineRule="auto"/>
              <w:ind w:right="1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甲方：</w:t>
            </w:r>
          </w:p>
        </w:tc>
        <w:tc>
          <w:tcPr>
            <w:tcW w:w="4574" w:type="dxa"/>
            <w:noWrap w:val="0"/>
            <w:vAlign w:val="top"/>
          </w:tcPr>
          <w:p w14:paraId="6E733C70">
            <w:pPr>
              <w:pStyle w:val="4"/>
              <w:tabs>
                <w:tab w:val="left" w:pos="9062"/>
              </w:tabs>
              <w:spacing w:line="360" w:lineRule="auto"/>
              <w:ind w:right="1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乙方： </w:t>
            </w:r>
          </w:p>
        </w:tc>
      </w:tr>
      <w:tr w14:paraId="75D55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00" w:type="dxa"/>
            <w:noWrap w:val="0"/>
            <w:vAlign w:val="top"/>
          </w:tcPr>
          <w:p w14:paraId="3AF150AD">
            <w:pPr>
              <w:pStyle w:val="4"/>
              <w:tabs>
                <w:tab w:val="left" w:pos="9062"/>
              </w:tabs>
              <w:spacing w:line="360" w:lineRule="auto"/>
              <w:ind w:right="1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名称(公章)</w:t>
            </w:r>
            <w:r>
              <w:rPr>
                <w:rFonts w:hint="eastAsia" w:ascii="宋体" w:hAnsi="宋体"/>
                <w:sz w:val="24"/>
                <w:szCs w:val="24"/>
              </w:rPr>
              <w:t>: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铜川市公安局新区分局</w:t>
            </w:r>
          </w:p>
        </w:tc>
        <w:tc>
          <w:tcPr>
            <w:tcW w:w="4574" w:type="dxa"/>
            <w:noWrap w:val="0"/>
            <w:vAlign w:val="top"/>
          </w:tcPr>
          <w:p w14:paraId="44689DB1">
            <w:pPr>
              <w:pStyle w:val="4"/>
              <w:tabs>
                <w:tab w:val="left" w:pos="9062"/>
              </w:tabs>
              <w:spacing w:line="360" w:lineRule="auto"/>
              <w:ind w:right="1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名称(公章)</w:t>
            </w:r>
            <w:r>
              <w:rPr>
                <w:rFonts w:hint="eastAsia" w:ascii="宋体" w:hAnsi="宋体"/>
                <w:sz w:val="24"/>
                <w:szCs w:val="24"/>
              </w:rPr>
              <w:t>: XXXXXXXXXXXX有限公司</w:t>
            </w:r>
          </w:p>
        </w:tc>
      </w:tr>
      <w:tr w14:paraId="3B2B7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00" w:type="dxa"/>
            <w:noWrap w:val="0"/>
            <w:vAlign w:val="top"/>
          </w:tcPr>
          <w:p w14:paraId="09F0CE8A">
            <w:pPr>
              <w:pStyle w:val="4"/>
              <w:tabs>
                <w:tab w:val="left" w:pos="9062"/>
              </w:tabs>
              <w:spacing w:line="360" w:lineRule="auto"/>
              <w:ind w:right="1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法定代表人或其授权代表（签字）：</w:t>
            </w:r>
          </w:p>
        </w:tc>
        <w:tc>
          <w:tcPr>
            <w:tcW w:w="4574" w:type="dxa"/>
            <w:noWrap w:val="0"/>
            <w:vAlign w:val="top"/>
          </w:tcPr>
          <w:p w14:paraId="07B36EBE">
            <w:pPr>
              <w:pStyle w:val="4"/>
              <w:tabs>
                <w:tab w:val="left" w:pos="9062"/>
              </w:tabs>
              <w:spacing w:line="360" w:lineRule="auto"/>
              <w:ind w:right="1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法定代表人或其授权代表（签字）：</w:t>
            </w:r>
          </w:p>
          <w:p w14:paraId="47F49946">
            <w:pPr>
              <w:pStyle w:val="4"/>
              <w:tabs>
                <w:tab w:val="left" w:pos="9062"/>
              </w:tabs>
              <w:spacing w:line="360" w:lineRule="auto"/>
              <w:ind w:right="100"/>
              <w:jc w:val="both"/>
              <w:rPr>
                <w:rFonts w:ascii="宋体" w:hAnsi="宋体"/>
                <w:sz w:val="24"/>
                <w:szCs w:val="24"/>
              </w:rPr>
            </w:pPr>
          </w:p>
        </w:tc>
      </w:tr>
      <w:tr w14:paraId="319F5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00" w:type="dxa"/>
            <w:noWrap w:val="0"/>
            <w:vAlign w:val="top"/>
          </w:tcPr>
          <w:p w14:paraId="144DEF02">
            <w:pPr>
              <w:pStyle w:val="4"/>
              <w:tabs>
                <w:tab w:val="left" w:pos="9062"/>
              </w:tabs>
              <w:spacing w:line="360" w:lineRule="auto"/>
              <w:ind w:right="1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开户银行：</w:t>
            </w:r>
          </w:p>
        </w:tc>
        <w:tc>
          <w:tcPr>
            <w:tcW w:w="4574" w:type="dxa"/>
            <w:noWrap w:val="0"/>
            <w:vAlign w:val="top"/>
          </w:tcPr>
          <w:p w14:paraId="5098E309">
            <w:pPr>
              <w:pStyle w:val="4"/>
              <w:tabs>
                <w:tab w:val="left" w:pos="9062"/>
              </w:tabs>
              <w:spacing w:line="360" w:lineRule="auto"/>
              <w:ind w:right="1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开户银行：</w:t>
            </w:r>
            <w:r>
              <w:rPr>
                <w:rFonts w:hint="eastAsia" w:ascii="宋体" w:hAnsi="宋体"/>
                <w:sz w:val="24"/>
                <w:szCs w:val="24"/>
              </w:rPr>
              <w:t>XXXXXXXXXXXXXXXXXXX行</w:t>
            </w:r>
          </w:p>
        </w:tc>
      </w:tr>
      <w:tr w14:paraId="41D21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00" w:type="dxa"/>
            <w:noWrap w:val="0"/>
            <w:vAlign w:val="top"/>
          </w:tcPr>
          <w:p w14:paraId="22136428">
            <w:pPr>
              <w:pStyle w:val="4"/>
              <w:tabs>
                <w:tab w:val="left" w:pos="9062"/>
              </w:tabs>
              <w:spacing w:line="360" w:lineRule="auto"/>
              <w:ind w:right="1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账号：</w:t>
            </w:r>
          </w:p>
        </w:tc>
        <w:tc>
          <w:tcPr>
            <w:tcW w:w="4574" w:type="dxa"/>
            <w:noWrap w:val="0"/>
            <w:vAlign w:val="top"/>
          </w:tcPr>
          <w:p w14:paraId="48C810A5">
            <w:pPr>
              <w:pStyle w:val="4"/>
              <w:tabs>
                <w:tab w:val="left" w:pos="9062"/>
              </w:tabs>
              <w:spacing w:line="360" w:lineRule="auto"/>
              <w:ind w:right="1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账号：</w:t>
            </w:r>
            <w:r>
              <w:rPr>
                <w:rFonts w:hint="eastAsia" w:ascii="宋体" w:hAnsi="宋体"/>
                <w:sz w:val="24"/>
                <w:szCs w:val="24"/>
              </w:rPr>
              <w:t>XXXXXXXXXXXXXXXX</w:t>
            </w:r>
          </w:p>
        </w:tc>
      </w:tr>
      <w:tr w14:paraId="6D103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00" w:type="dxa"/>
            <w:noWrap w:val="0"/>
            <w:vAlign w:val="top"/>
          </w:tcPr>
          <w:p w14:paraId="4AB46047">
            <w:pPr>
              <w:pStyle w:val="4"/>
              <w:tabs>
                <w:tab w:val="left" w:pos="9062"/>
              </w:tabs>
              <w:spacing w:line="360" w:lineRule="auto"/>
              <w:ind w:right="1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联系电话：</w:t>
            </w:r>
          </w:p>
        </w:tc>
        <w:tc>
          <w:tcPr>
            <w:tcW w:w="4574" w:type="dxa"/>
            <w:noWrap w:val="0"/>
            <w:vAlign w:val="top"/>
          </w:tcPr>
          <w:p w14:paraId="38AFC1D4">
            <w:pPr>
              <w:pStyle w:val="4"/>
              <w:tabs>
                <w:tab w:val="left" w:pos="9062"/>
              </w:tabs>
              <w:spacing w:line="360" w:lineRule="auto"/>
              <w:ind w:right="1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联系电话：</w:t>
            </w:r>
          </w:p>
        </w:tc>
      </w:tr>
      <w:tr w14:paraId="25D1E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00" w:type="dxa"/>
            <w:noWrap w:val="0"/>
            <w:vAlign w:val="top"/>
          </w:tcPr>
          <w:p w14:paraId="103242A2">
            <w:pPr>
              <w:pStyle w:val="4"/>
              <w:tabs>
                <w:tab w:val="left" w:pos="9062"/>
              </w:tabs>
              <w:spacing w:line="360" w:lineRule="auto"/>
              <w:ind w:right="1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签订日期</w:t>
            </w:r>
            <w:r>
              <w:rPr>
                <w:rFonts w:ascii="宋体" w:hAnsi="宋体"/>
                <w:sz w:val="24"/>
                <w:szCs w:val="24"/>
              </w:rPr>
              <w:t>：</w:t>
            </w:r>
          </w:p>
        </w:tc>
        <w:tc>
          <w:tcPr>
            <w:tcW w:w="4574" w:type="dxa"/>
            <w:noWrap w:val="0"/>
            <w:vAlign w:val="top"/>
          </w:tcPr>
          <w:p w14:paraId="73C6EE2F">
            <w:pPr>
              <w:pStyle w:val="4"/>
              <w:tabs>
                <w:tab w:val="left" w:pos="9062"/>
              </w:tabs>
              <w:spacing w:line="360" w:lineRule="auto"/>
              <w:ind w:right="1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签订日期</w:t>
            </w:r>
            <w:r>
              <w:rPr>
                <w:rFonts w:ascii="宋体" w:hAnsi="宋体"/>
                <w:sz w:val="24"/>
                <w:szCs w:val="24"/>
              </w:rPr>
              <w:t>：</w:t>
            </w:r>
          </w:p>
        </w:tc>
      </w:tr>
    </w:tbl>
    <w:p w14:paraId="06277D1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36575"/>
    <w:multiLevelType w:val="singleLevel"/>
    <w:tmpl w:val="7D936575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665F78"/>
    <w:rsid w:val="0687108E"/>
    <w:rsid w:val="16243FD4"/>
    <w:rsid w:val="45665F78"/>
    <w:rsid w:val="5C7F6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2">
    <w:name w:val="heading 4"/>
    <w:basedOn w:val="1"/>
    <w:next w:val="1"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jc w:val="center"/>
    </w:pPr>
  </w:style>
  <w:style w:type="paragraph" w:styleId="5">
    <w:name w:val="Body Text 2"/>
    <w:basedOn w:val="1"/>
    <w:uiPriority w:val="0"/>
    <w:rPr>
      <w:sz w:val="30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2820</Words>
  <Characters>2998</Characters>
  <Lines>0</Lines>
  <Paragraphs>0</Paragraphs>
  <TotalTime>7</TotalTime>
  <ScaleCrop>false</ScaleCrop>
  <LinksUpToDate>false</LinksUpToDate>
  <CharactersWithSpaces>3084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2025-11-27T10:25:00Z</dcterms:created>
  <dc:creator>陈晨</dc:creator>
  <cp:lastModifiedBy>Administrator</cp:lastModifiedBy>
  <dcterms:modified xsi:type="dcterms:W3CDTF">2026-06-08T03:45:22Z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5342C076E5A4494F97C863A7E308CB1F_11</vt:lpwstr>
  </property>
  <property fmtid="{D5CDD505-2E9C-101B-9397-08002B2CF9AE}" pid="4" name="KSOTemplateDocerSaveRecord">
    <vt:lpwstr>eyJoZGlkIjoiMzQzNjdhMTdjMmI0N2YzYzA5YjhkZjZjMzcwZDkxZDEiLCJ1c2VySWQiOiIyOTU4MDMyODQifQ==</vt:lpwstr>
  </property>
</Properties>
</file>