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版本号：SLHRC-2026-3620260809001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镇安县云盖寺镇花园安置区道路建设项目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SLHRC-2026-36</w:t>
      </w:r>
      <w:r>
        <w:br/>
      </w:r>
      <w:r>
        <w:br/>
      </w:r>
      <w:r>
        <w:br/>
      </w:r>
    </w:p>
    <w:p>
      <w:pPr>
        <w:pStyle w:val="null3"/>
        <w:jc w:val="center"/>
        <w:outlineLvl w:val="2"/>
      </w:pPr>
      <w:r>
        <w:rPr>
          <w:rFonts w:ascii="仿宋_GB2312" w:hAnsi="仿宋_GB2312" w:cs="仿宋_GB2312" w:eastAsia="仿宋_GB2312"/>
          <w:sz w:val="28"/>
          <w:b/>
        </w:rPr>
        <w:t>镇安县发展改革局（本级）</w:t>
      </w:r>
    </w:p>
    <w:p>
      <w:pPr>
        <w:pStyle w:val="null3"/>
        <w:jc w:val="center"/>
        <w:outlineLvl w:val="2"/>
      </w:pPr>
      <w:r>
        <w:rPr>
          <w:rFonts w:ascii="仿宋_GB2312" w:hAnsi="仿宋_GB2312" w:cs="仿宋_GB2312" w:eastAsia="仿宋_GB2312"/>
          <w:sz w:val="28"/>
          <w:b/>
        </w:rPr>
        <w:t>商洛华瑞诚项目管理咨询有限公司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2026年08月09日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商洛华瑞诚项目管理咨询有限公司</w:t>
      </w:r>
      <w:r>
        <w:rPr>
          <w:rFonts w:ascii="仿宋_GB2312" w:hAnsi="仿宋_GB2312" w:cs="仿宋_GB2312" w:eastAsia="仿宋_GB2312"/>
        </w:rPr>
        <w:t>（以下简称“代理机构”）受</w:t>
      </w:r>
      <w:r>
        <w:rPr>
          <w:rFonts w:ascii="仿宋_GB2312" w:hAnsi="仿宋_GB2312" w:cs="仿宋_GB2312" w:eastAsia="仿宋_GB2312"/>
        </w:rPr>
        <w:t>镇安县发展改革局（本级）</w:t>
      </w:r>
      <w:r>
        <w:rPr>
          <w:rFonts w:ascii="仿宋_GB2312" w:hAnsi="仿宋_GB2312" w:cs="仿宋_GB2312" w:eastAsia="仿宋_GB2312"/>
        </w:rPr>
        <w:t>委托，拟对</w:t>
      </w:r>
      <w:r>
        <w:rPr>
          <w:rFonts w:ascii="仿宋_GB2312" w:hAnsi="仿宋_GB2312" w:cs="仿宋_GB2312" w:eastAsia="仿宋_GB2312"/>
        </w:rPr>
        <w:t>镇安县云盖寺镇花园安置区道路建设项目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SLHRC-2026-36</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镇安县云盖寺镇花园安置区道路建设项目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硬化花园社区道路725米，铺设宽度7.0米，厚20厘米水泥混凝土面层5200平方米。新建雨污水管道1680米；透水混凝土人行道1500平方米。主要建设内容为土石方开挖3800立方米，边坡防护与加固900立方米，铺设18厘米水泥稳定碎石基层5900平方米，铺筑18厘米水泥混凝土面层9540平方米;埋设钢筋砼雨水管705米，钢筋砼污水管975米;铺设人行步道1500平方米。（具体内容详见施工图及工程量清单全部内容）。</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采购包1（镇安县云盖寺镇花园安置区道路建设项目）：属于专门面向中小企业采购。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1、营业执照等主体资格证明文件：具有独立承担民事责任能力的法人、其他组织或自然人，提供合法有效的营业执照（事业单位提供事业单位法人证书，自然人提供身份证）；</w:t>
      </w:r>
    </w:p>
    <w:p>
      <w:pPr>
        <w:pStyle w:val="null3"/>
      </w:pPr>
      <w:r>
        <w:rPr>
          <w:rFonts w:ascii="仿宋_GB2312" w:hAnsi="仿宋_GB2312" w:cs="仿宋_GB2312" w:eastAsia="仿宋_GB2312"/>
        </w:rPr>
        <w:t>2、财务状况报告：提供2025年度的财务审计报告（包括资产负债表、现金流量表、利润表且审计报告应当有注册会计师行业统一监管平台备案赋码，赋码清晰可查，附会计师行业统一监管平台查询截图），或成立时间至提交投标文件递交截止时间不足一年的可提供递交投标文件截止时间前三个月内投标人基本账户开户银行出具的资信证明；</w:t>
      </w:r>
    </w:p>
    <w:p>
      <w:pPr>
        <w:pStyle w:val="null3"/>
      </w:pPr>
      <w:r>
        <w:rPr>
          <w:rFonts w:ascii="仿宋_GB2312" w:hAnsi="仿宋_GB2312" w:cs="仿宋_GB2312" w:eastAsia="仿宋_GB2312"/>
        </w:rPr>
        <w:t>3、税收缴纳证明：提供投标截止日前半年内已缴纳任意1个月的纳税证明或完税证明（任意税种），依法免税的单位应提供相关的证明材料；</w:t>
      </w:r>
    </w:p>
    <w:p>
      <w:pPr>
        <w:pStyle w:val="null3"/>
      </w:pPr>
      <w:r>
        <w:rPr>
          <w:rFonts w:ascii="仿宋_GB2312" w:hAnsi="仿宋_GB2312" w:cs="仿宋_GB2312" w:eastAsia="仿宋_GB2312"/>
        </w:rPr>
        <w:t>4、社会保障资金缴纳证明：提供投标截止日前半年内已缴存的任意1个月的社会保障资金缴存单据或社保机构开具的社会保险参保缴费情况证明；依法不需要缴纳社会保障资金的单位应提供相关证明材料；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5、书面声明：参加政府采购活动前三年内，在经营活动中无重大违法记录的书面声明；</w:t>
      </w:r>
    </w:p>
    <w:p>
      <w:pPr>
        <w:pStyle w:val="null3"/>
      </w:pPr>
      <w:r>
        <w:rPr>
          <w:rFonts w:ascii="仿宋_GB2312" w:hAnsi="仿宋_GB2312" w:cs="仿宋_GB2312" w:eastAsia="仿宋_GB2312"/>
        </w:rPr>
        <w:t>6、承诺函：提供具有履行合同所必需的设备和专业技术能力的承诺函；</w:t>
      </w:r>
    </w:p>
    <w:p>
      <w:pPr>
        <w:pStyle w:val="null3"/>
      </w:pPr>
      <w:r>
        <w:rPr>
          <w:rFonts w:ascii="仿宋_GB2312" w:hAnsi="仿宋_GB2312" w:cs="仿宋_GB2312" w:eastAsia="仿宋_GB2312"/>
        </w:rPr>
        <w:t>7、信誉要求：提供《供应商信用记录书面声明函》（按格式填写，提供原件）。供应商未被列入“信用中国”网站记录的“失信被执行人”“重大税收违法案件当事人”名单；不处于“中国政府采购网”记录的“政府采购严重违法失信行为记录名单”中的禁止参加政府采购活动期间；</w:t>
      </w:r>
    </w:p>
    <w:p>
      <w:pPr>
        <w:pStyle w:val="null3"/>
      </w:pPr>
      <w:r>
        <w:rPr>
          <w:rFonts w:ascii="仿宋_GB2312" w:hAnsi="仿宋_GB2312" w:cs="仿宋_GB2312" w:eastAsia="仿宋_GB2312"/>
        </w:rPr>
        <w:t>8、法定代表人授权委托书：法定代表人授权书及被授权人身份证明（法定代表人直接参与投标只需提供其身份证明）；</w:t>
      </w:r>
    </w:p>
    <w:p>
      <w:pPr>
        <w:pStyle w:val="null3"/>
      </w:pPr>
      <w:r>
        <w:rPr>
          <w:rFonts w:ascii="仿宋_GB2312" w:hAnsi="仿宋_GB2312" w:cs="仿宋_GB2312" w:eastAsia="仿宋_GB2312"/>
        </w:rPr>
        <w:t>9、公司资质及项目经理资格证书：供应商须具备建设行政主管部门颁发的市政公用工程施工总承包二级及以上资质，并具有安全生产许可证，以上证件合法有效；拟派项目经理须具备市政公用工程专业二级及以上注册建造师资格，具有有效的安全生产考核合格证书，且在本单位注册，无在建工程（提供承诺书）；</w:t>
      </w:r>
    </w:p>
    <w:p>
      <w:pPr>
        <w:pStyle w:val="null3"/>
      </w:pPr>
      <w:r>
        <w:rPr>
          <w:rFonts w:ascii="仿宋_GB2312" w:hAnsi="仿宋_GB2312" w:cs="仿宋_GB2312" w:eastAsia="仿宋_GB2312"/>
        </w:rPr>
        <w:t>10、本项目不接受联合体投标，不允许分包：供应商提供《非联合体不分包投标声明》，视为独立投标，不分包；</w:t>
      </w:r>
    </w:p>
    <w:p>
      <w:pPr>
        <w:pStyle w:val="null3"/>
      </w:pPr>
      <w:r>
        <w:rPr>
          <w:rFonts w:ascii="仿宋_GB2312" w:hAnsi="仿宋_GB2312" w:cs="仿宋_GB2312" w:eastAsia="仿宋_GB2312"/>
        </w:rPr>
        <w:t>11、书面声明：本项目为以工代赈项目，按县发改局《关于下达2026年省级苏陕协作项目资金计划的通知》(镇发改发[2026]38号)精神落实政策。</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镇安县发展改革局（本级）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镇安县前街100号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711599</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镇安县发展和改革局</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13891415456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商洛华瑞诚项目管理咨询有限公司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商洛市商州区全兴紫苑6号楼1单元101室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726000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郭春梅</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13098221030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镇安县政府采购管理股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刘根子</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13154072255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采购包1：2,818,000.00元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 xml:space="preserve"> /</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按国家计委颁发的《招标代理服务收费管理暂行办法》（计价格〔2002〕1980号）和国家发展和改革委员会办公厅颁发的《关于招标代理服务收费有关问题的通知》（发改办价格〔2011〕534号）的有关标准执行。</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镇安县发展改革局（本级）</w:t>
      </w:r>
      <w:r>
        <w:rPr>
          <w:rFonts w:ascii="仿宋_GB2312" w:hAnsi="仿宋_GB2312" w:cs="仿宋_GB2312" w:eastAsia="仿宋_GB2312"/>
        </w:rPr>
        <w:t>和</w:t>
      </w:r>
      <w:r>
        <w:rPr>
          <w:rFonts w:ascii="仿宋_GB2312" w:hAnsi="仿宋_GB2312" w:cs="仿宋_GB2312" w:eastAsia="仿宋_GB2312"/>
        </w:rPr>
        <w:t>商洛华瑞诚项目管理咨询有限公司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镇安县发展改革局（本级）</w:t>
      </w:r>
      <w:r>
        <w:rPr>
          <w:rFonts w:ascii="仿宋_GB2312" w:hAnsi="仿宋_GB2312" w:cs="仿宋_GB2312" w:eastAsia="仿宋_GB2312"/>
        </w:rPr>
        <w:t>负责解释。除上述磋商文件内容，其他内容由</w:t>
      </w:r>
      <w:r>
        <w:rPr>
          <w:rFonts w:ascii="仿宋_GB2312" w:hAnsi="仿宋_GB2312" w:cs="仿宋_GB2312" w:eastAsia="仿宋_GB2312"/>
        </w:rPr>
        <w:t>商洛华瑞诚项目管理咨询有限公司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镇安县发展改革局（本级）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商洛华瑞诚项目管理咨询有限公司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1）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2）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 （3）如采用供应商所不拥有的知识产权，则在报价中必须包括合法使用该知识产权的相关费用。 （4）构成本采购文件的各组成部分，未经采购人书面同意，供应商不得擅自复印或用于非本采购项目所需的其他目的。</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严格按照图纸、工程量清单施工，工程质量达到验收合格标准，资料齐全完整，无质量缺陷。</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商洛华瑞诚项目管理咨询有限公司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商洛华瑞诚项目管理咨询有限公司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商洛华瑞诚项目管理咨询有限公司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联系人：郭女士</w:t>
      </w:r>
    </w:p>
    <w:p>
      <w:pPr>
        <w:pStyle w:val="null3"/>
      </w:pPr>
      <w:r>
        <w:rPr>
          <w:rFonts w:ascii="仿宋_GB2312" w:hAnsi="仿宋_GB2312" w:cs="仿宋_GB2312" w:eastAsia="仿宋_GB2312"/>
        </w:rPr>
        <w:t>联系电话：13098221030</w:t>
      </w:r>
    </w:p>
    <w:p>
      <w:pPr>
        <w:pStyle w:val="null3"/>
      </w:pPr>
      <w:r>
        <w:rPr>
          <w:rFonts w:ascii="仿宋_GB2312" w:hAnsi="仿宋_GB2312" w:cs="仿宋_GB2312" w:eastAsia="仿宋_GB2312"/>
        </w:rPr>
        <w:t>地址：商洛市商州区全兴紫苑6号楼1单元101室</w:t>
      </w:r>
    </w:p>
    <w:p>
      <w:pPr>
        <w:pStyle w:val="null3"/>
      </w:pPr>
      <w:r>
        <w:rPr>
          <w:rFonts w:ascii="仿宋_GB2312" w:hAnsi="仿宋_GB2312" w:cs="仿宋_GB2312" w:eastAsia="仿宋_GB2312"/>
        </w:rPr>
        <w:t>邮编：726000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2,818,000.00</w:t>
      </w:r>
    </w:p>
    <w:p>
      <w:pPr>
        <w:pStyle w:val="null3"/>
      </w:pPr>
      <w:r>
        <w:rPr>
          <w:rFonts w:ascii="仿宋_GB2312" w:hAnsi="仿宋_GB2312" w:cs="仿宋_GB2312" w:eastAsia="仿宋_GB2312"/>
        </w:rPr>
        <w:t>采购包最高限价（元）: 2,818,000.00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硬化花园社区道路725米，铺设宽度7.0米，厚20厘米水泥混凝土面层5200平方米。</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2,818,000.00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标的名称：硬化花园社区道路725米，铺设宽度7.0米，厚20厘米水泥混凝土面层5200平方米。</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18"/>
                <w:b/>
              </w:rPr>
              <w:t>一</w:t>
            </w:r>
            <w:r>
              <w:rPr>
                <w:rFonts w:ascii="仿宋_GB2312" w:hAnsi="仿宋_GB2312" w:cs="仿宋_GB2312" w:eastAsia="仿宋_GB2312"/>
                <w:sz w:val="18"/>
                <w:b/>
              </w:rPr>
              <w:t>、</w:t>
            </w:r>
            <w:r>
              <w:rPr>
                <w:rFonts w:ascii="仿宋_GB2312" w:hAnsi="仿宋_GB2312" w:cs="仿宋_GB2312" w:eastAsia="仿宋_GB2312"/>
                <w:sz w:val="18"/>
                <w:b/>
              </w:rPr>
              <w:t>商务</w:t>
            </w:r>
            <w:r>
              <w:rPr>
                <w:rFonts w:ascii="仿宋_GB2312" w:hAnsi="仿宋_GB2312" w:cs="仿宋_GB2312" w:eastAsia="仿宋_GB2312"/>
                <w:sz w:val="18"/>
                <w:b/>
              </w:rPr>
              <w:t>要求</w:t>
            </w:r>
          </w:p>
          <w:p>
            <w:pPr>
              <w:pStyle w:val="null3"/>
              <w:ind w:firstLine="420"/>
              <w:jc w:val="both"/>
            </w:pPr>
            <w:r>
              <w:rPr>
                <w:rFonts w:ascii="仿宋_GB2312" w:hAnsi="仿宋_GB2312" w:cs="仿宋_GB2312" w:eastAsia="仿宋_GB2312"/>
                <w:sz w:val="18"/>
              </w:rPr>
              <w:t>1、</w:t>
            </w:r>
            <w:r>
              <w:rPr>
                <w:rFonts w:ascii="仿宋_GB2312" w:hAnsi="仿宋_GB2312" w:cs="仿宋_GB2312" w:eastAsia="仿宋_GB2312"/>
                <w:sz w:val="18"/>
              </w:rPr>
              <w:t>工期：</w:t>
            </w:r>
            <w:r>
              <w:rPr>
                <w:rFonts w:ascii="仿宋_GB2312" w:hAnsi="仿宋_GB2312" w:cs="仿宋_GB2312" w:eastAsia="仿宋_GB2312"/>
                <w:sz w:val="18"/>
              </w:rPr>
              <w:t>120</w:t>
            </w:r>
            <w:r>
              <w:rPr>
                <w:rFonts w:ascii="仿宋_GB2312" w:hAnsi="仿宋_GB2312" w:cs="仿宋_GB2312" w:eastAsia="仿宋_GB2312"/>
                <w:sz w:val="18"/>
              </w:rPr>
              <w:t>日历天。</w:t>
            </w:r>
          </w:p>
          <w:p>
            <w:pPr>
              <w:pStyle w:val="null3"/>
              <w:ind w:firstLine="420"/>
              <w:jc w:val="both"/>
            </w:pPr>
            <w:r>
              <w:rPr>
                <w:rFonts w:ascii="仿宋_GB2312" w:hAnsi="仿宋_GB2312" w:cs="仿宋_GB2312" w:eastAsia="仿宋_GB2312"/>
                <w:sz w:val="18"/>
              </w:rPr>
              <w:t>2、</w:t>
            </w:r>
            <w:r>
              <w:rPr>
                <w:rFonts w:ascii="仿宋_GB2312" w:hAnsi="仿宋_GB2312" w:cs="仿宋_GB2312" w:eastAsia="仿宋_GB2312"/>
                <w:sz w:val="18"/>
              </w:rPr>
              <w:t>质量要求：符合国家现行有关施工质量验收规范</w:t>
            </w:r>
            <w:r>
              <w:rPr>
                <w:rFonts w:ascii="仿宋_GB2312" w:hAnsi="仿宋_GB2312" w:cs="仿宋_GB2312" w:eastAsia="仿宋_GB2312"/>
                <w:sz w:val="18"/>
              </w:rPr>
              <w:t>“合格”要求。</w:t>
            </w:r>
          </w:p>
          <w:p>
            <w:pPr>
              <w:pStyle w:val="null3"/>
              <w:ind w:firstLine="420"/>
              <w:jc w:val="both"/>
            </w:pPr>
            <w:r>
              <w:rPr>
                <w:rFonts w:ascii="仿宋_GB2312" w:hAnsi="仿宋_GB2312" w:cs="仿宋_GB2312" w:eastAsia="仿宋_GB2312"/>
                <w:sz w:val="18"/>
              </w:rPr>
              <w:t>3、</w:t>
            </w:r>
            <w:r>
              <w:rPr>
                <w:rFonts w:ascii="仿宋_GB2312" w:hAnsi="仿宋_GB2312" w:cs="仿宋_GB2312" w:eastAsia="仿宋_GB2312"/>
                <w:sz w:val="18"/>
              </w:rPr>
              <w:t>安全目标：杜绝安全责任事故，减少一般安全事故，力争安全事故为零</w:t>
            </w:r>
            <w:r>
              <w:rPr>
                <w:rFonts w:ascii="仿宋_GB2312" w:hAnsi="仿宋_GB2312" w:cs="仿宋_GB2312" w:eastAsia="仿宋_GB2312"/>
                <w:sz w:val="18"/>
              </w:rPr>
              <w:t>。</w:t>
            </w:r>
          </w:p>
          <w:p>
            <w:pPr>
              <w:pStyle w:val="null3"/>
              <w:ind w:firstLine="420"/>
              <w:jc w:val="left"/>
            </w:pPr>
            <w:r>
              <w:rPr>
                <w:rFonts w:ascii="仿宋_GB2312" w:hAnsi="仿宋_GB2312" w:cs="仿宋_GB2312" w:eastAsia="仿宋_GB2312"/>
                <w:sz w:val="18"/>
              </w:rPr>
              <w:t>4、付款方式：</w:t>
            </w:r>
            <w:r>
              <w:rPr>
                <w:rFonts w:ascii="仿宋_GB2312" w:hAnsi="仿宋_GB2312" w:cs="仿宋_GB2312" w:eastAsia="仿宋_GB2312"/>
                <w:sz w:val="18"/>
              </w:rPr>
              <w:t>合同签订正式开工后，甲方预付给乙方不超过合同总价款的</w:t>
            </w:r>
            <w:r>
              <w:rPr>
                <w:rFonts w:ascii="仿宋_GB2312" w:hAnsi="仿宋_GB2312" w:cs="仿宋_GB2312" w:eastAsia="仿宋_GB2312"/>
                <w:sz w:val="18"/>
              </w:rPr>
              <w:t xml:space="preserve">30%作为预付工程款；合同工程期内，按照工程施工进度支付，完成工程量80%，现场核实后，支付合同总金额的40.0%；竣工验收合格后支付工程决算价款的27%，剩余的3%作为质量保证金；质保期满，支付合同总金额的3.0%。 </w:t>
            </w:r>
            <w:r>
              <w:rPr>
                <w:rFonts w:ascii="仿宋_GB2312" w:hAnsi="仿宋_GB2312" w:cs="仿宋_GB2312" w:eastAsia="仿宋_GB2312"/>
                <w:sz w:val="18"/>
              </w:rPr>
              <w:t>最终支付方式以双方签订服务合同为准。</w:t>
            </w:r>
          </w:p>
          <w:p>
            <w:pPr>
              <w:pStyle w:val="null3"/>
              <w:ind w:firstLine="420"/>
              <w:jc w:val="both"/>
            </w:pPr>
            <w:r>
              <w:rPr>
                <w:rFonts w:ascii="仿宋_GB2312" w:hAnsi="仿宋_GB2312" w:cs="仿宋_GB2312" w:eastAsia="仿宋_GB2312"/>
                <w:sz w:val="18"/>
              </w:rPr>
              <w:t>5、结算方式:银行转账，乙方在接受付款前，开具相应度发票给甲方。</w:t>
            </w:r>
          </w:p>
          <w:p>
            <w:pPr>
              <w:pStyle w:val="null3"/>
              <w:ind w:firstLine="420"/>
              <w:jc w:val="both"/>
            </w:pPr>
            <w:r>
              <w:rPr>
                <w:rFonts w:ascii="仿宋_GB2312" w:hAnsi="仿宋_GB2312" w:cs="仿宋_GB2312" w:eastAsia="仿宋_GB2312"/>
                <w:sz w:val="18"/>
              </w:rPr>
              <w:t>6、</w:t>
            </w:r>
            <w:r>
              <w:rPr>
                <w:rFonts w:ascii="仿宋_GB2312" w:hAnsi="仿宋_GB2312" w:cs="仿宋_GB2312" w:eastAsia="仿宋_GB2312"/>
                <w:sz w:val="18"/>
              </w:rPr>
              <w:t>项目以工代赈要求：本项目采用</w:t>
            </w:r>
            <w:r>
              <w:rPr>
                <w:rFonts w:ascii="仿宋_GB2312" w:hAnsi="仿宋_GB2312" w:cs="仿宋_GB2312" w:eastAsia="仿宋_GB2312"/>
                <w:sz w:val="18"/>
              </w:rPr>
              <w:t>“农村公益性基础设施建设+劳务报酬发放+就业技能培训+公益性岗位设置”的模式。在项目实施过程中将尽可能地提升劳务报酬比例，严格把握“务工是手段、赈济是目的”的政策内涵，确保以工代赈项目资金安排在有就业需求、劳务报酬能发放到位的地方。</w:t>
            </w:r>
          </w:p>
          <w:p>
            <w:pPr>
              <w:pStyle w:val="null3"/>
              <w:ind w:firstLine="420"/>
              <w:jc w:val="both"/>
            </w:pPr>
            <w:r>
              <w:rPr>
                <w:rFonts w:ascii="仿宋_GB2312" w:hAnsi="仿宋_GB2312" w:cs="仿宋_GB2312" w:eastAsia="仿宋_GB2312"/>
                <w:sz w:val="18"/>
              </w:rPr>
              <w:t>（</w:t>
            </w:r>
            <w:r>
              <w:rPr>
                <w:rFonts w:ascii="仿宋_GB2312" w:hAnsi="仿宋_GB2312" w:cs="仿宋_GB2312" w:eastAsia="仿宋_GB2312"/>
                <w:sz w:val="18"/>
              </w:rPr>
              <w:t>1</w:t>
            </w:r>
            <w:r>
              <w:rPr>
                <w:rFonts w:ascii="仿宋_GB2312" w:hAnsi="仿宋_GB2312" w:cs="仿宋_GB2312" w:eastAsia="仿宋_GB2312"/>
                <w:sz w:val="18"/>
              </w:rPr>
              <w:t>）</w:t>
            </w:r>
            <w:r>
              <w:rPr>
                <w:rFonts w:ascii="仿宋_GB2312" w:hAnsi="仿宋_GB2312" w:cs="仿宋_GB2312" w:eastAsia="仿宋_GB2312"/>
                <w:sz w:val="18"/>
              </w:rPr>
              <w:t>群众务工组织（实质性要求）：吸纳云盖寺镇为主的群众参与工程项目建设。</w:t>
            </w:r>
          </w:p>
          <w:p>
            <w:pPr>
              <w:pStyle w:val="null3"/>
              <w:ind w:firstLine="420"/>
              <w:jc w:val="both"/>
            </w:pPr>
            <w:r>
              <w:rPr>
                <w:rFonts w:ascii="仿宋_GB2312" w:hAnsi="仿宋_GB2312" w:cs="仿宋_GB2312" w:eastAsia="仿宋_GB2312"/>
                <w:sz w:val="18"/>
              </w:rPr>
              <w:t>（</w:t>
            </w:r>
            <w:r>
              <w:rPr>
                <w:rFonts w:ascii="仿宋_GB2312" w:hAnsi="仿宋_GB2312" w:cs="仿宋_GB2312" w:eastAsia="仿宋_GB2312"/>
                <w:sz w:val="18"/>
              </w:rPr>
              <w:t>2</w:t>
            </w:r>
            <w:r>
              <w:rPr>
                <w:rFonts w:ascii="仿宋_GB2312" w:hAnsi="仿宋_GB2312" w:cs="仿宋_GB2312" w:eastAsia="仿宋_GB2312"/>
                <w:sz w:val="18"/>
              </w:rPr>
              <w:t>）</w:t>
            </w:r>
            <w:r>
              <w:rPr>
                <w:rFonts w:ascii="仿宋_GB2312" w:hAnsi="仿宋_GB2312" w:cs="仿宋_GB2312" w:eastAsia="仿宋_GB2312"/>
                <w:sz w:val="18"/>
              </w:rPr>
              <w:t>严格按照县发改局《关于下达</w:t>
            </w:r>
            <w:r>
              <w:rPr>
                <w:rFonts w:ascii="仿宋_GB2312" w:hAnsi="仿宋_GB2312" w:cs="仿宋_GB2312" w:eastAsia="仿宋_GB2312"/>
                <w:sz w:val="18"/>
              </w:rPr>
              <w:t>2026年省级苏陕协作项目资金计划的通知》(镇发改发[2026]38号)文件落实政策，本项目采取“中标单位+劳务公司+当地群众”方式进行劳务组织。在施工过程中能用人工的尽量不用机械，能用当地群众的尽量不用专业队伍。吸纳务工人员以云盖寺镇的群众为主，预计带动当地群众务工64人，同时，结合项目所需劳动技能，采取“培训+上岗”的模式，开展劳务技能培训64人。项目建成后，针对困难群众设置公益性岗位2个，每人每年发放工资6000元。（投标人必须对此项作出书面承诺响应。无书面承诺，按无效投标处理。）</w:t>
            </w:r>
          </w:p>
          <w:p>
            <w:pPr>
              <w:pStyle w:val="null3"/>
              <w:ind w:firstLine="420"/>
              <w:jc w:val="both"/>
            </w:pPr>
            <w:r>
              <w:rPr>
                <w:rFonts w:ascii="仿宋_GB2312" w:hAnsi="仿宋_GB2312" w:cs="仿宋_GB2312" w:eastAsia="仿宋_GB2312"/>
                <w:sz w:val="18"/>
              </w:rPr>
              <w:t>（</w:t>
            </w:r>
            <w:r>
              <w:rPr>
                <w:rFonts w:ascii="仿宋_GB2312" w:hAnsi="仿宋_GB2312" w:cs="仿宋_GB2312" w:eastAsia="仿宋_GB2312"/>
                <w:sz w:val="18"/>
              </w:rPr>
              <w:t>3</w:t>
            </w:r>
            <w:r>
              <w:rPr>
                <w:rFonts w:ascii="仿宋_GB2312" w:hAnsi="仿宋_GB2312" w:cs="仿宋_GB2312" w:eastAsia="仿宋_GB2312"/>
                <w:sz w:val="18"/>
              </w:rPr>
              <w:t>）</w:t>
            </w:r>
            <w:r>
              <w:rPr>
                <w:rFonts w:ascii="仿宋_GB2312" w:hAnsi="仿宋_GB2312" w:cs="仿宋_GB2312" w:eastAsia="仿宋_GB2312"/>
                <w:sz w:val="18"/>
              </w:rPr>
              <w:t>劳务报酬发放（实质性要求）：向云盖寺镇为主的群众发放劳务报酬不少于</w:t>
            </w:r>
            <w:r>
              <w:rPr>
                <w:rFonts w:ascii="仿宋_GB2312" w:hAnsi="仿宋_GB2312" w:cs="仿宋_GB2312" w:eastAsia="仿宋_GB2312"/>
                <w:sz w:val="18"/>
              </w:rPr>
              <w:t>121万元。（投标人必须对此项作出书面承诺响应。无书面承诺，按无效投标处理。）</w:t>
            </w:r>
          </w:p>
          <w:p>
            <w:pPr>
              <w:pStyle w:val="null3"/>
              <w:ind w:firstLine="422"/>
              <w:jc w:val="both"/>
            </w:pPr>
            <w:r>
              <w:rPr>
                <w:rFonts w:ascii="仿宋_GB2312" w:hAnsi="仿宋_GB2312" w:cs="仿宋_GB2312" w:eastAsia="仿宋_GB2312"/>
                <w:sz w:val="18"/>
                <w:b/>
              </w:rPr>
              <w:t>二、工程量清单编制依据</w:t>
            </w:r>
          </w:p>
          <w:p>
            <w:pPr>
              <w:pStyle w:val="null3"/>
              <w:ind w:firstLine="420"/>
              <w:jc w:val="both"/>
            </w:pPr>
            <w:r>
              <w:rPr>
                <w:rFonts w:ascii="仿宋_GB2312" w:hAnsi="仿宋_GB2312" w:cs="仿宋_GB2312" w:eastAsia="仿宋_GB2312"/>
                <w:sz w:val="18"/>
              </w:rPr>
              <w:t>1、“镇安县云盖寺镇花园安置区道路建设项目”预算书;</w:t>
            </w:r>
          </w:p>
          <w:p>
            <w:pPr>
              <w:pStyle w:val="null3"/>
              <w:ind w:firstLine="420"/>
              <w:jc w:val="both"/>
            </w:pPr>
            <w:r>
              <w:rPr>
                <w:rFonts w:ascii="仿宋_GB2312" w:hAnsi="仿宋_GB2312" w:cs="仿宋_GB2312" w:eastAsia="仿宋_GB2312"/>
                <w:sz w:val="18"/>
              </w:rPr>
              <w:t>2、</w:t>
            </w:r>
            <w:r>
              <w:rPr>
                <w:rFonts w:ascii="仿宋_GB2312" w:hAnsi="仿宋_GB2312" w:cs="仿宋_GB2312" w:eastAsia="仿宋_GB2312"/>
                <w:sz w:val="18"/>
              </w:rPr>
              <w:t>“镇安县云盖寺镇花园安置区道路建设项目”一阶段施工图设计；</w:t>
            </w:r>
          </w:p>
          <w:p>
            <w:pPr>
              <w:pStyle w:val="null3"/>
              <w:ind w:firstLine="420"/>
              <w:jc w:val="both"/>
            </w:pPr>
            <w:r>
              <w:rPr>
                <w:rFonts w:ascii="仿宋_GB2312" w:hAnsi="仿宋_GB2312" w:cs="仿宋_GB2312" w:eastAsia="仿宋_GB2312"/>
                <w:sz w:val="18"/>
              </w:rPr>
              <w:t>3、</w:t>
            </w:r>
            <w:r>
              <w:rPr>
                <w:rFonts w:ascii="仿宋_GB2312" w:hAnsi="仿宋_GB2312" w:cs="仿宋_GB2312" w:eastAsia="仿宋_GB2312"/>
                <w:sz w:val="18"/>
              </w:rPr>
              <w:t>《建设工程工程量清单计价标准》</w:t>
            </w:r>
            <w:r>
              <w:rPr>
                <w:rFonts w:ascii="仿宋_GB2312" w:hAnsi="仿宋_GB2312" w:cs="仿宋_GB2312" w:eastAsia="仿宋_GB2312"/>
                <w:sz w:val="18"/>
              </w:rPr>
              <w:t>GB/T</w:t>
            </w:r>
            <w:r>
              <w:rPr>
                <w:rFonts w:ascii="仿宋_GB2312" w:hAnsi="仿宋_GB2312" w:cs="仿宋_GB2312" w:eastAsia="仿宋_GB2312"/>
                <w:sz w:val="18"/>
              </w:rPr>
              <w:t>50500-2024、;陕西省《建设工程工程量清单计价标准》（</w:t>
            </w:r>
            <w:r>
              <w:rPr>
                <w:rFonts w:ascii="仿宋_GB2312" w:hAnsi="仿宋_GB2312" w:cs="仿宋_GB2312" w:eastAsia="仿宋_GB2312"/>
                <w:sz w:val="18"/>
              </w:rPr>
              <w:t>DB 61/T 5126-2025</w:t>
            </w:r>
            <w:r>
              <w:rPr>
                <w:rFonts w:ascii="仿宋_GB2312" w:hAnsi="仿宋_GB2312" w:cs="仿宋_GB2312" w:eastAsia="仿宋_GB2312"/>
                <w:sz w:val="18"/>
              </w:rPr>
              <w:t>）</w:t>
            </w:r>
            <w:r>
              <w:rPr>
                <w:rFonts w:ascii="仿宋_GB2312" w:hAnsi="仿宋_GB2312" w:cs="仿宋_GB2312" w:eastAsia="仿宋_GB2312"/>
                <w:sz w:val="18"/>
              </w:rPr>
              <w:t>;</w:t>
            </w:r>
          </w:p>
          <w:p>
            <w:pPr>
              <w:pStyle w:val="null3"/>
              <w:ind w:firstLine="420"/>
              <w:jc w:val="both"/>
            </w:pPr>
            <w:r>
              <w:rPr>
                <w:rFonts w:ascii="仿宋_GB2312" w:hAnsi="仿宋_GB2312" w:cs="仿宋_GB2312" w:eastAsia="仿宋_GB2312"/>
                <w:sz w:val="18"/>
              </w:rPr>
              <w:t>4、《陕西省建设工程费用规则</w:t>
            </w:r>
            <w:r>
              <w:rPr>
                <w:rFonts w:ascii="仿宋_GB2312" w:hAnsi="仿宋_GB2312" w:cs="仿宋_GB2312" w:eastAsia="仿宋_GB2312"/>
                <w:sz w:val="18"/>
              </w:rPr>
              <w:t>》</w:t>
            </w:r>
            <w:r>
              <w:rPr>
                <w:rFonts w:ascii="仿宋_GB2312" w:hAnsi="仿宋_GB2312" w:cs="仿宋_GB2312" w:eastAsia="仿宋_GB2312"/>
                <w:sz w:val="18"/>
              </w:rPr>
              <w:t xml:space="preserve"> </w:t>
            </w:r>
            <w:r>
              <w:rPr>
                <w:rFonts w:ascii="仿宋_GB2312" w:hAnsi="仿宋_GB2312" w:cs="仿宋_GB2312" w:eastAsia="仿宋_GB2312"/>
                <w:sz w:val="18"/>
              </w:rPr>
              <w:t>（</w:t>
            </w:r>
            <w:r>
              <w:rPr>
                <w:rFonts w:ascii="仿宋_GB2312" w:hAnsi="仿宋_GB2312" w:cs="仿宋_GB2312" w:eastAsia="仿宋_GB2312"/>
                <w:sz w:val="18"/>
              </w:rPr>
              <w:t>2025）及其配套文件；</w:t>
            </w:r>
          </w:p>
          <w:p>
            <w:pPr>
              <w:pStyle w:val="null3"/>
              <w:ind w:firstLine="420"/>
              <w:jc w:val="both"/>
            </w:pPr>
            <w:r>
              <w:rPr>
                <w:rFonts w:ascii="仿宋_GB2312" w:hAnsi="仿宋_GB2312" w:cs="仿宋_GB2312" w:eastAsia="仿宋_GB2312"/>
                <w:sz w:val="18"/>
              </w:rPr>
              <w:t>5、</w:t>
            </w:r>
            <w:r>
              <w:rPr>
                <w:rFonts w:ascii="仿宋_GB2312" w:hAnsi="仿宋_GB2312" w:cs="仿宋_GB2312" w:eastAsia="仿宋_GB2312"/>
                <w:sz w:val="18"/>
              </w:rPr>
              <w:t>陕西省工程造价管理信息；</w:t>
            </w:r>
          </w:p>
          <w:p>
            <w:pPr>
              <w:pStyle w:val="null3"/>
              <w:ind w:firstLine="420"/>
              <w:jc w:val="both"/>
            </w:pPr>
            <w:r>
              <w:rPr>
                <w:rFonts w:ascii="仿宋_GB2312" w:hAnsi="仿宋_GB2312" w:cs="仿宋_GB2312" w:eastAsia="仿宋_GB2312"/>
                <w:sz w:val="18"/>
              </w:rPr>
              <w:t>6、商洛市</w:t>
            </w:r>
            <w:r>
              <w:rPr>
                <w:rFonts w:ascii="仿宋_GB2312" w:hAnsi="仿宋_GB2312" w:cs="仿宋_GB2312" w:eastAsia="仿宋_GB2312"/>
                <w:sz w:val="18"/>
              </w:rPr>
              <w:t>工程造价管理信息；</w:t>
            </w:r>
          </w:p>
          <w:p>
            <w:pPr>
              <w:pStyle w:val="null3"/>
              <w:ind w:firstLine="420"/>
              <w:jc w:val="both"/>
            </w:pPr>
            <w:r>
              <w:rPr>
                <w:rFonts w:ascii="仿宋_GB2312" w:hAnsi="仿宋_GB2312" w:cs="仿宋_GB2312" w:eastAsia="仿宋_GB2312"/>
                <w:sz w:val="18"/>
              </w:rPr>
              <w:t>7</w:t>
            </w:r>
            <w:r>
              <w:rPr>
                <w:rFonts w:ascii="仿宋_GB2312" w:hAnsi="仿宋_GB2312" w:cs="仿宋_GB2312" w:eastAsia="仿宋_GB2312"/>
                <w:sz w:val="18"/>
              </w:rPr>
              <w:t>、市场价格信息。</w:t>
            </w:r>
          </w:p>
          <w:p>
            <w:pPr>
              <w:pStyle w:val="null3"/>
            </w:pPr>
          </w:p>
        </w:tc>
      </w:tr>
    </w:tbl>
    <w:p>
      <w:pPr>
        <w:pStyle w:val="null3"/>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符合国家质量验收合格标准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供应商针对本项目的其他技术服务要求，必须达到国家及行业现行技术规范标准</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为顺利推进政府采购电子化交易平台应用工作，供应商需要在线提交所有通过电子化交易平台实施的政府采购项目的投标（响应文件）。成交供应商在领取成交通知书时，须向采购代理机构另行提交纸质投标（响应）文件一套（包括正本1份、副本2份）；纸质投标（响应）文件须基于已提交的电子投标（响应）文件原文打印，按规范装订成册，确保与电子文件内容完全一致、无任何差异。地址：商洛市商州区全兴紫苑6号楼1单元101室。</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2025年度的财务审计报告（包括资产负债表、现金流量表、利润表且审计报告应当有注册会计师行业统一监管平台备案赋码，赋码清晰可查，附会计师行业统一监管平台查询截图），或成立时间至提交投标文件递交截止时间不足一年的可提供递交投标文件截止时间前三个月内投标人基本账户开户银行出具的资信证明；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具有独立承担民事责任能力的法人、其他组织或自然人，提供合法有效的营业执照（事业单位提供事业单位法人证书，自然人提供身份证）；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2025年度的财务审计报告（包括资产负债表、现金流量表、利润表且审计报告应当有注册会计师行业统一监管平台备案赋码，赋码清晰可查，附会计师行业统一监管平台查询截图），或成立时间至提交投标文件递交截止时间不足一年的可提供递交投标文件截止时间前三个月内投标人基本账户开户银行出具的资信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提供投标截止日前半年内已缴纳任意1个月的纳税证明或完税证明（任意税种），依法免税的单位应提供相关的证明材料；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提供投标截止日前半年内已缴存的任意1个月的社会保障资金缴存单据或社保机构开具的社会保险参保缴费情况证明；依法不需要缴纳社会保障资金的单位应提供相关证明材料；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参加政府采购活动前三年内，在经营活动中无重大违法记录的书面声明；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提供《供应商信用记录书面声明函》（按格式填写，提供原件）。供应商未被列入“信用中国”网站记录的“失信被执行人”“重大税收违法案件当事人”名单；不处于“中国政府采购网”记录的“政府采购严重违法失信行为记录名单”中的禁止参加政府采购活动期间；</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法定代表人授权书及被授权人身份证明（法定代表人直接参与投标只需提供其身份证明）；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公司资质及项目经理资格证书</w:t>
            </w:r>
          </w:p>
        </w:tc>
        <w:tc>
          <w:tcPr>
            <w:tcW w:type="dxa" w:w="3322"/>
          </w:tcPr>
          <w:p>
            <w:pPr>
              <w:pStyle w:val="null3"/>
            </w:pPr>
            <w:r>
              <w:rPr>
                <w:rFonts w:ascii="仿宋_GB2312" w:hAnsi="仿宋_GB2312" w:cs="仿宋_GB2312" w:eastAsia="仿宋_GB2312"/>
              </w:rPr>
              <w:t>供应商须具备建设行政主管部门颁发的市政公用工程施工总承包二级及以上资质，并具有安全生产许可证，以上证件合法有效；拟派项目经理须具备市政公用工程专业二级及以上注册建造师资格，具有有效的安全生产考核合格证书，且在本单位注册，无在建工程（提供承诺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本项目不接受联合体投标，不允许分包</w:t>
            </w:r>
          </w:p>
        </w:tc>
        <w:tc>
          <w:tcPr>
            <w:tcW w:type="dxa" w:w="3322"/>
          </w:tcPr>
          <w:p>
            <w:pPr>
              <w:pStyle w:val="null3"/>
            </w:pPr>
            <w:r>
              <w:rPr>
                <w:rFonts w:ascii="仿宋_GB2312" w:hAnsi="仿宋_GB2312" w:cs="仿宋_GB2312" w:eastAsia="仿宋_GB2312"/>
              </w:rPr>
              <w:t>供应商提供《非联合体不分包投标声明》，视为独立投标，不分包；</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本项目为以工代赈项目，按县发改局《关于下达2026年省级苏陕协作项目资金计划的通知》(镇发改发[2026]38号)精神落实政策。</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符合性审查</w:t>
            </w:r>
          </w:p>
        </w:tc>
        <w:tc>
          <w:tcPr>
            <w:tcW w:type="dxa" w:w="3322"/>
          </w:tcPr>
          <w:p>
            <w:pPr>
              <w:pStyle w:val="null3"/>
            </w:pPr>
            <w:r>
              <w:rPr>
                <w:rFonts w:ascii="仿宋_GB2312" w:hAnsi="仿宋_GB2312" w:cs="仿宋_GB2312" w:eastAsia="仿宋_GB2312"/>
              </w:rPr>
              <w:t>有下列情形之一的，应在符合性审查时按照无效投标处理：（1）响应文件未按照磋商文件规定要求签署、盖章的；（2）投标有效期未满足磋商文件要求的； （3）报价超过磋商文件中规定的预算金额或者最高限价的； （4）对磋商文件商务、技术要求出现重大负偏离的； （5）法律、法规和招标文件规定的其他无效情形。</w:t>
            </w:r>
          </w:p>
        </w:tc>
        <w:tc>
          <w:tcPr>
            <w:tcW w:type="dxa" w:w="1661"/>
          </w:tcPr>
          <w:p>
            <w:pPr>
              <w:pStyle w:val="null3"/>
            </w:pPr>
            <w:r>
              <w:rPr>
                <w:rFonts w:ascii="仿宋_GB2312" w:hAnsi="仿宋_GB2312" w:cs="仿宋_GB2312" w:eastAsia="仿宋_GB2312"/>
              </w:rPr>
              <w:t>技术方案.docx 已标价工程量清单 中小企业声明函 技术服务合同条款及其他商务要求应答表 资格证明文件.docx 供应商承诺书.docx 响应文件封面 项目团队人员配备及业绩.docx 残疾人福利性单位声明函 报价函 标的清单 供应商类似项目业绩一览表 响应函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总体施工方案</w:t>
            </w:r>
          </w:p>
        </w:tc>
        <w:tc>
          <w:tcPr>
            <w:tcW w:type="dxa" w:w="2492"/>
          </w:tcPr>
          <w:p>
            <w:pPr>
              <w:pStyle w:val="null3"/>
            </w:pPr>
            <w:r>
              <w:rPr>
                <w:rFonts w:ascii="仿宋_GB2312" w:hAnsi="仿宋_GB2312" w:cs="仿宋_GB2312" w:eastAsia="仿宋_GB2312"/>
              </w:rPr>
              <w:t>① 总体部署合理（3分）； ② 施工流程逻辑清晰（3分）； ③ 针对本项目重难点提出具体技术措施（3分）； ④ 采用信息化手段（如智慧工地）进行管理（3分）。 每有一项未提供扣3分；每有一处缺陷（如内容缺项、非专门针对本项目、套用其他项目内容、前后表述矛盾等）扣1分。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工期保证措施</w:t>
            </w:r>
          </w:p>
        </w:tc>
        <w:tc>
          <w:tcPr>
            <w:tcW w:type="dxa" w:w="2492"/>
          </w:tcPr>
          <w:p>
            <w:pPr>
              <w:pStyle w:val="null3"/>
            </w:pPr>
            <w:r>
              <w:rPr>
                <w:rFonts w:ascii="仿宋_GB2312" w:hAnsi="仿宋_GB2312" w:cs="仿宋_GB2312" w:eastAsia="仿宋_GB2312"/>
              </w:rPr>
              <w:t>① 进度计划网络图/横道图完整（2分）； ② 关键线路明确（2分）； ③ 承诺按招标文件工期完工（2分）。 每有一项未提供扣2分；每有一处缺陷（如内容缺项、非专门针对本项目、套用其他项目内容、前后表述矛盾等）扣0.5分。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环保与文明施工</w:t>
            </w:r>
          </w:p>
        </w:tc>
        <w:tc>
          <w:tcPr>
            <w:tcW w:type="dxa" w:w="2492"/>
          </w:tcPr>
          <w:p>
            <w:pPr>
              <w:pStyle w:val="null3"/>
            </w:pPr>
            <w:r>
              <w:rPr>
                <w:rFonts w:ascii="仿宋_GB2312" w:hAnsi="仿宋_GB2312" w:cs="仿宋_GB2312" w:eastAsia="仿宋_GB2312"/>
              </w:rPr>
              <w:t>① 扬尘治理“6个100%”措施落实（3分）； ② 渣土运输车辆冲洗及密闭措施（3分）； 每有一项未提供扣3分；每有一处缺陷（如内容缺项、非专门针对本项目、套用其他项目内容、前后表述矛盾等）扣1分。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安全生产措施</w:t>
            </w:r>
          </w:p>
        </w:tc>
        <w:tc>
          <w:tcPr>
            <w:tcW w:type="dxa" w:w="2492"/>
          </w:tcPr>
          <w:p>
            <w:pPr>
              <w:pStyle w:val="null3"/>
            </w:pPr>
            <w:r>
              <w:rPr>
                <w:rFonts w:ascii="仿宋_GB2312" w:hAnsi="仿宋_GB2312" w:cs="仿宋_GB2312" w:eastAsia="仿宋_GB2312"/>
              </w:rPr>
              <w:t>①安全生产管理制度（2分）； ②配置安全组织机构（2分）； ③安全隐患排查、整改制度（2分）； ④应急救援方案等（2分）。 每有一项未提供扣2分；每有一处缺陷（如内容缺项、非专门针对本项目、套用其他项目内容、前后表述矛盾等）扣0.5分。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以工代赈落实措施</w:t>
            </w:r>
          </w:p>
        </w:tc>
        <w:tc>
          <w:tcPr>
            <w:tcW w:type="dxa" w:w="2492"/>
          </w:tcPr>
          <w:p>
            <w:pPr>
              <w:pStyle w:val="null3"/>
            </w:pPr>
            <w:r>
              <w:rPr>
                <w:rFonts w:ascii="仿宋_GB2312" w:hAnsi="仿宋_GB2312" w:cs="仿宋_GB2312" w:eastAsia="仿宋_GB2312"/>
              </w:rPr>
              <w:t>1. 本地群众务工组织措施（2分） 投标人针对本项目编制本地群众务工组织实施方案，明确中标后普通劳务岗位吸纳项目所在县域农村劳动力，优先吸纳脱贫人口、防止返贫监测对象、易地搬迁群众、低收入群体等重点对象的摸排对接、岗位分配、用工组织方式；方案内容完整、贴合项目实际、措施可行得2分；有方案但内容简单、措施一般得1分；未提供方案或方案不可行得0分。 注：本项仅评审中标后的实施计划，不要求投标阶段提供已签订劳务合同、人员身份证、人员花名册等已用工证明材料。 2. 劳务报酬发放及台账管理措施（2分） 具有劳务报酬核算、现场实名制考勤、务工人员台账建立、劳务报酬通过一卡通直发、杜绝劳务报酬克扣拖欠的完整管控措施；措施完善可落地得2分；有相关措施但不够完善得1分；未提供得0分。 3. 岗前培训与履约监督保障措施（2分） 包含务工人员岗前安全教育、简易技能培训计划；承诺接受建设单位、监理单位对以工代赈用工落实、劳务报酬执行情况全过程监督核查，并明确自身违约整改响应措施；方案完整合理得2分；有措施但不完善得1分；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针对本项目在施工过程中常见问题进行梳理，具有良好的解决方案并及时向采购人提出合理化建议，每提供一条有效且合理的建议得3分，满分6分。未提供不得分。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项目团队人员配备</w:t>
            </w:r>
          </w:p>
        </w:tc>
        <w:tc>
          <w:tcPr>
            <w:tcW w:type="dxa" w:w="2492"/>
          </w:tcPr>
          <w:p>
            <w:pPr>
              <w:pStyle w:val="null3"/>
            </w:pPr>
            <w:r>
              <w:rPr>
                <w:rFonts w:ascii="仿宋_GB2312" w:hAnsi="仿宋_GB2312" w:cs="仿宋_GB2312" w:eastAsia="仿宋_GB2312"/>
              </w:rPr>
              <w:t>1.项目经理（2分） 拟派项目经理具有市政工程相关专业中级职称得1分，具有市政工程相关专业高级及以上职称得2分。需提供证书复印件。 2.技术负责人（2分） 拟派技术负责人具有市政类中级职称得1分，具有市政类高级及以上职称得2分。需提供证书复印件。 3.关键岗位人员（5分） 配备施工员、质量员、安全员（安全生产考核合格证书）、材料员、资料员。全部提供有效的岗位证书、身份证。全部符合得5分，缺一人扣1分。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项目团队人员配备及业绩.docx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1、项目经理业绩（5分） 拟派项经理自 2023年1月1日以来，作为项目经理承接过类似项目。每提供1个得2.5分，最高5分。（时间以合同签订为准，提供施工合同及中标通知书复印件，且证明材料中必须体现该项目经理的姓名） 2、企业业绩（12分） 投标人自 2023年1月1日以来，承接过的类似项目。每提供1个得3分，最高12分，未提供不得分。(时间以合同签订为准，提供施工合同及中标通知书复印件)</w:t>
            </w:r>
          </w:p>
        </w:tc>
        <w:tc>
          <w:tcPr>
            <w:tcW w:type="dxa" w:w="831"/>
          </w:tcPr>
          <w:p>
            <w:pPr>
              <w:pStyle w:val="null3"/>
              <w:jc w:val="right"/>
            </w:pPr>
            <w:r>
              <w:rPr>
                <w:rFonts w:ascii="仿宋_GB2312" w:hAnsi="仿宋_GB2312" w:cs="仿宋_GB2312" w:eastAsia="仿宋_GB2312"/>
              </w:rPr>
              <w:t>17.0000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项目团队人员配备及业绩.docx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满足磋商文件要求且最后报价最低的供应商的价格为基准价，其价格为满分，其他供应商的价格分统一按照下列公式计算： 投标报价得分=（评标基准价/投标报价）×价格分值</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详见附件：技术方案.docx</w:t>
      </w:r>
    </w:p>
    <w:p>
      <w:pPr>
        <w:pStyle w:val="null3"/>
        <w:ind w:firstLine="960"/>
      </w:pPr>
      <w:r>
        <w:rPr>
          <w:rFonts w:ascii="仿宋_GB2312" w:hAnsi="仿宋_GB2312" w:cs="仿宋_GB2312" w:eastAsia="仿宋_GB2312"/>
        </w:rPr>
        <w:t>详见附件：项目团队人员配备及业绩.docx</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详见附件：供应商承诺书.docx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详见附件：施工合同.docx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