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版本号：HXZK2026ZC041600320260428001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2026年度陕西省高速公路收费稽核服务项目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HXZK2026ZC0416003</w:t>
      </w:r>
      <w:r>
        <w:br/>
      </w:r>
      <w:r>
        <w:br/>
      </w:r>
      <w:r>
        <w:br/>
      </w:r>
    </w:p>
    <w:p>
      <w:pPr>
        <w:pStyle w:val="null3"/>
        <w:jc w:val="center"/>
        <w:outlineLvl w:val="2"/>
      </w:pPr>
      <w:r>
        <w:rPr>
          <w:rFonts w:ascii="仿宋_GB2312" w:hAnsi="仿宋_GB2312" w:cs="仿宋_GB2312" w:eastAsia="仿宋_GB2312"/>
          <w:sz w:val="28"/>
          <w:b/>
        </w:rPr>
        <w:t>陕西省高速公路收费中心</w:t>
      </w:r>
    </w:p>
    <w:p>
      <w:pPr>
        <w:pStyle w:val="null3"/>
        <w:jc w:val="center"/>
        <w:outlineLvl w:val="2"/>
      </w:pPr>
      <w:r>
        <w:rPr>
          <w:rFonts w:ascii="仿宋_GB2312" w:hAnsi="仿宋_GB2312" w:cs="仿宋_GB2312" w:eastAsia="仿宋_GB2312"/>
          <w:sz w:val="28"/>
          <w:b/>
        </w:rPr>
        <w:t>华夏正康（陕西）工程技术有限公司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华夏正康（陕西）工程技术有限公司</w:t>
      </w:r>
      <w:r>
        <w:rPr>
          <w:rFonts w:ascii="仿宋_GB2312" w:hAnsi="仿宋_GB2312" w:cs="仿宋_GB2312" w:eastAsia="仿宋_GB2312"/>
        </w:rPr>
        <w:t>（以下简称“代理机构”）受</w:t>
      </w:r>
      <w:r>
        <w:rPr>
          <w:rFonts w:ascii="仿宋_GB2312" w:hAnsi="仿宋_GB2312" w:cs="仿宋_GB2312" w:eastAsia="仿宋_GB2312"/>
        </w:rPr>
        <w:t>陕西省高速公路收费中心</w:t>
      </w:r>
      <w:r>
        <w:rPr>
          <w:rFonts w:ascii="仿宋_GB2312" w:hAnsi="仿宋_GB2312" w:cs="仿宋_GB2312" w:eastAsia="仿宋_GB2312"/>
        </w:rPr>
        <w:t>委托，拟对</w:t>
      </w:r>
      <w:r>
        <w:rPr>
          <w:rFonts w:ascii="仿宋_GB2312" w:hAnsi="仿宋_GB2312" w:cs="仿宋_GB2312" w:eastAsia="仿宋_GB2312"/>
        </w:rPr>
        <w:t>2026年度陕西省高速公路收费稽核服务项目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HXZK2026ZC0416003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2026年度陕西省高速公路收费稽核服务项目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了保障陕西省级收费稽核系统的正常运行，发挥重要作用，软件应用系统需进行日常维护，提高系统运行效率和可靠性。同时，随着收费稽核工作的不断深入开展，新偷逃漏通行费的用户特征行为陆续出现，新的数据挖掘算法需求不断被提出，稽核软件需在现有省级收费稽核平台的基础上不断迭代升级，从而保障既有省部两级稽核系统数据通道安全稳定。在保障联网收费运营正常秩序的前提下实现对新逃漏行为的发现以不断提升稽核系统能力。</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1、营业执照或其他组织：具有独立承担民事责任能力的法人、其他组织或自然人，提供营业执照/事业单位法人证书/非企业专业服务机构执业许可证/自然人身份证。 供应商需在项目电子化交易系统中按要求上传相应证明文件并进行电子签章。</w:t>
      </w:r>
    </w:p>
    <w:p>
      <w:pPr>
        <w:pStyle w:val="null3"/>
      </w:pPr>
      <w:r>
        <w:rPr>
          <w:rFonts w:ascii="仿宋_GB2312" w:hAnsi="仿宋_GB2312" w:cs="仿宋_GB2312" w:eastAsia="仿宋_GB2312"/>
        </w:rPr>
        <w:t>2、供应商应授权合法的人员参加磋商全过程：法定代表人直接参加的，提供法定代表人身份证；授权代表参加的，提供法定代表人授权书（附法定代表人及授权代表身份证）；非法人单位参照执行。 供应商需在项目电子化交易系统中按要求上传相应证明文件并进行电子签章。</w:t>
      </w:r>
    </w:p>
    <w:p>
      <w:pPr>
        <w:pStyle w:val="null3"/>
      </w:pPr>
      <w:r>
        <w:rPr>
          <w:rFonts w:ascii="仿宋_GB2312" w:hAnsi="仿宋_GB2312" w:cs="仿宋_GB2312" w:eastAsia="仿宋_GB2312"/>
        </w:rPr>
        <w:t>3、财务状况：提供2024年度或2025年度的财务审计报告并具有在“注册会计师行业统一监管平台”赋予的验证码(包括审计报告、资产负债表、利润表、现金流量表、所有者权益变动表及其附注等，成立时间至提交响应文件截止时间不足一年的可提供成立后任意时段的资产负债表)，或其响应文件提交截止时间前三个月内银行出具的资信证明，或信用担保机构出具的投标担保函(以上三种形式的资料提供任何一种即可)。 供应商需在项目电子化交易系统中按要求上传相应证明文件并进行电子签章。</w:t>
      </w:r>
    </w:p>
    <w:p>
      <w:pPr>
        <w:pStyle w:val="null3"/>
      </w:pPr>
      <w:r>
        <w:rPr>
          <w:rFonts w:ascii="仿宋_GB2312" w:hAnsi="仿宋_GB2312" w:cs="仿宋_GB2312" w:eastAsia="仿宋_GB2312"/>
        </w:rPr>
        <w:t>4、依法缴纳税收证明资料：提供响应文件提交截止时间前一年内至少一个月已缴纳的纳税证明或完税证明(时间以税款所属日期为准)，依法免税的单位应提供相关证明材料，凭据应有税务机关或代收机关的公章或业务专用章；依法免税或无须缴纳税收的供应商，应提供相应证明文件。 供应商需在项目电子化交易系统中按要求上传相应证明文件并进行电子签章。</w:t>
      </w:r>
    </w:p>
    <w:p>
      <w:pPr>
        <w:pStyle w:val="null3"/>
      </w:pPr>
      <w:r>
        <w:rPr>
          <w:rFonts w:ascii="仿宋_GB2312" w:hAnsi="仿宋_GB2312" w:cs="仿宋_GB2312" w:eastAsia="仿宋_GB2312"/>
        </w:rPr>
        <w:t>5、依法缴纳社会保险证明资料：提供响应文件提交截止时间前一年内至少一个月已缴纳的社会保障资金缴存单据或社保机构开具的社会保险参保缴费情况证明，依法不需要缴纳社会保障资金的单位应提供相关证明材料。 供应商需在项目电子化交易系统中按要求上传相应证明文件并进行电子签章。</w:t>
      </w:r>
    </w:p>
    <w:p>
      <w:pPr>
        <w:pStyle w:val="null3"/>
      </w:pPr>
      <w:r>
        <w:rPr>
          <w:rFonts w:ascii="仿宋_GB2312" w:hAnsi="仿宋_GB2312" w:cs="仿宋_GB2312" w:eastAsia="仿宋_GB2312"/>
        </w:rPr>
        <w:t>6、承诺书：提供具有履行合同所必需的设备和专业技术能力的承诺。 供应商需在项目电子化交易系统中按要求上传相应证明文件并进行电子签章。</w:t>
      </w:r>
    </w:p>
    <w:p>
      <w:pPr>
        <w:pStyle w:val="null3"/>
      </w:pPr>
      <w:r>
        <w:rPr>
          <w:rFonts w:ascii="仿宋_GB2312" w:hAnsi="仿宋_GB2312" w:cs="仿宋_GB2312" w:eastAsia="仿宋_GB2312"/>
        </w:rPr>
        <w:t>7、书面声明：提供参加政府采购活动前三年内在经营活动中没有重大违法记录的书面声明。 供应商需在项目电子化交易系统中按要求上传相应证明文件并进行电子签章。</w:t>
      </w:r>
    </w:p>
    <w:p>
      <w:pPr>
        <w:pStyle w:val="null3"/>
      </w:pPr>
      <w:r>
        <w:rPr>
          <w:rFonts w:ascii="仿宋_GB2312" w:hAnsi="仿宋_GB2312" w:cs="仿宋_GB2312" w:eastAsia="仿宋_GB2312"/>
        </w:rPr>
        <w:t>8、控股管理关系：单位负责人为同一人或者存在直接控股、管理关系的不同供应商，不得参加同一合同项下的政府采购活动。供应商需在项目电子化交易系统中按要求上传相应证明文件并进行电子签章。</w:t>
      </w:r>
    </w:p>
    <w:p>
      <w:pPr>
        <w:pStyle w:val="null3"/>
      </w:pPr>
      <w:r>
        <w:rPr>
          <w:rFonts w:ascii="仿宋_GB2312" w:hAnsi="仿宋_GB2312" w:cs="仿宋_GB2312" w:eastAsia="仿宋_GB2312"/>
        </w:rPr>
        <w:t>9、非联合体磋商：本采购包不接受联合体磋商，供应商提供非联合体磋商承诺书。 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陕西省高速公路收费中心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陕西省西安市未央区未央路208号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苗老师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029-86531103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华夏正康（陕西）工程技术有限公司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陕西省西安市雁塔区高新路15号城建大厦4楼401室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薛淑丹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17791951522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采购包1：983,400.00元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无产品</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无产品</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无产品</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开户名称：华夏正康（陕西）工程技术有限公司</w:t>
            </w:r>
          </w:p>
          <w:p>
            <w:pPr>
              <w:pStyle w:val="null3"/>
            </w:pPr>
            <w:r>
              <w:rPr>
                <w:rFonts w:ascii="仿宋_GB2312" w:hAnsi="仿宋_GB2312" w:cs="仿宋_GB2312" w:eastAsia="仿宋_GB2312"/>
              </w:rPr>
              <w:t>开户银行：中国建设银行股份有限公司西安咸宁中路支行</w:t>
            </w:r>
          </w:p>
          <w:p>
            <w:pPr>
              <w:pStyle w:val="null3"/>
            </w:pPr>
            <w:r>
              <w:rPr>
                <w:rFonts w:ascii="仿宋_GB2312" w:hAnsi="仿宋_GB2312" w:cs="仿宋_GB2312" w:eastAsia="仿宋_GB2312"/>
              </w:rPr>
              <w:t>银行账号：61050173430000001131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和国家发展改革委办公厅颁发的《关于招标代理服务收费有关问题的通知》（发改办价格『2003』857号）规定，代理采购项目实际成交金额为计算基准按1980号文件类标准的 89% 向中标（成交）供应商收取代理服务费。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踏勘时间：2026-05-13 15:00:00</w:t>
            </w:r>
          </w:p>
          <w:p>
            <w:pPr>
              <w:pStyle w:val="null3"/>
              <w:ind w:firstLine="975"/>
            </w:pPr>
            <w:r>
              <w:rPr>
                <w:rFonts w:ascii="仿宋_GB2312" w:hAnsi="仿宋_GB2312" w:cs="仿宋_GB2312" w:eastAsia="仿宋_GB2312"/>
              </w:rPr>
              <w:t>踏勘地点：陕西省高速公路收费中心</w:t>
            </w:r>
          </w:p>
          <w:p>
            <w:pPr>
              <w:pStyle w:val="null3"/>
              <w:ind w:firstLine="975"/>
            </w:pPr>
            <w:r>
              <w:rPr>
                <w:rFonts w:ascii="仿宋_GB2312" w:hAnsi="仿宋_GB2312" w:cs="仿宋_GB2312" w:eastAsia="仿宋_GB2312"/>
              </w:rPr>
              <w:t>联系人：苗老师</w:t>
            </w:r>
          </w:p>
          <w:p>
            <w:pPr>
              <w:pStyle w:val="null3"/>
              <w:ind w:firstLine="975"/>
            </w:pPr>
            <w:r>
              <w:rPr>
                <w:rFonts w:ascii="仿宋_GB2312" w:hAnsi="仿宋_GB2312" w:cs="仿宋_GB2312" w:eastAsia="仿宋_GB2312"/>
              </w:rPr>
              <w:t>联系电话号码：029-86531103</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陕西省高速公路收费中心</w:t>
      </w:r>
      <w:r>
        <w:rPr>
          <w:rFonts w:ascii="仿宋_GB2312" w:hAnsi="仿宋_GB2312" w:cs="仿宋_GB2312" w:eastAsia="仿宋_GB2312"/>
        </w:rPr>
        <w:t>和</w:t>
      </w:r>
      <w:r>
        <w:rPr>
          <w:rFonts w:ascii="仿宋_GB2312" w:hAnsi="仿宋_GB2312" w:cs="仿宋_GB2312" w:eastAsia="仿宋_GB2312"/>
        </w:rPr>
        <w:t>华夏正康（陕西）工程技术有限公司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陕西省高速公路收费中心</w:t>
      </w:r>
      <w:r>
        <w:rPr>
          <w:rFonts w:ascii="仿宋_GB2312" w:hAnsi="仿宋_GB2312" w:cs="仿宋_GB2312" w:eastAsia="仿宋_GB2312"/>
        </w:rPr>
        <w:t>负责解释。除上述磋商文件内容，其他内容由</w:t>
      </w:r>
      <w:r>
        <w:rPr>
          <w:rFonts w:ascii="仿宋_GB2312" w:hAnsi="仿宋_GB2312" w:cs="仿宋_GB2312" w:eastAsia="仿宋_GB2312"/>
        </w:rPr>
        <w:t>华夏正康（陕西）工程技术有限公司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陕西省高速公路收费中心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华夏正康（陕西）工程技术有限公司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根据磋商文件要求和合同约定执行。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华夏正康（陕西）工程技术有限公司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华夏正康（陕西）工程技术有限公司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华夏正康（陕西）工程技术有限公司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联系人：薛淑丹</w:t>
      </w:r>
    </w:p>
    <w:p>
      <w:pPr>
        <w:pStyle w:val="null3"/>
      </w:pPr>
      <w:r>
        <w:rPr>
          <w:rFonts w:ascii="仿宋_GB2312" w:hAnsi="仿宋_GB2312" w:cs="仿宋_GB2312" w:eastAsia="仿宋_GB2312"/>
        </w:rPr>
        <w:t>联系电话：17791951522</w:t>
      </w:r>
    </w:p>
    <w:p>
      <w:pPr>
        <w:pStyle w:val="null3"/>
      </w:pPr>
      <w:r>
        <w:rPr>
          <w:rFonts w:ascii="仿宋_GB2312" w:hAnsi="仿宋_GB2312" w:cs="仿宋_GB2312" w:eastAsia="仿宋_GB2312"/>
        </w:rPr>
        <w:t>地址：陕西省西安市雁塔区高新路15号城建大厦4楼401室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了保障陕西省级收费稽核系统的正常运行，发挥重要作用，软件应用系统需进行日常维护，提高系统运行效率和可靠性。同时，随着收费稽核工作的不断深入开展，新偷逃漏通行费的用户特征行为陆续出现，新的数据挖掘算法需求不断被提出，稽核软件需在现有省级收费稽核平台的基础上不断迭代升级，从而保障既有省部两级稽核系统数据通道安全稳定。在保障联网收费运营正常秩序的前提下实现对新逃漏行为的发现以不断提升稽核系统能力。</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983,400.00</w:t>
      </w:r>
    </w:p>
    <w:p>
      <w:pPr>
        <w:pStyle w:val="null3"/>
      </w:pPr>
      <w:r>
        <w:rPr>
          <w:rFonts w:ascii="仿宋_GB2312" w:hAnsi="仿宋_GB2312" w:cs="仿宋_GB2312" w:eastAsia="仿宋_GB2312"/>
        </w:rPr>
        <w:t>采购包最高限价（元）: 983,400.00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2026年度陕西省高速公路收费稽核服务项目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983,400.00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标的名称：2026年度陕西省高速公路收费稽核服务项目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00"/>
              <w:jc w:val="left"/>
            </w:pPr>
            <w:r>
              <w:rPr>
                <w:rFonts w:ascii="仿宋_GB2312" w:hAnsi="仿宋_GB2312" w:cs="仿宋_GB2312" w:eastAsia="仿宋_GB2312"/>
                <w:sz w:val="20"/>
              </w:rPr>
              <w:t>一、服务内容</w:t>
            </w:r>
          </w:p>
          <w:p>
            <w:pPr>
              <w:pStyle w:val="null3"/>
              <w:ind w:firstLine="400"/>
              <w:jc w:val="left"/>
            </w:pPr>
            <w:r>
              <w:rPr>
                <w:rFonts w:ascii="仿宋_GB2312" w:hAnsi="仿宋_GB2312" w:cs="仿宋_GB2312" w:eastAsia="仿宋_GB2312"/>
                <w:sz w:val="20"/>
              </w:rPr>
              <w:t>（一）服务内容</w:t>
            </w:r>
          </w:p>
          <w:p>
            <w:pPr>
              <w:pStyle w:val="null3"/>
              <w:ind w:firstLine="400"/>
              <w:jc w:val="left"/>
            </w:pPr>
            <w:r>
              <w:rPr>
                <w:rFonts w:ascii="仿宋_GB2312" w:hAnsi="仿宋_GB2312" w:cs="仿宋_GB2312" w:eastAsia="仿宋_GB2312"/>
                <w:sz w:val="20"/>
              </w:rPr>
              <w:t xml:space="preserve"> </w:t>
            </w:r>
            <w:r>
              <w:rPr>
                <w:rFonts w:ascii="仿宋_GB2312" w:hAnsi="仿宋_GB2312" w:cs="仿宋_GB2312" w:eastAsia="仿宋_GB2312"/>
                <w:sz w:val="20"/>
              </w:rPr>
              <w:t>1.车辆漏费（逃费）行为特点分析：结合全省收费稽核工作实际，参考全路网内逃费行为案例，及时分析总结车辆漏费（逃费）行为特点。</w:t>
            </w:r>
          </w:p>
          <w:p>
            <w:pPr>
              <w:pStyle w:val="null3"/>
              <w:ind w:firstLine="400"/>
              <w:jc w:val="left"/>
            </w:pPr>
            <w:r>
              <w:rPr>
                <w:rFonts w:ascii="仿宋_GB2312" w:hAnsi="仿宋_GB2312" w:cs="仿宋_GB2312" w:eastAsia="仿宋_GB2312"/>
                <w:sz w:val="20"/>
              </w:rPr>
              <w:t>2.逃费嫌疑车辆线索数据筛查推送服务，针对车辆逃费行为特征动态变化，及时推送各类具有较高逃费嫌疑的收费数据。</w:t>
            </w:r>
          </w:p>
          <w:p>
            <w:pPr>
              <w:pStyle w:val="null3"/>
              <w:ind w:firstLine="400"/>
              <w:jc w:val="left"/>
            </w:pPr>
            <w:r>
              <w:rPr>
                <w:rFonts w:ascii="仿宋_GB2312" w:hAnsi="仿宋_GB2312" w:cs="仿宋_GB2312" w:eastAsia="仿宋_GB2312"/>
                <w:sz w:val="20"/>
              </w:rPr>
              <w:t>3.系统日常运维及网络安全服务。陕西省级收费稽核系统经过前期建设，已具备收费、稽核、追缴、清分结算、部省交互等业务闭环处理能力，需保障以下业务系统数据维护与软件平滑部署。</w:t>
            </w:r>
          </w:p>
          <w:p>
            <w:pPr>
              <w:pStyle w:val="null3"/>
              <w:ind w:firstLine="400"/>
              <w:jc w:val="left"/>
            </w:pPr>
            <w:r>
              <w:rPr>
                <w:rFonts w:ascii="仿宋_GB2312" w:hAnsi="仿宋_GB2312" w:cs="仿宋_GB2312" w:eastAsia="仿宋_GB2312"/>
                <w:sz w:val="20"/>
              </w:rPr>
              <w:t>（1）部省交互：是部级稽核与省级稽核进行信息传输与数据汇集的业务处理，主要实现稽核重点关注名单、预追缴名单、预追缴名单明细、追缴名单、稽核结论信息、稽核结论明细、补费拆分明细、付款明细、收付款明细等信息的交互。</w:t>
            </w:r>
          </w:p>
          <w:p>
            <w:pPr>
              <w:pStyle w:val="null3"/>
              <w:ind w:firstLine="400"/>
              <w:jc w:val="left"/>
            </w:pPr>
            <w:r>
              <w:rPr>
                <w:rFonts w:ascii="仿宋_GB2312" w:hAnsi="仿宋_GB2312" w:cs="仿宋_GB2312" w:eastAsia="仿宋_GB2312"/>
                <w:sz w:val="20"/>
              </w:rPr>
              <w:t>（2）系统管理：实现对省级稽核系统正常运行所需的基础信息和参数信息进行管理。主要包含系统使用机构、用户、角色、菜单、收费单元属性、特殊节假日等信息的管理和设定。</w:t>
            </w:r>
          </w:p>
          <w:p>
            <w:pPr>
              <w:pStyle w:val="null3"/>
              <w:ind w:firstLine="400"/>
              <w:jc w:val="left"/>
            </w:pPr>
            <w:r>
              <w:rPr>
                <w:rFonts w:ascii="仿宋_GB2312" w:hAnsi="仿宋_GB2312" w:cs="仿宋_GB2312" w:eastAsia="仿宋_GB2312"/>
                <w:sz w:val="20"/>
              </w:rPr>
              <w:t>（3）数据汇聚：通过采集收费系统中车辆通行门架和收费站所产生的交易数据、牌识数据、抓拍图像等，对全省路网车辆通行信息进行汇聚、整理、校核等预处理。对通行路径存在缺失的通行，利用车牌识别数据进行补充。</w:t>
            </w:r>
          </w:p>
          <w:p>
            <w:pPr>
              <w:pStyle w:val="null3"/>
              <w:ind w:firstLine="400"/>
              <w:jc w:val="left"/>
            </w:pPr>
            <w:r>
              <w:rPr>
                <w:rFonts w:ascii="仿宋_GB2312" w:hAnsi="仿宋_GB2312" w:cs="仿宋_GB2312" w:eastAsia="仿宋_GB2312"/>
                <w:sz w:val="20"/>
              </w:rPr>
              <w:t>（4）路径还原与再计费：根据车辆通行数据汇聚结果，依据车辆交易数据、通行数据、牌识数据等，利用路径拟合算法，对车辆实际通行路径进行还原，并以此进行车辆通行费的再计算。</w:t>
            </w:r>
          </w:p>
          <w:p>
            <w:pPr>
              <w:pStyle w:val="null3"/>
              <w:ind w:firstLine="400"/>
              <w:jc w:val="left"/>
            </w:pPr>
            <w:r>
              <w:rPr>
                <w:rFonts w:ascii="仿宋_GB2312" w:hAnsi="仿宋_GB2312" w:cs="仿宋_GB2312" w:eastAsia="仿宋_GB2312"/>
                <w:sz w:val="20"/>
              </w:rPr>
              <w:t>（5）交易查询：实现对车辆通行的入口交易、出口交易、门架交易等信息进行查询，可对查询到的嫌疑车辆发起稽核工单。同时，实现对车牌识别结果进行查询，可对图像特情进行处理。</w:t>
            </w:r>
          </w:p>
          <w:p>
            <w:pPr>
              <w:pStyle w:val="null3"/>
              <w:ind w:firstLine="400"/>
              <w:jc w:val="left"/>
            </w:pPr>
            <w:r>
              <w:rPr>
                <w:rFonts w:ascii="仿宋_GB2312" w:hAnsi="仿宋_GB2312" w:cs="仿宋_GB2312" w:eastAsia="仿宋_GB2312"/>
                <w:sz w:val="20"/>
              </w:rPr>
              <w:t>（6）AI感知：根据高速公路收费相关运营规则，持续分析车辆用户行为特征及可能发生的变化，感知嫌疑偷逃漏通行费车辆，并将信息推送至前端用户，以供人工审核。可对嫌疑车辆入、出口信息及图片、通行门架、路径信息等进行查看，可对人工审核存在漏费的车辆发起稽核工单处理。</w:t>
            </w:r>
          </w:p>
          <w:p>
            <w:pPr>
              <w:pStyle w:val="null3"/>
              <w:ind w:firstLine="400"/>
              <w:jc w:val="left"/>
            </w:pPr>
            <w:r>
              <w:rPr>
                <w:rFonts w:ascii="仿宋_GB2312" w:hAnsi="仿宋_GB2312" w:cs="仿宋_GB2312" w:eastAsia="仿宋_GB2312"/>
                <w:sz w:val="20"/>
              </w:rPr>
              <w:t>（7）稽核工单：实现对AI感知嫌疑车辆和人工核查嫌疑车辆发起稽核工单，并将稽核工单派发至相关分公司路段，经过路段对派发单处理填报和证据上传，形成车辆偷逃漏通行费证据链，实现按车辆实际行驶路径、实际车型等信息的再计费，完成车辆欠费等信息的完整填报，经审核后，形成完整稽核结论。</w:t>
            </w:r>
          </w:p>
          <w:p>
            <w:pPr>
              <w:pStyle w:val="null3"/>
              <w:ind w:firstLine="400"/>
              <w:jc w:val="left"/>
            </w:pPr>
            <w:r>
              <w:rPr>
                <w:rFonts w:ascii="仿宋_GB2312" w:hAnsi="仿宋_GB2312" w:cs="仿宋_GB2312" w:eastAsia="仿宋_GB2312"/>
                <w:sz w:val="20"/>
              </w:rPr>
              <w:t>（8）追缴名单管理：根据稽核工单流转形成的稽核结论，对确认存在漏费的非现金通行车辆生成预追缴名单，七日内未完成补费的车辆转入追缴名单；对确认存在漏费的其它车辆生成追缴名单；对于完成补费的车辆，及时从追缴名单或预追缴名单中剔除。</w:t>
            </w:r>
          </w:p>
          <w:p>
            <w:pPr>
              <w:pStyle w:val="null3"/>
              <w:ind w:firstLine="400"/>
              <w:jc w:val="left"/>
            </w:pPr>
            <w:r>
              <w:rPr>
                <w:rFonts w:ascii="仿宋_GB2312" w:hAnsi="仿宋_GB2312" w:cs="仿宋_GB2312" w:eastAsia="仿宋_GB2312"/>
                <w:sz w:val="20"/>
              </w:rPr>
              <w:t>（9）数据同步：实现省级稽核追缴名单的车道数据同步。对生成的省级稽核追缴名单和预追缴名单及时将其下发至全省路网收费车道；对完成补费并从追缴名单或预追缴名单剔除的车辆，及时同步至收费车道，从车道数据中剔除。</w:t>
            </w:r>
          </w:p>
          <w:p>
            <w:pPr>
              <w:pStyle w:val="null3"/>
              <w:ind w:firstLine="400"/>
              <w:jc w:val="left"/>
            </w:pPr>
            <w:r>
              <w:rPr>
                <w:rFonts w:ascii="仿宋_GB2312" w:hAnsi="仿宋_GB2312" w:cs="仿宋_GB2312" w:eastAsia="仿宋_GB2312"/>
                <w:sz w:val="20"/>
              </w:rPr>
              <w:t>（10）车道拦截提示：稽核追缴名单和预追缴名单及时下发至收费车道后，若名单内车辆通行混合车道或预追缴名单内车辆通行ETC车道时，收费系统会给出相关追缴提示信息，协助收费人员提示车辆用户尽快确认追缴信息，并补缴通行费；若追缴名单内车辆通行ETC车道时，车道栏杆机不会抬起，交易流程中断，需更换至混合车道由人工进行处理。</w:t>
            </w:r>
          </w:p>
          <w:p>
            <w:pPr>
              <w:pStyle w:val="null3"/>
              <w:ind w:firstLine="400"/>
              <w:jc w:val="left"/>
            </w:pPr>
            <w:r>
              <w:rPr>
                <w:rFonts w:ascii="仿宋_GB2312" w:hAnsi="仿宋_GB2312" w:cs="仿宋_GB2312" w:eastAsia="仿宋_GB2312"/>
                <w:sz w:val="20"/>
              </w:rPr>
              <w:t>（11）追缴补费：省级稽核系统可将稽核结论中欠费金额为正值的信息上传至部级补费平台，由部级补费平台传输至部级稽核平台。追缴名单内车辆车主可通过部级稽核补费平台或App进行通行费补缴。省级稽核系统将可下载获得用户的补缴信息，并作为用户车辆移出追缴名单的依据。</w:t>
            </w:r>
          </w:p>
          <w:p>
            <w:pPr>
              <w:pStyle w:val="null3"/>
              <w:ind w:firstLine="400"/>
              <w:jc w:val="left"/>
            </w:pPr>
            <w:r>
              <w:rPr>
                <w:rFonts w:ascii="仿宋_GB2312" w:hAnsi="仿宋_GB2312" w:cs="仿宋_GB2312" w:eastAsia="仿宋_GB2312"/>
                <w:sz w:val="20"/>
              </w:rPr>
              <w:t>（12）补费拆分：根据省中心制定的相关规则，将收缴到的补费资金按照稽核结论及结论明细信息拆分至各相关路段。</w:t>
            </w:r>
          </w:p>
          <w:p>
            <w:pPr>
              <w:pStyle w:val="null3"/>
              <w:ind w:firstLine="400"/>
              <w:jc w:val="left"/>
            </w:pPr>
            <w:r>
              <w:rPr>
                <w:rFonts w:ascii="仿宋_GB2312" w:hAnsi="仿宋_GB2312" w:cs="仿宋_GB2312" w:eastAsia="仿宋_GB2312"/>
                <w:sz w:val="20"/>
              </w:rPr>
              <w:t>（13）统计报表：实现报表配置管理、条件管理、历史统计管理、类型管理及报表打印等功能。</w:t>
            </w:r>
          </w:p>
          <w:p>
            <w:pPr>
              <w:pStyle w:val="null3"/>
              <w:ind w:firstLine="400"/>
              <w:jc w:val="left"/>
            </w:pPr>
            <w:r>
              <w:rPr>
                <w:rFonts w:ascii="仿宋_GB2312" w:hAnsi="仿宋_GB2312" w:cs="仿宋_GB2312" w:eastAsia="仿宋_GB2312"/>
                <w:sz w:val="20"/>
              </w:rPr>
              <w:t>（14）信息发布与查询：实现收费稽核相关通知、公告等信息的发布及相关附件上传。提供稽核相关人员信息的查询和发行方机构信息的查询。</w:t>
            </w:r>
          </w:p>
          <w:p>
            <w:pPr>
              <w:pStyle w:val="null3"/>
              <w:ind w:firstLine="400"/>
              <w:jc w:val="left"/>
            </w:pPr>
            <w:r>
              <w:rPr>
                <w:rFonts w:ascii="仿宋_GB2312" w:hAnsi="仿宋_GB2312" w:cs="仿宋_GB2312" w:eastAsia="仿宋_GB2312"/>
                <w:sz w:val="20"/>
              </w:rPr>
              <w:t>（15）网络安全维护：根据省中心检测出的应用软件漏洞，按照网络安全工作要求，对应用软件安全漏洞及时进行升级修复。</w:t>
            </w:r>
          </w:p>
          <w:p>
            <w:pPr>
              <w:pStyle w:val="null3"/>
              <w:ind w:firstLine="400"/>
              <w:jc w:val="left"/>
            </w:pPr>
            <w:r>
              <w:rPr>
                <w:rFonts w:ascii="仿宋_GB2312" w:hAnsi="仿宋_GB2312" w:cs="仿宋_GB2312" w:eastAsia="仿宋_GB2312"/>
                <w:sz w:val="20"/>
              </w:rPr>
              <w:t>（二）技术要求</w:t>
            </w:r>
          </w:p>
          <w:p>
            <w:pPr>
              <w:pStyle w:val="null3"/>
              <w:ind w:firstLine="400"/>
              <w:jc w:val="left"/>
            </w:pPr>
            <w:r>
              <w:rPr>
                <w:rFonts w:ascii="仿宋_GB2312" w:hAnsi="仿宋_GB2312" w:cs="仿宋_GB2312" w:eastAsia="仿宋_GB2312"/>
                <w:sz w:val="20"/>
              </w:rPr>
              <w:t>为提高我省收费稽核工作效率，保障全省收费稽核工作正常平稳开展。按照《陕西省交通运输厅关于建立ETC用户欠交、少交、逃交高速公路通行费联合追交机制的通知》（陕交函〔2022〕183号）要求，由于收费稽核工作涉及环节多，覆盖面广，且相关业务仍在不断优化过程中，故服务商必须对取消高速公路省界收费站后全网收费稽核业务形势十分熟悉，在充分理解现状的情况下，合同期内，提供完善的收费稽核服务。</w:t>
            </w:r>
          </w:p>
          <w:p>
            <w:pPr>
              <w:pStyle w:val="null3"/>
              <w:ind w:firstLine="400"/>
              <w:jc w:val="left"/>
            </w:pPr>
            <w:r>
              <w:rPr>
                <w:rFonts w:ascii="仿宋_GB2312" w:hAnsi="仿宋_GB2312" w:cs="仿宋_GB2312" w:eastAsia="仿宋_GB2312"/>
                <w:sz w:val="20"/>
              </w:rPr>
              <w:t>1.对维护范围内的业务系统软件进行巡查或通过远程进行维护。</w:t>
            </w:r>
          </w:p>
          <w:p>
            <w:pPr>
              <w:pStyle w:val="null3"/>
              <w:ind w:firstLine="400"/>
              <w:jc w:val="left"/>
            </w:pPr>
            <w:r>
              <w:rPr>
                <w:rFonts w:ascii="仿宋_GB2312" w:hAnsi="仿宋_GB2312" w:cs="仿宋_GB2312" w:eastAsia="仿宋_GB2312"/>
                <w:sz w:val="20"/>
              </w:rPr>
              <w:t>2.陕西省级收费稽核系统应对收费系统产生的数据进行全面筛查，以发现偷逃漏通行费行为。系统年处理收费数据量不应少于30亿条，年筛查通行车辆应不少于3亿辆次，年筛选嫌疑车辆应不少于3万辆次。通过对陕西省级收费稽核系统的使用，能够有效提升收费稽核数据分析能力。</w:t>
            </w:r>
          </w:p>
          <w:p>
            <w:pPr>
              <w:pStyle w:val="null3"/>
              <w:ind w:firstLine="400"/>
              <w:jc w:val="left"/>
            </w:pPr>
            <w:r>
              <w:rPr>
                <w:rFonts w:ascii="仿宋_GB2312" w:hAnsi="仿宋_GB2312" w:cs="仿宋_GB2312" w:eastAsia="仿宋_GB2312"/>
                <w:sz w:val="20"/>
              </w:rPr>
              <w:t>3.针对维护范围内的业务系统软件出现的各类故障及异常问题应及时响应和排除。在硬件设备及网络状态正常的情况下，对软件故障及异常问题的响应时间不大于2小时，省级收费稽核平台正常运行率不小于99%，用户对系统使用满意度不小于90%。</w:t>
            </w:r>
          </w:p>
          <w:p>
            <w:pPr>
              <w:pStyle w:val="null3"/>
              <w:ind w:firstLine="400"/>
              <w:jc w:val="left"/>
            </w:pPr>
            <w:r>
              <w:rPr>
                <w:rFonts w:ascii="仿宋_GB2312" w:hAnsi="仿宋_GB2312" w:cs="仿宋_GB2312" w:eastAsia="仿宋_GB2312"/>
                <w:sz w:val="20"/>
              </w:rPr>
              <w:t>二</w:t>
            </w:r>
            <w:r>
              <w:rPr>
                <w:rFonts w:ascii="仿宋_GB2312" w:hAnsi="仿宋_GB2312" w:cs="仿宋_GB2312" w:eastAsia="仿宋_GB2312"/>
                <w:sz w:val="20"/>
              </w:rPr>
              <w:t>、服务要求</w:t>
            </w:r>
          </w:p>
          <w:p>
            <w:pPr>
              <w:pStyle w:val="null3"/>
              <w:ind w:firstLine="400"/>
              <w:jc w:val="left"/>
            </w:pPr>
            <w:r>
              <w:rPr>
                <w:rFonts w:ascii="仿宋_GB2312" w:hAnsi="仿宋_GB2312" w:cs="仿宋_GB2312" w:eastAsia="仿宋_GB2312"/>
                <w:sz w:val="20"/>
              </w:rPr>
              <w:t>（一）服务时间及地点</w:t>
            </w:r>
          </w:p>
          <w:p>
            <w:pPr>
              <w:pStyle w:val="null3"/>
              <w:ind w:firstLine="400"/>
              <w:jc w:val="left"/>
            </w:pPr>
            <w:r>
              <w:rPr>
                <w:rFonts w:ascii="仿宋_GB2312" w:hAnsi="仿宋_GB2312" w:cs="仿宋_GB2312" w:eastAsia="仿宋_GB2312"/>
                <w:sz w:val="20"/>
              </w:rPr>
              <w:t>1.服务时间</w:t>
            </w:r>
          </w:p>
          <w:p>
            <w:pPr>
              <w:pStyle w:val="null3"/>
              <w:ind w:firstLine="400"/>
              <w:jc w:val="left"/>
            </w:pPr>
            <w:r>
              <w:rPr>
                <w:rFonts w:ascii="仿宋_GB2312" w:hAnsi="仿宋_GB2312" w:cs="仿宋_GB2312" w:eastAsia="仿宋_GB2312"/>
                <w:sz w:val="20"/>
              </w:rPr>
              <w:t>2026年7月1日至2027年6月30日。</w:t>
            </w:r>
          </w:p>
          <w:p>
            <w:pPr>
              <w:pStyle w:val="null3"/>
              <w:ind w:firstLine="400"/>
              <w:jc w:val="left"/>
            </w:pPr>
            <w:r>
              <w:rPr>
                <w:rFonts w:ascii="仿宋_GB2312" w:hAnsi="仿宋_GB2312" w:cs="仿宋_GB2312" w:eastAsia="仿宋_GB2312"/>
                <w:sz w:val="20"/>
              </w:rPr>
              <w:t>2.服务地点</w:t>
            </w:r>
          </w:p>
          <w:p>
            <w:pPr>
              <w:pStyle w:val="null3"/>
              <w:ind w:firstLine="400"/>
              <w:jc w:val="left"/>
            </w:pPr>
            <w:r>
              <w:rPr>
                <w:rFonts w:ascii="仿宋_GB2312" w:hAnsi="仿宋_GB2312" w:cs="仿宋_GB2312" w:eastAsia="仿宋_GB2312"/>
                <w:sz w:val="20"/>
              </w:rPr>
              <w:t>陕西省高速公路收费中心。</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二</w:t>
            </w:r>
            <w:r>
              <w:rPr>
                <w:rFonts w:ascii="仿宋_GB2312" w:hAnsi="仿宋_GB2312" w:cs="仿宋_GB2312" w:eastAsia="仿宋_GB2312"/>
                <w:sz w:val="20"/>
              </w:rPr>
              <w:t>）资产要求</w:t>
            </w:r>
          </w:p>
          <w:p>
            <w:pPr>
              <w:pStyle w:val="null3"/>
              <w:jc w:val="both"/>
            </w:pPr>
            <w:r>
              <w:rPr>
                <w:rFonts w:ascii="仿宋_GB2312" w:hAnsi="仿宋_GB2312" w:cs="仿宋_GB2312" w:eastAsia="仿宋_GB2312"/>
                <w:sz w:val="20"/>
              </w:rPr>
              <w:t xml:space="preserve">       陕西省级收费稽核系统采用B/S架构开发，并集中部署运行于省中心虚拟化平台上，稽核产生的各类证据文件等均存储在省中心对象存储服务器中。</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为确保省中心稽核运维工作的顺利开展，供应商应对稽核服务人员素质整体把关，原则上应满足以下条件： 1.指定一名项目经理，须拥有五年以上行业从业经验，具有项目经理、专业服务人员、运行维护等相关服务从业资质。 2.项目组成员（不包括项目经理）至少3人以上。服务人员须拥有三年以上行业服务从业经验。 3.为保证项目的连续性，在项目服务周期内不得随意更换服务人员。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（一）保密要求 项目实施过程中所收集、产生的所有与本项目相关的文档、资料，包括文字、图片、表格、数字等各种形式的所属权均归属省中心，供应商必须对所涉及的内容保密，供应商及服务人员应按照要求签署保密协议。 （二）网络安全要求 供应商需配合省中心网络安全服务体系，对提出的漏洞扫描、策略配置、组件升级、应急处置等保障措施进行积极响应，并按照省中心网络安全服务体系提出的要求及时升级，确保系统安全稳定运行。 （三）新供应商交接过渡期 该项目有新供应商熟悉交接期。新供应商需提前两个月安排人员到现场熟悉服务所对应的相关工作，采购人判定新供应商能力达到后方安排新供应商同之前供应商进行交接，以确保采购人业务的顺畅。熟悉期请遵守采购人相关规章制度并严格对所涉及到的内容保密，熟悉期新供应商人员违反采购人相关规定，造成事故或采购人损失的，由新供应商承担全部责任和费用。该项目招标时会组织现场勘查。 （四）付款要求 服务期间服务总费用不变，采购人无须另向服务单位支付合同约定之外的其它任何费用。</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2026年7月1日至2027年6月30日。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陕西省高速公路收费中心</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（一）履约验收要求 项目履约验收主体为采购人，验收工作流程为供应商提出验收申请之日起30日内，由采购人组织验收工作。本项目为一次性验收，采购人严格按照磋商文件、响应文件和合同约定内容进行履约验收。 （二）验收标准 1.做好稽核系统维护记录。每月提交应用软件日常巡检记录及维护确认单。 2.做好稽核系统成果记录，按月提交《收费稽核服务成果报告》作为必要支付依据。 3.最后一个月结束后5个工作日内，由供应商按照合同约定整理服务期内履约情况及工作成果资料后，向省高速公路收费中心提交申请验收。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生效并进入服务期后按月支付服务费，供应商按照合同约定每月完成服务并提交服务报告，经采购人审核后10个工作日内支付上月服务费，满足服务期限的第一个月后，首次支付供应商须向采购人出具合法有效的全额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合同剩余价款的92%，满足服务期限的第二个月后，供应商按照合同约定每月完成服务并提交服务报告</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合同剩余价款的84%，满足服务期限的第三个月后，供应商按照合同约定每月完成服务并提交服务报告</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合同剩余价款的76%，满足服务期限的第四个月后，供应商按照合同约定每月完成服务并提交服务报告</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剩余价款的68%，供应商按照合同约定每月完成服务并提交服务报告，2026年12月申请年度最后一次支付时，供应商需提供剩余款项的有效银行保函，采购人一次性支付剩余款项，待到项目验收通过后中心退还保函</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68.00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因供应商原因对工作造成实际影响的，按以下条款处理： 1.因供应商工作失误导致相关工作出现错误，每次扣除维护服务费1000元；发生重大网络安全事件的，将根据造成的实际影响及造成的损失进行相应的赔偿；因供应商原因导致合同根本目的无法实现的，采购人有权解除合同并要求供应商支付违约金20万元，违约金不足以弥补采购人损失的，采购人有权继续向其追偿。采购人因追索权利产生的差旅费、律师费、诉讼费等一切合理费用均由供应商承担。 2.重大节假日、重要活动等特殊时期，应加强值班值守，保证 1名工作人员在岗，若发现擅离职守，按次扣除维护服务费2000元作为违约金。 3.供应商如不能及时开具全额发票或采购人要求的保函，采购人有权延时付款且不承担违约责任，直至供应商开具全额发票或采购人要求的保函后再进行付款。 （二）解决争议的方法 双方本着友好合作的态度,对合同履行过程中发生的纠纷应及时协商解决，协商不成的，向采购人所在地有管辖权的人民法院诉讼解决。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3.4.1落实的政府采购政策： （1）《国务院办公厅关于建立政府强制采购节能产品制度的通知》（国办发〔2007〕51号）； （2）《财政部司法部关于政府采购支持监狱企业发展有关问题的通知》（财库〔2014〕68号）； （3）《关于促进残疾人就业政府采购政策的通知》（财库〔2017〕141号）； （4）《陕西省财政厅关于印发&lt;陕西省中小企业政府采购信用融资办法&gt;的通知》（陕财办采〔2018〕23 号）； （5）《财政部发展改革委生态环境部市场监管总局关于调整优化节能产品、环境标志产品政府采购执行机制的通知》（财库〔2019〕9号）； （6）《关于印发环境标志产品政府采购品目清单的通知》（财库〔2019〕18号）； （7）《关于印发节能产品政府采购品目清单的通知》（财库〔2019〕19号）； （8）《关于发布参与实施政府采购节能产品、环境标志产品认证机构名录的公告》—2019年第16号； （9）《陕西省财政厅关于加快推进我省中小企业政府采购信用融资工作的通知》（陕财办采〔2020〕15号）； （10）《政府采购促进中小企业发展管理办法》（财库〔2020〕46号）； （11）关于印发《商品包装政府采购需求标准（试行）》（财办库〔2020〕123号）； （12）《陕西省财政厅陕西省工业和信息化厅关于运用政府采购政策支持首台（套）及创新产品有关事项的通知》（陕财办采〔2021〕17号）； （13）《关于运用政府采购政策支持乡村产业振兴的通知》（财库〔2021〕19号）； （14）《关于进一步加大政府采购支持中小企业力度的通知》（财库〔2022〕19号）； （15）《关于进一步加强政府绿色采购有关问题的通知》（陕财办采〔2021〕29号）； （16）《关于扩大政府采购支持绿色建材促进建筑品质提升政策实施范围的通知》（财库〔2022〕35号）； （17）《国家互联网信息办公室 工业和信息化部 公安部 财政部 国家认证认可监督管理委员会关于调整网络安全专用产品安全管理有关事项的公告》（2023年第1号）； （18）《财政部办公厅 住房城乡建设部办公厅 工业和信息化部办公厅关于印发&lt;政府采购支持绿色建材促进建筑品质提升政策项目实施指南&gt;的通知》（ 财办库〔2023〕52号）； （19）《国务院办公厅关于在政府采购中实施本国产品标准及相关政策的通知》（国办发〔2025〕34号）； （20）《关于推动解决政府采购异常低价问题的通知》（财库〔2026〕2号）； （21）其他需要落实的政府采购政策。如有最新颁布的政府采购政策，按最新的文件执行。 3.4.2本项目为非专门面向中小企业采购。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营业执照或其他组织</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法定代表人直接参加的，提供法定代表人身份证；授权代表参加的，提供法定代表人授权书（附法定代表人及授权代表身份证）；非法人单位参照执行。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或2025年度的财务审计报告并具有在“注册会计师行业统一监管平台”赋予的验证码(包括审计报告、资产负债表、利润表、现金流量表、所有者权益变动表及其附注等，成立时间至提交响应文件截止时间不足一年的可提供成立后任意时段的资产负债表)，或其响应文件提交截止时间前三个月内银行出具的资信证明，或信用担保机构出具的投标担保函(以上三种形式的资料提供任何一种即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依法缴纳税收证明资料</w:t>
            </w:r>
          </w:p>
        </w:tc>
        <w:tc>
          <w:tcPr>
            <w:tcW w:type="dxa" w:w="3322"/>
          </w:tcPr>
          <w:p>
            <w:pPr>
              <w:pStyle w:val="null3"/>
            </w:pPr>
            <w:r>
              <w:rPr>
                <w:rFonts w:ascii="仿宋_GB2312" w:hAnsi="仿宋_GB2312" w:cs="仿宋_GB2312" w:eastAsia="仿宋_GB2312"/>
              </w:rPr>
              <w:t>提供响应文件提交截止时间前一年内至少一个月已缴纳的纳税证明或完税证明(时间以税款所属日期为准)，依法免税的单位应提供相关证明材料，凭据应有税务机关或代收机关的公章或业务专用章；依法免税或无须缴纳税收的供应商，应提供相应证明文件。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依法缴纳社会保险证明资料</w:t>
            </w:r>
          </w:p>
        </w:tc>
        <w:tc>
          <w:tcPr>
            <w:tcW w:type="dxa" w:w="3322"/>
          </w:tcPr>
          <w:p>
            <w:pPr>
              <w:pStyle w:val="null3"/>
            </w:pPr>
            <w:r>
              <w:rPr>
                <w:rFonts w:ascii="仿宋_GB2312" w:hAnsi="仿宋_GB2312" w:cs="仿宋_GB2312" w:eastAsia="仿宋_GB2312"/>
              </w:rPr>
              <w:t>提供响应文件提交截止时间前一年内至少一个月已缴纳的社会保障资金缴存单据或社保机构开具的社会保险参保缴费情况证明，依法不需要缴纳社会保障资金的单位应提供相关证明材料。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提供具有履行合同所必需的设备和专业技术能力的承诺。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本采购包不接受联合体磋商，供应商提供非联合体磋商承诺书。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3.落实《关于推动解决政府采购异常低价问题的通知》财库〔2026〕2号相关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响应文件、磋商响应函加盖供应商公章并经法定代表人或被授权委托人签字或盖章。</w:t>
            </w:r>
          </w:p>
        </w:tc>
        <w:tc>
          <w:tcPr>
            <w:tcW w:type="dxa" w:w="1661"/>
          </w:tcPr>
          <w:p>
            <w:pPr>
              <w:pStyle w:val="null3"/>
            </w:pPr>
            <w:r>
              <w:rPr>
                <w:rFonts w:ascii="仿宋_GB2312" w:hAnsi="仿宋_GB2312" w:cs="仿宋_GB2312" w:eastAsia="仿宋_GB2312"/>
              </w:rPr>
              <w:t>服务内容及服务邀请应答表 中小企业声明函 商务应答表 分项报价明细表.docx 报价表 资格证明资料.docx 响应文件封面 业绩资料.docx 残疾人福利性单位声明函 标的清单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磋商响应文件有效期</w:t>
            </w:r>
          </w:p>
        </w:tc>
        <w:tc>
          <w:tcPr>
            <w:tcW w:type="dxa" w:w="3322"/>
          </w:tcPr>
          <w:p>
            <w:pPr>
              <w:pStyle w:val="null3"/>
            </w:pPr>
            <w:r>
              <w:rPr>
                <w:rFonts w:ascii="仿宋_GB2312" w:hAnsi="仿宋_GB2312" w:cs="仿宋_GB2312" w:eastAsia="仿宋_GB2312"/>
              </w:rPr>
              <w:t>磋商响应文件有效期达到磋商文件的要求。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符合技术、服务、商务要求</w:t>
            </w:r>
          </w:p>
        </w:tc>
        <w:tc>
          <w:tcPr>
            <w:tcW w:type="dxa" w:w="3322"/>
          </w:tcPr>
          <w:p>
            <w:pPr>
              <w:pStyle w:val="null3"/>
            </w:pPr>
            <w:r>
              <w:rPr>
                <w:rFonts w:ascii="仿宋_GB2312" w:hAnsi="仿宋_GB2312" w:cs="仿宋_GB2312" w:eastAsia="仿宋_GB2312"/>
              </w:rPr>
              <w:t>完全响应技术、服务、商务要求。</w:t>
            </w:r>
          </w:p>
        </w:tc>
        <w:tc>
          <w:tcPr>
            <w:tcW w:type="dxa" w:w="1661"/>
          </w:tcPr>
          <w:p>
            <w:pPr>
              <w:pStyle w:val="null3"/>
            </w:pPr>
            <w:r>
              <w:rPr>
                <w:rFonts w:ascii="仿宋_GB2312" w:hAnsi="仿宋_GB2312" w:cs="仿宋_GB2312" w:eastAsia="仿宋_GB2312"/>
              </w:rPr>
              <w:t>服务内容及服务邀请应答表 商务应答表 服务方案.docx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符合磋商文件规定的其他实质性要求的</w:t>
            </w:r>
          </w:p>
        </w:tc>
        <w:tc>
          <w:tcPr>
            <w:tcW w:type="dxa" w:w="3322"/>
          </w:tcPr>
          <w:p>
            <w:pPr>
              <w:pStyle w:val="null3"/>
            </w:pPr>
            <w:r>
              <w:rPr>
                <w:rFonts w:ascii="仿宋_GB2312" w:hAnsi="仿宋_GB2312" w:cs="仿宋_GB2312" w:eastAsia="仿宋_GB2312"/>
              </w:rPr>
              <w:t>符合磋商文件规定的其他实质性要求。</w:t>
            </w:r>
          </w:p>
        </w:tc>
        <w:tc>
          <w:tcPr>
            <w:tcW w:type="dxa" w:w="1661"/>
          </w:tcPr>
          <w:p>
            <w:pPr>
              <w:pStyle w:val="null3"/>
            </w:pPr>
            <w:r>
              <w:rPr>
                <w:rFonts w:ascii="仿宋_GB2312" w:hAnsi="仿宋_GB2312" w:cs="仿宋_GB2312" w:eastAsia="仿宋_GB2312"/>
              </w:rPr>
              <w:t>服务内容及服务邀请应答表 中小企业声明函 商务应答表 分项报价明细表.docx 报价表 资格证明资料.docx 响应文件封面 业绩资料.docx 残疾人福利性单位声明函 标的清单 响应函 服务方案.docx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不存在其他不符合法律法规或磋商文件规定的响应无效条款的情形。</w:t>
            </w:r>
          </w:p>
        </w:tc>
        <w:tc>
          <w:tcPr>
            <w:tcW w:type="dxa" w:w="1661"/>
          </w:tcPr>
          <w:p>
            <w:pPr>
              <w:pStyle w:val="null3"/>
            </w:pPr>
            <w:r>
              <w:rPr>
                <w:rFonts w:ascii="仿宋_GB2312" w:hAnsi="仿宋_GB2312" w:cs="仿宋_GB2312" w:eastAsia="仿宋_GB2312"/>
              </w:rPr>
              <w:t>服务内容及服务邀请应答表 中小企业声明函 商务应答表 分项报价明细表.docx 报价表 资格证明资料.docx 响应文件封面 业绩资料.docx 残疾人福利性单位声明函 标的清单 响应函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项目背景及需求分析</w:t>
            </w:r>
          </w:p>
        </w:tc>
        <w:tc>
          <w:tcPr>
            <w:tcW w:type="dxa" w:w="2492"/>
          </w:tcPr>
          <w:p>
            <w:pPr>
              <w:pStyle w:val="null3"/>
            </w:pPr>
            <w:r>
              <w:rPr>
                <w:rFonts w:ascii="仿宋_GB2312" w:hAnsi="仿宋_GB2312" w:cs="仿宋_GB2312" w:eastAsia="仿宋_GB2312"/>
              </w:rPr>
              <w:t>一、评审内容 针对本项目的服务内容及要求，供应商应对项目背景理解及需求分析，内容包括： 1、对项目背景的理解； 2、对项目的需求分析。 二、评审标准 1、完整性：项目背景及需求分析必须全面，对评审内容中的各项要求有详细描述； 2、可实施性：切合本项目实际情况，项目背景及需求分析具体、合理、可行； 3、针对性：项目背景及需求能够紧扣项目实际需求，内容科学合理。 三、赋分标准（满分6分） 1、对项目背景的理解：每完全满足一个评审标准得 1 分，满分 3 分； 2、对项目的需求分析：每完全满足一个评审标准得 1 分，满分 3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项目服务方案</w:t>
            </w:r>
          </w:p>
        </w:tc>
        <w:tc>
          <w:tcPr>
            <w:tcW w:type="dxa" w:w="2492"/>
          </w:tcPr>
          <w:p>
            <w:pPr>
              <w:pStyle w:val="null3"/>
            </w:pPr>
            <w:r>
              <w:rPr>
                <w:rFonts w:ascii="仿宋_GB2312" w:hAnsi="仿宋_GB2312" w:cs="仿宋_GB2312" w:eastAsia="仿宋_GB2312"/>
              </w:rPr>
              <w:t>一、评审内容 针对本项目服务内容及技术要求，详细列明项目服务方案，方案内容包括： 1、服务目标； 2、服务计划； 3、重难点分析； 4、服务保障机制和安全风险管理。 5、服务成果。 二、评审标准 1、完整性：方案必须全面，对评审内容中的各项要求有详细描述； 2、可实施性：切合本项目实际情况，实施步骤清晰、合理、可行； 3、针对性：方案能够紧扣项目实际需求，内容科学合理。 三、赋分标准（满分15分） 1、服务目标：每完全满足一个评审标准得 1分，满分 3分； 2、服务计划：每完全满足一个评审标准得 1 分，满分3 分； 3、重难点分析：每完全满足一个评审标准得 1 分，满分3 分； 4、服务保障机制和安全风险管理：每完全满足一个评审标准得1 分，满分3 分； 5、服务成果：每完全满足一个评审标准得1 分，满分3 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一、评审内容 为保障收费稽核系统正常稳定运行提供技术方案，内容包括： 1、系统软件的巡查和维护； 2、系统数据的筛查； 3、系统故障的处理。 二、评审标准 1、完整性：内容必须全面，对评审内容中的各项要求有详细描述； 2、可实施性：切合本项目实际情况，实施步骤清晰、合理、可行； 3、针对性：描述能够紧扣项目实际需求，内容科学合理。 三、赋分标准（满分9分） 1、系统软件的巡查和维护：每完全满足一个评审标准得 1分，满分 3分； 2、系统数据的筛查：每完全满足一个评审标准得 1 分，满分3 分； 3、系统故障的处理：每完全满足一个评审标准得 1 分，满分3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项目人员配置</w:t>
            </w:r>
          </w:p>
        </w:tc>
        <w:tc>
          <w:tcPr>
            <w:tcW w:type="dxa" w:w="2492"/>
          </w:tcPr>
          <w:p>
            <w:pPr>
              <w:pStyle w:val="null3"/>
            </w:pPr>
            <w:r>
              <w:rPr>
                <w:rFonts w:ascii="仿宋_GB2312" w:hAnsi="仿宋_GB2312" w:cs="仿宋_GB2312" w:eastAsia="仿宋_GB2312"/>
              </w:rPr>
              <w:t>一、评审内容 结合对本项目的服务内容及要求的人员配置，提供拟投入本项目人员，内容包括： 1、人员组织结构； 2、拟投入本项目的人员配置（提供简历表等，格式自拟，包括但不限于姓名、职务、年龄、工作经验、年限、学历等相关信息）； 3、人员专业技术能力。 二、评审标准 1、完整性：人员配置必须全面，对评审内容中的各项要求有详细描述； 2、可实施性：切合本项目实际情况，人员分工明确，岗位设置合理、可行； 3、针对性：人员配置能够紧扣项目实际需求，科学合理。 三、赋分标准（满分9分） 1、人员组织结构：每完全满足一个评审标准得1分，满分 3分； 2、拟投入本项目的人员配置（提供简历表等，格式自拟，包括但不限于姓名、职务、年龄、工作经验、年限、学历等相关信息）：每完全满足一个评审标准得 1 分，满分3 分； 3、人员专业技术能力：每完全满足一个评审标准得 1 分，满分3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服务保障方案</w:t>
            </w:r>
          </w:p>
        </w:tc>
        <w:tc>
          <w:tcPr>
            <w:tcW w:type="dxa" w:w="2492"/>
          </w:tcPr>
          <w:p>
            <w:pPr>
              <w:pStyle w:val="null3"/>
            </w:pPr>
            <w:r>
              <w:rPr>
                <w:rFonts w:ascii="仿宋_GB2312" w:hAnsi="仿宋_GB2312" w:cs="仿宋_GB2312" w:eastAsia="仿宋_GB2312"/>
              </w:rPr>
              <w:t>一、评审内容 供应商需针对服务内容及技术要求，提供服务保障方案，内容包括： 1、数据质量与管理； 2、数据分析与汇总； 3、数据筛查与推送； 4、系统日常运维； 5、网络安全服务； 6、验收方案。 二、评审标准 1、完整性：内容必须全面，对评审内容中的各项要求有详细描述； 2、可实施性：切合本项目实际情况，实施步骤清晰、合理、可行； 3、针对性：描述能够紧扣项目实际需求，内容科学合理。 三、赋分标准（满分18分） 1、数据质量与管理：每完全满足一个评审标准得1分，满分3分； 2、数据分析与汇总：每完全满足一个评审标准得1分，满分3分； 3、数据筛查与推送：每完全满足一个评审标准得 1分，满分3分； 4、系统日常运维：每完全满足一个评审标准得 1分，满分3分； 5、网络安全服务：每完全满足一个评审标准得 1分，满分3分； 6、验收方案：每完全满足一个评审标准得 1分，满分3分。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服务能力</w:t>
            </w:r>
          </w:p>
        </w:tc>
        <w:tc>
          <w:tcPr>
            <w:tcW w:type="dxa" w:w="2492"/>
          </w:tcPr>
          <w:p>
            <w:pPr>
              <w:pStyle w:val="null3"/>
            </w:pPr>
            <w:r>
              <w:rPr>
                <w:rFonts w:ascii="仿宋_GB2312" w:hAnsi="仿宋_GB2312" w:cs="仿宋_GB2312" w:eastAsia="仿宋_GB2312"/>
              </w:rPr>
              <w:t>一、评审内容 为本项目系统软件及平台维护等提供技术服务，内容包括： 1、项目管理方案； 2、软件功能优化； 3、数据分析能力； 4、报表汇总统计。 二、评审标准 1、完整性：对评审内容中的各项要求有全面、详细描述； 2、可实施性：切合项目实际情况，各项内容清晰、合理、可行； 3、针对性：各项描述能够满足项目的实际需求，内容科学合理。 三、赋分标准（满分12分） 1、项目管理方案：每完全满足一个评审标准得1分，满分3分； 2、软件功能优化：每完全满足一个评审标准得1分，满分3分； 3、数据分析能力：每完全满足一个评审标准得1分，满分3分； 4、报表汇总统计：每完全满足一个评审标准得1分，满分3分。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突发事件响应及解决方案</w:t>
            </w:r>
          </w:p>
        </w:tc>
        <w:tc>
          <w:tcPr>
            <w:tcW w:type="dxa" w:w="2492"/>
          </w:tcPr>
          <w:p>
            <w:pPr>
              <w:pStyle w:val="null3"/>
            </w:pPr>
            <w:r>
              <w:rPr>
                <w:rFonts w:ascii="仿宋_GB2312" w:hAnsi="仿宋_GB2312" w:cs="仿宋_GB2312" w:eastAsia="仿宋_GB2312"/>
              </w:rPr>
              <w:t>一、评审内容 供应商应提供具有完善可行的突发事件响应及解决方案，包括： 1、突发事件响应时间； 2、突发事件解决方案。 二、评审标准 1、完整性：对评审内容中的各项要求有全面、详细描述； 2、可实施性：切合项目实际情况，各项内容清晰、合理、可行； 3、针对性：各项内容能够满足项目及采购人实际需求，内容科学合理。 三、赋分标准（满分6分） 1、突发事件响应时间：每完全满足一个评审标准得 1分，满分3分； 2、突发事件解决方案：每完全满足一个评审标准得1分，满分3分。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供应商应提供2023年1月1日起至今类似项目业绩，每提供1份业绩得1分，满分5分。 注：1、供应商提供的业绩以合同签订时间为准； 2、业绩资料需提供合同（合同关键页含客户名称、项目内容、签订日期、金额）等资料（需有甲方的签字或盖章）的复印件或扫描件，并加盖公章。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业绩资料.docx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报价最低的供应商的价格为磋商基准价，其价格分为满分。其他供应商的价格分统一按照下列公式计算：磋商报价得分=（磋商基准价/最后磋商报价）×价格权重（20%）×100。（对满足价格扣除条件且在响应文件中提交了《中小企业声明函》、《残疾人福利性单位声明函》或省级以上监狱管理局、戒毒管理局（含新疆生产建设兵团）出具的属于监狱企业的证明文件的供应商，其响应报价扣除 10% 后参与评审。对于同时属于小微企业、监狱企业或残疾人福利性单位的，不重复进行响应报价扣除。）</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详见附件：分项报价明细表.docx</w:t>
      </w:r>
    </w:p>
    <w:p>
      <w:pPr>
        <w:pStyle w:val="null3"/>
        <w:ind w:firstLine="960"/>
      </w:pPr>
      <w:r>
        <w:rPr>
          <w:rFonts w:ascii="仿宋_GB2312" w:hAnsi="仿宋_GB2312" w:cs="仿宋_GB2312" w:eastAsia="仿宋_GB2312"/>
        </w:rPr>
        <w:t>详见附件：资格证明资料.docx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详见附件：业绩资料.docx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详见附件：合同主要条款.docx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