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5D6E0">
      <w:pPr>
        <w:widowControl w:val="0"/>
        <w:adjustRightInd w:val="0"/>
        <w:snapToGrid w:val="0"/>
        <w:spacing w:line="360" w:lineRule="auto"/>
        <w:ind w:left="0" w:leftChars="0" w:firstLine="0" w:firstLineChars="0"/>
        <w:jc w:val="both"/>
        <w:rPr>
          <w:rFonts w:hint="default" w:ascii="Times New Roman" w:hAnsi="Times New Roman" w:eastAsia="仿宋" w:cs="Times New Roman"/>
          <w:color w:val="auto"/>
          <w:kern w:val="2"/>
          <w:sz w:val="28"/>
          <w:szCs w:val="22"/>
          <w:highlight w:val="none"/>
          <w:lang w:val="en-US" w:eastAsia="zh-CN" w:bidi="ar-SA"/>
        </w:rPr>
      </w:pPr>
      <w:r>
        <w:rPr>
          <w:rFonts w:hint="eastAsia" w:ascii="Times New Roman" w:hAnsi="Times New Roman" w:eastAsia="仿宋" w:cs="Times New Roman"/>
          <w:color w:val="auto"/>
          <w:kern w:val="2"/>
          <w:sz w:val="28"/>
          <w:szCs w:val="22"/>
          <w:highlight w:val="none"/>
          <w:lang w:val="en-US" w:eastAsia="zh-CN" w:bidi="ar-SA"/>
        </w:rPr>
        <w:t xml:space="preserve">   合同编号：</w:t>
      </w:r>
    </w:p>
    <w:p w14:paraId="0B3478F5">
      <w:pPr>
        <w:spacing w:line="240" w:lineRule="auto"/>
        <w:ind w:left="0" w:leftChars="0" w:right="0" w:rightChars="0" w:firstLine="0" w:firstLineChars="0"/>
        <w:jc w:val="center"/>
        <w:rPr>
          <w:rFonts w:hint="eastAsia" w:ascii="方正小标宋简体" w:hAnsi="方正小标宋简体" w:eastAsia="方正小标宋简体" w:cs="方正小标宋简体"/>
          <w:color w:val="auto"/>
          <w:sz w:val="36"/>
          <w:szCs w:val="36"/>
          <w:highlight w:val="none"/>
          <w:lang w:val="en-US" w:eastAsia="zh-CN"/>
        </w:rPr>
      </w:pPr>
    </w:p>
    <w:p w14:paraId="3448BEDC">
      <w:pPr>
        <w:spacing w:line="240" w:lineRule="auto"/>
        <w:ind w:left="0" w:leftChars="0" w:right="0" w:rightChars="0" w:firstLine="0" w:firstLineChars="0"/>
        <w:jc w:val="center"/>
        <w:rPr>
          <w:rFonts w:hint="eastAsia" w:ascii="方正小标宋简体" w:hAnsi="方正小标宋简体" w:eastAsia="方正小标宋简体" w:cs="方正小标宋简体"/>
          <w:color w:val="auto"/>
          <w:sz w:val="36"/>
          <w:szCs w:val="36"/>
          <w:highlight w:val="none"/>
          <w:lang w:val="en-US" w:eastAsia="zh-CN"/>
        </w:rPr>
      </w:pPr>
    </w:p>
    <w:p w14:paraId="16C4E71B">
      <w:pPr>
        <w:spacing w:line="240" w:lineRule="auto"/>
        <w:ind w:left="0" w:leftChars="0" w:right="0" w:rightChars="0" w:firstLine="0" w:firstLineChars="0"/>
        <w:jc w:val="center"/>
        <w:rPr>
          <w:rFonts w:hint="default" w:ascii="方正小标宋简体" w:hAnsi="方正小标宋简体" w:eastAsia="方正小标宋简体" w:cs="方正小标宋简体"/>
          <w:color w:val="auto"/>
          <w:sz w:val="36"/>
          <w:szCs w:val="36"/>
          <w:highlight w:val="none"/>
          <w:lang w:val="en-US" w:eastAsia="zh-CN"/>
        </w:rPr>
      </w:pPr>
      <w:r>
        <w:rPr>
          <w:rFonts w:hint="eastAsia" w:ascii="方正小标宋简体" w:hAnsi="方正小标宋简体" w:eastAsia="方正小标宋简体" w:cs="方正小标宋简体"/>
          <w:color w:val="auto"/>
          <w:sz w:val="36"/>
          <w:szCs w:val="36"/>
          <w:highlight w:val="none"/>
          <w:lang w:val="en-US" w:eastAsia="zh-CN"/>
        </w:rPr>
        <w:t>陕西省地质环境监测总站（陕西省地质灾害中心）</w:t>
      </w:r>
    </w:p>
    <w:p w14:paraId="3AD6B102">
      <w:pPr>
        <w:spacing w:line="240" w:lineRule="auto"/>
        <w:ind w:left="0" w:leftChars="0" w:right="0" w:rightChars="0" w:firstLine="0" w:firstLineChars="0"/>
        <w:jc w:val="center"/>
        <w:rPr>
          <w:rFonts w:hint="default" w:ascii="方正小标宋简体" w:hAnsi="方正小标宋简体" w:eastAsia="方正小标宋简体" w:cs="方正小标宋简体"/>
          <w:color w:val="auto"/>
          <w:sz w:val="72"/>
          <w:szCs w:val="72"/>
          <w:highlight w:val="none"/>
          <w:lang w:val="en-US" w:eastAsia="zh-CN"/>
        </w:rPr>
      </w:pPr>
      <w:r>
        <w:rPr>
          <w:rFonts w:hint="eastAsia" w:ascii="方正小标宋简体" w:hAnsi="方正小标宋简体" w:eastAsia="方正小标宋简体" w:cs="方正小标宋简体"/>
          <w:color w:val="auto"/>
          <w:sz w:val="56"/>
          <w:szCs w:val="56"/>
          <w:highlight w:val="none"/>
          <w:lang w:val="en-US" w:eastAsia="zh-CN"/>
        </w:rPr>
        <w:t>委托业务合同书</w:t>
      </w:r>
    </w:p>
    <w:p w14:paraId="7AE1F071">
      <w:pPr>
        <w:widowControl w:val="0"/>
        <w:ind w:firstLine="1440" w:firstLineChars="200"/>
        <w:jc w:val="both"/>
        <w:rPr>
          <w:rFonts w:hint="eastAsia" w:ascii="方正小标宋简体" w:hAnsi="方正小标宋简体" w:eastAsia="方正小标宋简体" w:cs="方正小标宋简体"/>
          <w:color w:val="auto"/>
          <w:kern w:val="2"/>
          <w:sz w:val="72"/>
          <w:szCs w:val="72"/>
          <w:highlight w:val="none"/>
          <w:lang w:val="en-US" w:eastAsia="zh-CN" w:bidi="ar-SA"/>
        </w:rPr>
      </w:pPr>
    </w:p>
    <w:p w14:paraId="3691B2E3">
      <w:pPr>
        <w:widowControl w:val="0"/>
        <w:ind w:firstLine="1040" w:firstLineChars="200"/>
        <w:jc w:val="both"/>
        <w:rPr>
          <w:rFonts w:hint="eastAsia" w:ascii="方正小标宋简体" w:hAnsi="方正小标宋简体" w:eastAsia="方正小标宋简体" w:cs="方正小标宋简体"/>
          <w:color w:val="auto"/>
          <w:kern w:val="2"/>
          <w:sz w:val="52"/>
          <w:szCs w:val="52"/>
          <w:highlight w:val="none"/>
          <w:lang w:val="en-US" w:eastAsia="zh-CN" w:bidi="ar-SA"/>
        </w:rPr>
      </w:pPr>
    </w:p>
    <w:p w14:paraId="51FC607D">
      <w:pPr>
        <w:widowControl w:val="0"/>
        <w:ind w:firstLine="1440" w:firstLineChars="200"/>
        <w:jc w:val="both"/>
        <w:rPr>
          <w:rFonts w:hint="eastAsia" w:ascii="方正小标宋简体" w:hAnsi="方正小标宋简体" w:eastAsia="方正小标宋简体" w:cs="方正小标宋简体"/>
          <w:color w:val="auto"/>
          <w:kern w:val="2"/>
          <w:sz w:val="72"/>
          <w:szCs w:val="72"/>
          <w:highlight w:val="none"/>
          <w:lang w:val="en-US" w:eastAsia="zh-CN" w:bidi="ar-SA"/>
        </w:rPr>
      </w:pPr>
    </w:p>
    <w:p w14:paraId="725A9EE0">
      <w:pPr>
        <w:widowControl w:val="0"/>
        <w:ind w:firstLine="1440" w:firstLineChars="200"/>
        <w:jc w:val="both"/>
        <w:rPr>
          <w:rFonts w:hint="eastAsia" w:ascii="方正小标宋简体" w:hAnsi="方正小标宋简体" w:eastAsia="方正小标宋简体" w:cs="方正小标宋简体"/>
          <w:color w:val="auto"/>
          <w:kern w:val="2"/>
          <w:sz w:val="72"/>
          <w:szCs w:val="72"/>
          <w:highlight w:val="none"/>
          <w:lang w:val="en-US" w:eastAsia="zh-CN" w:bidi="ar-SA"/>
        </w:rPr>
      </w:pPr>
    </w:p>
    <w:tbl>
      <w:tblPr>
        <w:tblStyle w:val="4"/>
        <w:tblpPr w:leftFromText="180" w:rightFromText="180" w:vertAnchor="text" w:horzAnchor="page" w:tblpX="1690" w:tblpY="357"/>
        <w:tblOverlap w:val="never"/>
        <w:tblW w:w="8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53"/>
        <w:gridCol w:w="240"/>
        <w:gridCol w:w="6615"/>
      </w:tblGrid>
      <w:tr w14:paraId="3483A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noWrap w:val="0"/>
            <w:vAlign w:val="center"/>
          </w:tcPr>
          <w:p w14:paraId="19498E1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distribute"/>
              <w:textAlignment w:val="auto"/>
              <w:rPr>
                <w:rFonts w:hint="default" w:ascii="宋体" w:hAnsi="宋体" w:eastAsia="宋体" w:cs="宋体"/>
                <w:b/>
                <w:bCs/>
                <w:color w:val="auto"/>
                <w:kern w:val="2"/>
                <w:sz w:val="30"/>
                <w:szCs w:val="30"/>
                <w:highlight w:val="none"/>
                <w:vertAlign w:val="baseline"/>
                <w:lang w:val="en-US" w:eastAsia="zh-CN" w:bidi="ar-SA"/>
              </w:rPr>
            </w:pPr>
            <w:r>
              <w:rPr>
                <w:rFonts w:hint="eastAsia" w:ascii="宋体" w:hAnsi="宋体" w:eastAsia="宋体" w:cs="宋体"/>
                <w:b/>
                <w:bCs/>
                <w:color w:val="auto"/>
                <w:kern w:val="2"/>
                <w:sz w:val="30"/>
                <w:szCs w:val="30"/>
                <w:highlight w:val="none"/>
                <w:vertAlign w:val="baseline"/>
                <w:lang w:val="en-US" w:eastAsia="zh-CN" w:bidi="ar-SA"/>
              </w:rPr>
              <w:t>项目名称</w:t>
            </w:r>
          </w:p>
        </w:tc>
        <w:tc>
          <w:tcPr>
            <w:tcW w:w="240" w:type="dxa"/>
            <w:noWrap w:val="0"/>
            <w:vAlign w:val="center"/>
          </w:tcPr>
          <w:p w14:paraId="686BDE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仿宋_GB2312" w:hAnsi="仿宋_GB2312" w:eastAsia="仿宋_GB2312" w:cs="仿宋_GB2312"/>
                <w:b/>
                <w:bCs/>
                <w:color w:val="auto"/>
                <w:kern w:val="2"/>
                <w:sz w:val="30"/>
                <w:szCs w:val="30"/>
                <w:highlight w:val="none"/>
                <w:vertAlign w:val="baseline"/>
                <w:lang w:val="en-US" w:eastAsia="zh-CN" w:bidi="ar-SA"/>
              </w:rPr>
            </w:pPr>
            <w:r>
              <w:rPr>
                <w:rFonts w:hint="eastAsia" w:ascii="仿宋_GB2312" w:hAnsi="仿宋_GB2312" w:eastAsia="仿宋_GB2312" w:cs="仿宋_GB2312"/>
                <w:b/>
                <w:bCs/>
                <w:color w:val="auto"/>
                <w:kern w:val="2"/>
                <w:sz w:val="30"/>
                <w:szCs w:val="30"/>
                <w:highlight w:val="none"/>
                <w:vertAlign w:val="baseline"/>
                <w:lang w:val="en-US" w:eastAsia="zh-CN" w:bidi="ar-SA"/>
              </w:rPr>
              <w:t>：</w:t>
            </w:r>
          </w:p>
        </w:tc>
        <w:tc>
          <w:tcPr>
            <w:tcW w:w="6615" w:type="dxa"/>
            <w:noWrap w:val="0"/>
            <w:vAlign w:val="center"/>
          </w:tcPr>
          <w:p w14:paraId="5E1F568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default" w:ascii="宋体" w:hAnsi="宋体" w:eastAsia="宋体" w:cs="宋体"/>
                <w:color w:val="auto"/>
                <w:kern w:val="2"/>
                <w:sz w:val="30"/>
                <w:szCs w:val="30"/>
                <w:highlight w:val="none"/>
                <w:vertAlign w:val="baseline"/>
                <w:lang w:val="en-US" w:eastAsia="zh-CN" w:bidi="ar-SA"/>
              </w:rPr>
            </w:pPr>
            <w:r>
              <w:rPr>
                <w:rFonts w:hint="eastAsia" w:ascii="宋体" w:hAnsi="宋体" w:eastAsia="宋体" w:cs="宋体"/>
                <w:color w:val="auto"/>
                <w:kern w:val="2"/>
                <w:sz w:val="30"/>
                <w:szCs w:val="30"/>
                <w:highlight w:val="none"/>
                <w:vertAlign w:val="baseline"/>
                <w:lang w:val="en-US" w:eastAsia="zh-CN" w:bidi="ar-SA"/>
              </w:rPr>
              <w:t>陕西省2026年地质灾害风险预警</w:t>
            </w:r>
          </w:p>
        </w:tc>
      </w:tr>
      <w:tr w14:paraId="1BFF2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noWrap w:val="0"/>
            <w:vAlign w:val="center"/>
          </w:tcPr>
          <w:p w14:paraId="5CA545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distribute"/>
              <w:textAlignment w:val="auto"/>
              <w:rPr>
                <w:rFonts w:hint="default" w:ascii="宋体" w:hAnsi="宋体" w:eastAsia="宋体" w:cs="宋体"/>
                <w:b/>
                <w:bCs/>
                <w:color w:val="auto"/>
                <w:kern w:val="2"/>
                <w:sz w:val="30"/>
                <w:szCs w:val="30"/>
                <w:highlight w:val="none"/>
                <w:vertAlign w:val="baseline"/>
                <w:lang w:val="en-US" w:eastAsia="zh-CN" w:bidi="ar-SA"/>
              </w:rPr>
            </w:pPr>
            <w:r>
              <w:rPr>
                <w:rFonts w:hint="eastAsia" w:ascii="宋体" w:hAnsi="宋体" w:eastAsia="宋体" w:cs="宋体"/>
                <w:b/>
                <w:bCs/>
                <w:color w:val="auto"/>
                <w:kern w:val="2"/>
                <w:sz w:val="30"/>
                <w:szCs w:val="30"/>
                <w:highlight w:val="none"/>
                <w:vertAlign w:val="baseline"/>
                <w:lang w:val="en-US" w:eastAsia="zh-CN" w:bidi="ar-SA"/>
              </w:rPr>
              <w:t>委托业务名称</w:t>
            </w:r>
          </w:p>
        </w:tc>
        <w:tc>
          <w:tcPr>
            <w:tcW w:w="240" w:type="dxa"/>
            <w:noWrap w:val="0"/>
            <w:vAlign w:val="center"/>
          </w:tcPr>
          <w:p w14:paraId="0E6CE3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仿宋_GB2312" w:hAnsi="仿宋_GB2312" w:eastAsia="仿宋_GB2312" w:cs="仿宋_GB2312"/>
                <w:b/>
                <w:bCs/>
                <w:color w:val="auto"/>
                <w:kern w:val="2"/>
                <w:sz w:val="30"/>
                <w:szCs w:val="30"/>
                <w:highlight w:val="none"/>
                <w:vertAlign w:val="baseline"/>
                <w:lang w:val="en-US" w:eastAsia="zh-CN" w:bidi="ar-SA"/>
              </w:rPr>
            </w:pPr>
            <w:r>
              <w:rPr>
                <w:rFonts w:hint="eastAsia" w:ascii="仿宋_GB2312" w:hAnsi="仿宋_GB2312" w:eastAsia="仿宋_GB2312" w:cs="仿宋_GB2312"/>
                <w:b/>
                <w:bCs/>
                <w:color w:val="auto"/>
                <w:kern w:val="2"/>
                <w:sz w:val="30"/>
                <w:szCs w:val="30"/>
                <w:highlight w:val="none"/>
                <w:vertAlign w:val="baseline"/>
                <w:lang w:val="en-US" w:eastAsia="zh-CN" w:bidi="ar-SA"/>
              </w:rPr>
              <w:t>：</w:t>
            </w:r>
          </w:p>
        </w:tc>
        <w:tc>
          <w:tcPr>
            <w:tcW w:w="6615" w:type="dxa"/>
            <w:noWrap w:val="0"/>
            <w:vAlign w:val="center"/>
          </w:tcPr>
          <w:p w14:paraId="70C4D5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宋体" w:hAnsi="宋体" w:eastAsia="宋体" w:cs="宋体"/>
                <w:color w:val="auto"/>
                <w:kern w:val="2"/>
                <w:sz w:val="30"/>
                <w:szCs w:val="30"/>
                <w:highlight w:val="none"/>
                <w:vertAlign w:val="baseline"/>
                <w:lang w:val="en-US" w:eastAsia="zh-CN" w:bidi="ar-SA"/>
              </w:rPr>
            </w:pPr>
            <w:r>
              <w:rPr>
                <w:rFonts w:hint="default" w:ascii="宋体" w:hAnsi="宋体" w:eastAsia="宋体" w:cs="宋体"/>
                <w:color w:val="auto"/>
                <w:kern w:val="2"/>
                <w:sz w:val="30"/>
                <w:szCs w:val="30"/>
                <w:highlight w:val="none"/>
                <w:vertAlign w:val="baseline"/>
                <w:lang w:val="en-US" w:eastAsia="zh-CN" w:bidi="ar-SA"/>
              </w:rPr>
              <w:t>202</w:t>
            </w:r>
            <w:r>
              <w:rPr>
                <w:rFonts w:hint="eastAsia" w:ascii="宋体" w:hAnsi="宋体" w:eastAsia="宋体" w:cs="宋体"/>
                <w:color w:val="auto"/>
                <w:kern w:val="2"/>
                <w:sz w:val="30"/>
                <w:szCs w:val="30"/>
                <w:highlight w:val="none"/>
                <w:vertAlign w:val="baseline"/>
                <w:lang w:val="en-US" w:eastAsia="zh-CN" w:bidi="ar-SA"/>
              </w:rPr>
              <w:t>6年省级地质灾害气象风险预警数据服务</w:t>
            </w:r>
          </w:p>
        </w:tc>
      </w:tr>
      <w:tr w14:paraId="241C9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noWrap w:val="0"/>
            <w:vAlign w:val="center"/>
          </w:tcPr>
          <w:p w14:paraId="656C5B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distribute"/>
              <w:textAlignment w:val="auto"/>
              <w:rPr>
                <w:rFonts w:hint="eastAsia" w:ascii="宋体" w:hAnsi="宋体" w:eastAsia="宋体" w:cs="宋体"/>
                <w:b/>
                <w:bCs/>
                <w:color w:val="auto"/>
                <w:kern w:val="2"/>
                <w:sz w:val="30"/>
                <w:szCs w:val="30"/>
                <w:highlight w:val="none"/>
                <w:vertAlign w:val="baseline"/>
                <w:lang w:val="en-US" w:eastAsia="zh-CN" w:bidi="ar-SA"/>
              </w:rPr>
            </w:pPr>
            <w:r>
              <w:rPr>
                <w:rFonts w:hint="eastAsia" w:ascii="宋体" w:hAnsi="宋体" w:eastAsia="宋体" w:cs="宋体"/>
                <w:b/>
                <w:bCs/>
                <w:color w:val="auto"/>
                <w:kern w:val="2"/>
                <w:sz w:val="30"/>
                <w:szCs w:val="30"/>
                <w:highlight w:val="none"/>
                <w:vertAlign w:val="baseline"/>
                <w:lang w:val="en-US" w:eastAsia="zh-CN" w:bidi="ar-SA"/>
              </w:rPr>
              <w:t>甲   方</w:t>
            </w:r>
          </w:p>
        </w:tc>
        <w:tc>
          <w:tcPr>
            <w:tcW w:w="240" w:type="dxa"/>
            <w:noWrap w:val="0"/>
            <w:vAlign w:val="center"/>
          </w:tcPr>
          <w:p w14:paraId="791C14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仿宋_GB2312" w:hAnsi="仿宋_GB2312" w:eastAsia="仿宋_GB2312" w:cs="仿宋_GB2312"/>
                <w:b/>
                <w:bCs/>
                <w:color w:val="auto"/>
                <w:kern w:val="2"/>
                <w:sz w:val="30"/>
                <w:szCs w:val="30"/>
                <w:highlight w:val="none"/>
                <w:vertAlign w:val="baseline"/>
                <w:lang w:val="en-US" w:eastAsia="zh-CN" w:bidi="ar-SA"/>
              </w:rPr>
            </w:pPr>
            <w:r>
              <w:rPr>
                <w:rFonts w:hint="eastAsia" w:ascii="仿宋_GB2312" w:hAnsi="仿宋_GB2312" w:eastAsia="仿宋_GB2312" w:cs="仿宋_GB2312"/>
                <w:b/>
                <w:bCs/>
                <w:color w:val="auto"/>
                <w:kern w:val="2"/>
                <w:sz w:val="30"/>
                <w:szCs w:val="30"/>
                <w:highlight w:val="none"/>
                <w:vertAlign w:val="baseline"/>
                <w:lang w:val="en-US" w:eastAsia="zh-CN" w:bidi="ar-SA"/>
              </w:rPr>
              <w:t>：</w:t>
            </w:r>
          </w:p>
        </w:tc>
        <w:tc>
          <w:tcPr>
            <w:tcW w:w="6615" w:type="dxa"/>
            <w:noWrap w:val="0"/>
            <w:vAlign w:val="center"/>
          </w:tcPr>
          <w:p w14:paraId="7C79CCB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宋体" w:hAnsi="宋体" w:eastAsia="宋体" w:cs="宋体"/>
                <w:color w:val="auto"/>
                <w:kern w:val="2"/>
                <w:sz w:val="30"/>
                <w:szCs w:val="30"/>
                <w:highlight w:val="none"/>
                <w:vertAlign w:val="baseline"/>
                <w:lang w:val="en-US" w:eastAsia="zh-CN" w:bidi="ar-SA"/>
              </w:rPr>
            </w:pPr>
            <w:r>
              <w:rPr>
                <w:rFonts w:hint="eastAsia" w:ascii="宋体" w:hAnsi="宋体" w:eastAsia="宋体" w:cs="宋体"/>
                <w:color w:val="auto"/>
                <w:kern w:val="2"/>
                <w:sz w:val="30"/>
                <w:szCs w:val="30"/>
                <w:highlight w:val="none"/>
                <w:vertAlign w:val="baseline"/>
                <w:lang w:val="en-US" w:eastAsia="zh-CN" w:bidi="ar-SA"/>
              </w:rPr>
              <w:t>陕西省地质环境监测总站（陕西省地质灾害中心）</w:t>
            </w:r>
          </w:p>
        </w:tc>
      </w:tr>
      <w:tr w14:paraId="3F52E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noWrap w:val="0"/>
            <w:vAlign w:val="center"/>
          </w:tcPr>
          <w:p w14:paraId="4664B9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distribute"/>
              <w:textAlignment w:val="auto"/>
              <w:rPr>
                <w:rFonts w:hint="eastAsia" w:ascii="宋体" w:hAnsi="宋体" w:eastAsia="宋体" w:cs="宋体"/>
                <w:b/>
                <w:bCs/>
                <w:color w:val="auto"/>
                <w:kern w:val="2"/>
                <w:sz w:val="30"/>
                <w:szCs w:val="30"/>
                <w:highlight w:val="none"/>
                <w:vertAlign w:val="baseline"/>
                <w:lang w:val="en-US" w:eastAsia="zh-CN" w:bidi="ar-SA"/>
              </w:rPr>
            </w:pPr>
            <w:r>
              <w:rPr>
                <w:rFonts w:hint="eastAsia" w:ascii="宋体" w:hAnsi="宋体" w:eastAsia="宋体" w:cs="宋体"/>
                <w:b/>
                <w:bCs/>
                <w:color w:val="auto"/>
                <w:kern w:val="2"/>
                <w:sz w:val="30"/>
                <w:szCs w:val="30"/>
                <w:highlight w:val="none"/>
                <w:vertAlign w:val="baseline"/>
                <w:lang w:val="en-US" w:eastAsia="zh-CN" w:bidi="ar-SA"/>
              </w:rPr>
              <w:t>乙    方</w:t>
            </w:r>
          </w:p>
        </w:tc>
        <w:tc>
          <w:tcPr>
            <w:tcW w:w="240" w:type="dxa"/>
            <w:noWrap w:val="0"/>
            <w:vAlign w:val="center"/>
          </w:tcPr>
          <w:p w14:paraId="103A154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仿宋_GB2312" w:hAnsi="仿宋_GB2312" w:eastAsia="仿宋_GB2312" w:cs="仿宋_GB2312"/>
                <w:b/>
                <w:bCs/>
                <w:color w:val="auto"/>
                <w:kern w:val="2"/>
                <w:sz w:val="30"/>
                <w:szCs w:val="30"/>
                <w:highlight w:val="none"/>
                <w:vertAlign w:val="baseline"/>
                <w:lang w:val="en-US" w:eastAsia="zh-CN" w:bidi="ar-SA"/>
              </w:rPr>
            </w:pPr>
            <w:r>
              <w:rPr>
                <w:rFonts w:hint="eastAsia" w:ascii="仿宋_GB2312" w:hAnsi="仿宋_GB2312" w:eastAsia="仿宋_GB2312" w:cs="仿宋_GB2312"/>
                <w:b/>
                <w:bCs/>
                <w:color w:val="auto"/>
                <w:kern w:val="2"/>
                <w:sz w:val="30"/>
                <w:szCs w:val="30"/>
                <w:highlight w:val="none"/>
                <w:vertAlign w:val="baseline"/>
                <w:lang w:val="en-US" w:eastAsia="zh-CN" w:bidi="ar-SA"/>
              </w:rPr>
              <w:t>：</w:t>
            </w:r>
          </w:p>
        </w:tc>
        <w:tc>
          <w:tcPr>
            <w:tcW w:w="6615" w:type="dxa"/>
            <w:noWrap w:val="0"/>
            <w:vAlign w:val="center"/>
          </w:tcPr>
          <w:p w14:paraId="5DD7C10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default" w:ascii="宋体" w:hAnsi="宋体" w:eastAsia="宋体" w:cs="宋体"/>
                <w:color w:val="auto"/>
                <w:kern w:val="2"/>
                <w:sz w:val="30"/>
                <w:szCs w:val="30"/>
                <w:highlight w:val="none"/>
                <w:vertAlign w:val="baseline"/>
                <w:lang w:val="en-US" w:eastAsia="zh-CN" w:bidi="ar-SA"/>
              </w:rPr>
            </w:pPr>
          </w:p>
        </w:tc>
      </w:tr>
      <w:tr w14:paraId="10911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trPr>
        <w:tc>
          <w:tcPr>
            <w:tcW w:w="2053" w:type="dxa"/>
            <w:noWrap w:val="0"/>
            <w:vAlign w:val="center"/>
          </w:tcPr>
          <w:p w14:paraId="4F87A3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distribute"/>
              <w:textAlignment w:val="auto"/>
              <w:rPr>
                <w:rFonts w:hint="eastAsia" w:ascii="宋体" w:hAnsi="宋体" w:eastAsia="宋体" w:cs="宋体"/>
                <w:b/>
                <w:bCs/>
                <w:color w:val="auto"/>
                <w:kern w:val="2"/>
                <w:sz w:val="30"/>
                <w:szCs w:val="30"/>
                <w:highlight w:val="none"/>
                <w:vertAlign w:val="baseline"/>
                <w:lang w:val="en-US" w:eastAsia="zh-CN" w:bidi="ar-SA"/>
              </w:rPr>
            </w:pPr>
            <w:r>
              <w:rPr>
                <w:rFonts w:hint="eastAsia" w:ascii="宋体" w:hAnsi="宋体" w:eastAsia="宋体" w:cs="宋体"/>
                <w:b/>
                <w:bCs/>
                <w:color w:val="auto"/>
                <w:kern w:val="2"/>
                <w:sz w:val="30"/>
                <w:szCs w:val="30"/>
                <w:highlight w:val="none"/>
                <w:vertAlign w:val="baseline"/>
                <w:lang w:val="en-US" w:eastAsia="zh-CN" w:bidi="ar-SA"/>
              </w:rPr>
              <w:t>签订时间</w:t>
            </w:r>
          </w:p>
        </w:tc>
        <w:tc>
          <w:tcPr>
            <w:tcW w:w="240" w:type="dxa"/>
            <w:noWrap w:val="0"/>
            <w:vAlign w:val="center"/>
          </w:tcPr>
          <w:p w14:paraId="3523202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仿宋_GB2312" w:hAnsi="仿宋_GB2312" w:eastAsia="仿宋_GB2312" w:cs="仿宋_GB2312"/>
                <w:b/>
                <w:bCs/>
                <w:color w:val="auto"/>
                <w:kern w:val="2"/>
                <w:sz w:val="30"/>
                <w:szCs w:val="30"/>
                <w:highlight w:val="none"/>
                <w:vertAlign w:val="baseline"/>
                <w:lang w:val="en-US" w:eastAsia="zh-CN" w:bidi="ar-SA"/>
              </w:rPr>
            </w:pPr>
            <w:r>
              <w:rPr>
                <w:rFonts w:hint="eastAsia" w:ascii="仿宋_GB2312" w:hAnsi="仿宋_GB2312" w:eastAsia="仿宋_GB2312" w:cs="仿宋_GB2312"/>
                <w:b/>
                <w:bCs/>
                <w:color w:val="auto"/>
                <w:kern w:val="2"/>
                <w:sz w:val="30"/>
                <w:szCs w:val="30"/>
                <w:highlight w:val="none"/>
                <w:vertAlign w:val="baseline"/>
                <w:lang w:val="en-US" w:eastAsia="zh-CN" w:bidi="ar-SA"/>
              </w:rPr>
              <w:t>：</w:t>
            </w:r>
          </w:p>
        </w:tc>
        <w:tc>
          <w:tcPr>
            <w:tcW w:w="6615" w:type="dxa"/>
            <w:noWrap w:val="0"/>
            <w:vAlign w:val="center"/>
          </w:tcPr>
          <w:p w14:paraId="537024A3">
            <w:pPr>
              <w:keepNext w:val="0"/>
              <w:keepLines w:val="0"/>
              <w:pageBreakBefore w:val="0"/>
              <w:widowControl w:val="0"/>
              <w:kinsoku/>
              <w:wordWrap/>
              <w:overflowPunct/>
              <w:topLinePunct w:val="0"/>
              <w:autoSpaceDE/>
              <w:autoSpaceDN/>
              <w:bidi w:val="0"/>
              <w:adjustRightInd/>
              <w:snapToGrid/>
              <w:spacing w:line="240" w:lineRule="auto"/>
              <w:ind w:right="0" w:rightChars="0" w:firstLine="0" w:firstLineChars="0"/>
              <w:jc w:val="left"/>
              <w:textAlignment w:val="auto"/>
              <w:rPr>
                <w:rFonts w:hint="eastAsia" w:ascii="宋体" w:hAnsi="宋体" w:eastAsia="宋体" w:cs="宋体"/>
                <w:color w:val="auto"/>
                <w:kern w:val="2"/>
                <w:sz w:val="30"/>
                <w:szCs w:val="30"/>
                <w:highlight w:val="none"/>
                <w:vertAlign w:val="baseline"/>
                <w:lang w:val="en-US" w:eastAsia="zh-CN" w:bidi="ar-SA"/>
              </w:rPr>
            </w:pPr>
            <w:r>
              <w:rPr>
                <w:rFonts w:hint="eastAsia" w:ascii="宋体" w:hAnsi="宋体" w:eastAsia="宋体" w:cs="宋体"/>
                <w:color w:val="auto"/>
                <w:kern w:val="2"/>
                <w:sz w:val="30"/>
                <w:szCs w:val="30"/>
                <w:highlight w:val="none"/>
                <w:vertAlign w:val="baseline"/>
                <w:lang w:val="en-US" w:eastAsia="zh-CN" w:bidi="ar-SA"/>
              </w:rPr>
              <w:t>2026 年 7 月</w:t>
            </w:r>
          </w:p>
        </w:tc>
      </w:tr>
    </w:tbl>
    <w:p w14:paraId="5A56BA55">
      <w:pPr>
        <w:widowControl w:val="0"/>
        <w:ind w:firstLine="1440" w:firstLineChars="200"/>
        <w:jc w:val="both"/>
        <w:rPr>
          <w:rFonts w:hint="eastAsia" w:ascii="方正小标宋简体" w:hAnsi="方正小标宋简体" w:eastAsia="方正小标宋简体" w:cs="方正小标宋简体"/>
          <w:color w:val="auto"/>
          <w:kern w:val="2"/>
          <w:sz w:val="72"/>
          <w:szCs w:val="72"/>
          <w:highlight w:val="none"/>
          <w:lang w:val="en-US" w:eastAsia="zh-CN" w:bidi="ar-SA"/>
        </w:rPr>
      </w:pPr>
    </w:p>
    <w:p w14:paraId="0B2A5416">
      <w:pPr>
        <w:rPr>
          <w:rFonts w:hint="eastAsia" w:ascii="方正小标宋简体" w:hAnsi="方正小标宋简体" w:eastAsia="方正小标宋简体" w:cs="方正小标宋简体"/>
          <w:color w:val="auto"/>
          <w:sz w:val="72"/>
          <w:szCs w:val="72"/>
          <w:highlight w:val="none"/>
          <w:lang w:val="en-US" w:eastAsia="zh-CN"/>
        </w:rPr>
        <w:sectPr>
          <w:footerReference r:id="rId5" w:type="default"/>
          <w:pgSz w:w="11906" w:h="16838"/>
          <w:pgMar w:top="1418" w:right="1701" w:bottom="1418" w:left="1701" w:header="1134" w:footer="992" w:gutter="0"/>
          <w:pgNumType w:fmt="decimal"/>
          <w:cols w:space="720" w:num="1"/>
          <w:docGrid w:type="lines" w:linePitch="312" w:charSpace="0"/>
        </w:sectPr>
      </w:pPr>
    </w:p>
    <w:p w14:paraId="6C8C8FB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color w:val="auto"/>
          <w:sz w:val="24"/>
          <w:szCs w:val="24"/>
          <w:highlight w:val="none"/>
          <w:u w:val="none"/>
          <w:lang w:val="en-US" w:eastAsia="zh-CN"/>
        </w:rPr>
      </w:pPr>
      <w:r>
        <w:rPr>
          <w:rFonts w:hint="eastAsia" w:ascii="Times New Roman" w:hAnsi="Times New Roman" w:eastAsia="宋体" w:cs="Times New Roman"/>
          <w:color w:val="auto"/>
          <w:sz w:val="24"/>
          <w:szCs w:val="24"/>
          <w:highlight w:val="none"/>
          <w:lang w:val="en-US" w:eastAsia="zh-CN"/>
        </w:rPr>
        <w:t>陕西省地质环境监测总站（陕西省地质灾害中心）（以下称甲方）为做好《陕西省2026年地质灾害风险预警》项目，通过政府采购方式，确定（以下称乙方）承担该项目的委托业务：</w:t>
      </w:r>
      <w:r>
        <w:rPr>
          <w:rFonts w:hint="default" w:ascii="Times New Roman" w:hAnsi="Times New Roman" w:eastAsia="宋体" w:cs="Times New Roman"/>
          <w:color w:val="auto"/>
          <w:sz w:val="24"/>
          <w:szCs w:val="24"/>
          <w:highlight w:val="none"/>
          <w:lang w:val="en-US" w:eastAsia="zh-CN"/>
        </w:rPr>
        <w:t>202</w:t>
      </w:r>
      <w:r>
        <w:rPr>
          <w:rFonts w:hint="eastAsia" w:ascii="Times New Roman" w:hAnsi="Times New Roman" w:eastAsia="宋体" w:cs="Times New Roman"/>
          <w:color w:val="auto"/>
          <w:sz w:val="24"/>
          <w:szCs w:val="24"/>
          <w:highlight w:val="none"/>
          <w:lang w:val="en-US" w:eastAsia="zh-CN"/>
        </w:rPr>
        <w:t>6年省级地质灾害气象风险预警数据服务。根据《中华人民共和国民法典》等法律有关规定，双方遵循平等、自愿、公平和诚实守信</w:t>
      </w:r>
      <w:r>
        <w:rPr>
          <w:rFonts w:hint="eastAsia" w:ascii="Times New Roman" w:hAnsi="Times New Roman" w:eastAsia="宋体" w:cs="Times New Roman"/>
          <w:color w:val="auto"/>
          <w:sz w:val="24"/>
          <w:szCs w:val="24"/>
          <w:highlight w:val="none"/>
          <w:lang w:val="en-US" w:eastAsia="zh-CN"/>
        </w:rPr>
        <w:t>的原则，就开展此委托业务服务工作及有关事项协商一致，共同达成如下协议：</w:t>
      </w:r>
    </w:p>
    <w:p w14:paraId="69C285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eastAsia"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第一条 委托业务名称及服务期限</w:t>
      </w:r>
    </w:p>
    <w:p w14:paraId="761DFF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1.1 委托业务名称</w:t>
      </w:r>
    </w:p>
    <w:p w14:paraId="57D049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default" w:ascii="Times New Roman" w:hAnsi="Times New Roman" w:eastAsia="宋体" w:cs="Times New Roman"/>
          <w:color w:val="auto"/>
          <w:kern w:val="2"/>
          <w:sz w:val="24"/>
          <w:szCs w:val="24"/>
          <w:highlight w:val="none"/>
          <w:lang w:val="en-US" w:eastAsia="zh-CN" w:bidi="ar-SA"/>
        </w:rPr>
        <w:t>202</w:t>
      </w:r>
      <w:r>
        <w:rPr>
          <w:rFonts w:hint="eastAsia" w:ascii="Times New Roman" w:hAnsi="Times New Roman" w:eastAsia="宋体" w:cs="Times New Roman"/>
          <w:color w:val="auto"/>
          <w:kern w:val="2"/>
          <w:sz w:val="24"/>
          <w:szCs w:val="24"/>
          <w:highlight w:val="none"/>
          <w:lang w:val="en-US" w:eastAsia="zh-CN" w:bidi="ar-SA"/>
        </w:rPr>
        <w:t>6年省级地质灾害气象风险预警数据服务</w:t>
      </w:r>
    </w:p>
    <w:p w14:paraId="6BBAF4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1.2 服务期限</w:t>
      </w:r>
    </w:p>
    <w:p w14:paraId="001156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自合同签订起一个自然年</w:t>
      </w:r>
    </w:p>
    <w:p w14:paraId="339459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default"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第二条 工作内容和技术要求</w:t>
      </w:r>
    </w:p>
    <w:p w14:paraId="3A339E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default" w:ascii="宋体" w:hAnsi="宋体" w:eastAsia="宋体" w:cs="宋体"/>
          <w:b/>
          <w:bCs/>
          <w:color w:val="auto"/>
          <w:kern w:val="2"/>
          <w:sz w:val="24"/>
          <w:szCs w:val="24"/>
          <w:highlight w:val="none"/>
          <w:u w:val="none"/>
          <w:lang w:val="en-US" w:eastAsia="zh-CN" w:bidi="ar-SA"/>
        </w:rPr>
      </w:pPr>
      <w:r>
        <w:rPr>
          <w:rFonts w:hint="eastAsia" w:ascii="Times New Roman" w:hAnsi="Times New Roman" w:eastAsia="宋体" w:cs="Times New Roman"/>
          <w:b/>
          <w:bCs/>
          <w:color w:val="auto"/>
          <w:kern w:val="2"/>
          <w:sz w:val="24"/>
          <w:szCs w:val="24"/>
          <w:highlight w:val="none"/>
          <w:lang w:val="en-US" w:eastAsia="zh-CN" w:bidi="ar-SA"/>
        </w:rPr>
        <w:t>2.1 工作要求</w:t>
      </w:r>
    </w:p>
    <w:p w14:paraId="3593D3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2.2.1 气象会商服务</w:t>
      </w:r>
    </w:p>
    <w:p w14:paraId="019BAA5A">
      <w:pPr>
        <w:spacing w:line="520" w:lineRule="exact"/>
        <w:ind w:firstLine="480" w:firstLineChars="200"/>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遇重大天气过程时，乙方与甲方联合开展地质灾害气象风险预警会商，利用专网、音视频会议等方式实现动态会商，在春节、五一、国庆等重大节日和极端天气过程以及重大降水过程前及时会商研判；无天气过程时，保持日常沟通，以相关气象业务产品进行指导及支撑。</w:t>
      </w:r>
      <w:bookmarkStart w:id="1" w:name="_GoBack"/>
      <w:bookmarkEnd w:id="1"/>
    </w:p>
    <w:p w14:paraId="2D1E49E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2.2.2 数据资料服务</w:t>
      </w:r>
    </w:p>
    <w:p w14:paraId="3D6C95E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1.降水预报栅格数据</w:t>
      </w:r>
    </w:p>
    <w:p w14:paraId="21DB31BE">
      <w:pPr>
        <w:spacing w:line="520" w:lineRule="exact"/>
        <w:ind w:firstLine="480" w:firstLineChars="200"/>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（1）全省未来24小时降水预报数据</w:t>
      </w:r>
    </w:p>
    <w:p w14:paraId="157ED39F">
      <w:pPr>
        <w:spacing w:line="520" w:lineRule="exact"/>
        <w:ind w:firstLine="480" w:firstLineChars="200"/>
        <w:rPr>
          <w:rFonts w:hint="eastAsia" w:ascii="Times New Roman" w:hAnsi="Times New Roman" w:eastAsia="宋体" w:cs="Times New Roman"/>
          <w:color w:val="auto"/>
          <w:kern w:val="2"/>
          <w:sz w:val="24"/>
          <w:szCs w:val="24"/>
          <w:highlight w:val="none"/>
          <w:shd w:val="clear" w:color="auto" w:fill="auto"/>
          <w:lang w:val="en-US" w:eastAsia="zh-CN" w:bidi="ar-SA"/>
        </w:rPr>
      </w:pPr>
      <w:r>
        <w:rPr>
          <w:rFonts w:hint="eastAsia" w:ascii="Times New Roman" w:hAnsi="Times New Roman" w:eastAsia="宋体" w:cs="Times New Roman"/>
          <w:color w:val="auto"/>
          <w:kern w:val="2"/>
          <w:sz w:val="24"/>
          <w:szCs w:val="24"/>
          <w:highlight w:val="none"/>
          <w:lang w:val="en-US" w:eastAsia="zh-CN" w:bidi="ar-SA"/>
        </w:rPr>
        <w:t>乙方向甲方每日不晚于8时、16时提供全省未来24小时、12小时、6小时</w:t>
      </w:r>
      <w:bookmarkStart w:id="0" w:name="_Hlk118992855"/>
      <w:r>
        <w:rPr>
          <w:rFonts w:hint="eastAsia" w:ascii="Times New Roman" w:hAnsi="Times New Roman" w:eastAsia="宋体" w:cs="Times New Roman"/>
          <w:color w:val="auto"/>
          <w:kern w:val="2"/>
          <w:sz w:val="24"/>
          <w:szCs w:val="24"/>
          <w:highlight w:val="none"/>
          <w:lang w:val="en-US" w:eastAsia="zh-CN" w:bidi="ar-SA"/>
        </w:rPr>
        <w:t>降水预报</w:t>
      </w:r>
      <w:r>
        <w:rPr>
          <w:rFonts w:hint="eastAsia" w:ascii="Times New Roman" w:hAnsi="Times New Roman" w:eastAsia="宋体" w:cs="Times New Roman"/>
          <w:color w:val="auto"/>
          <w:kern w:val="2"/>
          <w:sz w:val="24"/>
          <w:szCs w:val="24"/>
          <w:highlight w:val="none"/>
          <w:shd w:val="clear" w:color="auto" w:fill="auto"/>
          <w:lang w:val="en-US" w:eastAsia="zh-CN" w:bidi="ar-SA"/>
        </w:rPr>
        <w:t>数据</w:t>
      </w:r>
      <w:bookmarkEnd w:id="0"/>
      <w:r>
        <w:rPr>
          <w:rFonts w:hint="eastAsia" w:ascii="Times New Roman" w:hAnsi="Times New Roman" w:eastAsia="宋体" w:cs="Times New Roman"/>
          <w:color w:val="auto"/>
          <w:kern w:val="2"/>
          <w:sz w:val="24"/>
          <w:szCs w:val="24"/>
          <w:highlight w:val="none"/>
          <w:shd w:val="clear" w:color="auto" w:fill="auto"/>
          <w:lang w:val="en-US" w:eastAsia="zh-CN" w:bidi="ar-SA"/>
        </w:rPr>
        <w:t>。当省级气象部门加密发布暴雨预警时，乙方向甲方优先提供全省未来24小时预报数据（JPG和3*3公里格网数据）；当省级气象部门发布6小时或3小时降雨预警信号时，乙方向甲方优先提供全省未来6小时或3小时预警消息。</w:t>
      </w:r>
    </w:p>
    <w:p w14:paraId="2EB9CE19">
      <w:pPr>
        <w:spacing w:line="520" w:lineRule="exact"/>
        <w:ind w:firstLine="480" w:firstLineChars="200"/>
        <w:rPr>
          <w:rFonts w:hint="default"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（2）全省未来10天降水预报数据</w:t>
      </w:r>
    </w:p>
    <w:p w14:paraId="77000C6C">
      <w:pPr>
        <w:spacing w:line="520" w:lineRule="exact"/>
        <w:ind w:firstLine="480" w:firstLineChars="200"/>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乙方向甲方每日不晚于8时、16时提供全省未来10日预报降水数据 (JPG 和3*3公里格网数据)，其中48小时内为逐小时预报数据，48小时外为逐3小时预报数据，通过ftp或外网接口推送。</w:t>
      </w:r>
    </w:p>
    <w:p w14:paraId="4A398BC5">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jc w:val="both"/>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（3）2小时短临天气预报</w:t>
      </w:r>
    </w:p>
    <w:p w14:paraId="23F1ABC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短临天气预报产品数据通过微信发布及外网接口调取方式供甲方使用，内容包括降水预测，产品形式为.txt格式。</w:t>
      </w:r>
    </w:p>
    <w:p w14:paraId="5752323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（4）全省气象雷达拼图数据</w:t>
      </w:r>
    </w:p>
    <w:p w14:paraId="7E0422A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4"/>
          <w:szCs w:val="24"/>
          <w:highlight w:val="none"/>
          <w:lang w:val="en-US" w:eastAsia="zh-CN" w:bidi="ar-SA"/>
        </w:rPr>
        <w:t>乙方将7部雷达监测数据加工处理形成全省雷达拼图产品，每六分钟滚动更新一次，图形数据格式为.PNG，数据应实时同步，图形范围应准确套合省级行政区，乙方应指导甲方解读雷达数据，并提供短时强降雨分布的县区，数据为.txt文档。数据通过ftp向甲方提供。</w:t>
      </w:r>
    </w:p>
    <w:p w14:paraId="08D23AE6">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（5）分县（区）降水预报数据</w:t>
      </w:r>
    </w:p>
    <w:p w14:paraId="5A9BD06A">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乙方向甲方每日不晚于8时、16时两次提供全省各县 (区) 未来24小时预报降水数据(JPG和3*3公里格网数据)，通过ftp或外网接口推送。当加密发布暴雨预警时，乙方向甲方优先提供预测暴雨落区涉及县（区）未来24小时逐小时预报降水数据（JPG和3*3公里格网数据）。</w:t>
      </w:r>
    </w:p>
    <w:p w14:paraId="12FE0D40">
      <w:pPr>
        <w:numPr>
          <w:ilvl w:val="0"/>
          <w:numId w:val="0"/>
        </w:numPr>
        <w:spacing w:line="520" w:lineRule="exact"/>
        <w:ind w:firstLine="480" w:firstLineChars="200"/>
        <w:rPr>
          <w:rFonts w:hint="default"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2.实况降雨量数据</w:t>
      </w:r>
    </w:p>
    <w:p w14:paraId="38CB96AC">
      <w:pPr>
        <w:adjustRightInd/>
        <w:snapToGrid/>
        <w:spacing w:line="520" w:lineRule="exact"/>
        <w:ind w:firstLine="48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4"/>
          <w:szCs w:val="24"/>
          <w:highlight w:val="none"/>
          <w:lang w:val="en-US" w:eastAsia="zh-CN" w:bidi="ar-SA"/>
        </w:rPr>
        <w:t>乙方向甲方提供2026年全省气象观测站逐小时降雨量实况数据，数据通过专线直连和气象局外网接口调取两种方式供甲方使用。</w:t>
      </w:r>
    </w:p>
    <w:p w14:paraId="628F829F">
      <w:pPr>
        <w:numPr>
          <w:ilvl w:val="0"/>
          <w:numId w:val="0"/>
        </w:numPr>
        <w:spacing w:line="520" w:lineRule="exact"/>
        <w:ind w:firstLine="480" w:firstLineChars="200"/>
        <w:rPr>
          <w:rFonts w:hint="default" w:ascii="Times New Roman" w:hAnsi="Times New Roman" w:eastAsia="宋体" w:cs="Times New Roman"/>
          <w:b w:val="0"/>
          <w:bCs w:val="0"/>
          <w:color w:val="auto"/>
          <w:kern w:val="2"/>
          <w:sz w:val="24"/>
          <w:szCs w:val="24"/>
          <w:highlight w:val="none"/>
          <w:lang w:val="en-US" w:eastAsia="zh-CN" w:bidi="ar-SA"/>
        </w:rPr>
      </w:pPr>
      <w:r>
        <w:rPr>
          <w:rFonts w:hint="eastAsia" w:ascii="Times New Roman" w:hAnsi="Times New Roman" w:eastAsia="宋体" w:cs="Times New Roman"/>
          <w:b w:val="0"/>
          <w:bCs w:val="0"/>
          <w:color w:val="auto"/>
          <w:kern w:val="2"/>
          <w:sz w:val="24"/>
          <w:szCs w:val="24"/>
          <w:highlight w:val="none"/>
          <w:lang w:val="en-US" w:eastAsia="zh-CN" w:bidi="ar-SA"/>
        </w:rPr>
        <w:t>3.历史降雨量数据</w:t>
      </w:r>
    </w:p>
    <w:p w14:paraId="4D20DA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按照甲方工作业务需求，更新2025年全省雨量站逐小时雨量历史数据。</w:t>
      </w:r>
    </w:p>
    <w:p w14:paraId="65DE6C29">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4.气象报告</w:t>
      </w:r>
    </w:p>
    <w:p w14:paraId="5365806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（1）重要天气报告及专题天气预报</w:t>
      </w:r>
    </w:p>
    <w:p w14:paraId="2C15D950">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遇重要节假日如春节、五一、国庆等和重大降水过程前，乙方向甲方优先提供全省未来天气形势预测报告，产品形式为.doc/.docx格式，并依据重要天气形势提供相关注意事项。乙方应提前两到三天以邮件、微信、传真或ftp或外网接口推送等方式向甲方提供报告，并及时提醒甲方。</w:t>
      </w:r>
    </w:p>
    <w:p w14:paraId="670C267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（2）气象信息快报</w:t>
      </w:r>
    </w:p>
    <w:p w14:paraId="538B315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每天8:30前，乙方以邮件、微信、传真或ftp或外网接口推送等方式向甲方提供气象信息快报，内容包括天气实况、气象预报等，产品形式为.doc/.docx格式。</w:t>
      </w:r>
    </w:p>
    <w:p w14:paraId="7BAF28F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（3）短、中、长期天气预报</w:t>
      </w:r>
    </w:p>
    <w:p w14:paraId="2CB337B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1）1-3天短期天气预报</w:t>
      </w:r>
    </w:p>
    <w:p w14:paraId="5FEFCBA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每天下午，乙方以邮件、微信、传真或ftp或外网接口推送等方式向甲方优先提供陕西省未来 1-3 天专题天气预报，内容包括未来天气现象、风、降水、温度预测及</w:t>
      </w:r>
      <w:r>
        <w:rPr>
          <w:rFonts w:hint="eastAsia" w:ascii="Times New Roman" w:hAnsi="Times New Roman" w:eastAsia="宋体" w:cs="Times New Roman"/>
          <w:color w:val="auto"/>
          <w:kern w:val="2"/>
          <w:sz w:val="24"/>
          <w:szCs w:val="24"/>
          <w:highlight w:val="none"/>
          <w:lang w:val="en-US" w:eastAsia="zh-CN" w:bidi="ar-SA"/>
        </w:rPr>
        <w:t>天气现象、降水情况等，产品形式为.doc/.docx、.nc格式</w:t>
      </w:r>
      <w:r>
        <w:rPr>
          <w:rFonts w:hint="eastAsia" w:ascii="Times New Roman" w:hAnsi="Times New Roman" w:eastAsia="宋体" w:cs="Times New Roman"/>
          <w:color w:val="auto"/>
          <w:kern w:val="2"/>
          <w:sz w:val="24"/>
          <w:szCs w:val="24"/>
          <w:highlight w:val="none"/>
          <w:lang w:val="en-US" w:eastAsia="zh-CN" w:bidi="ar-SA"/>
        </w:rPr>
        <w:t>。</w:t>
      </w:r>
    </w:p>
    <w:p w14:paraId="1E27A804">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2）4-10天中期天气预报</w:t>
      </w:r>
    </w:p>
    <w:p w14:paraId="7FE3C6A8">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每天下午，乙方以邮件、微信、传真或ftp或外网接口推送等方式向甲方优先提供陕西省未来4-10天的天气预报，包括天气现象、风、降水趋势预测，产品形式为.doc/.docx格式。</w:t>
      </w:r>
    </w:p>
    <w:p w14:paraId="20449AC3">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3）月天气预报</w:t>
      </w:r>
    </w:p>
    <w:p w14:paraId="1802A8A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每月底前两到三天，乙方以邮件、微信、传真或ftp或外网接口推送等方式向甲方提供全省未来一月的气象趋势预测，内容包括主要降水过程、降水量、温度趋势及与历年同期比较分析，产品形式为.doc/.docx格式。</w:t>
      </w:r>
    </w:p>
    <w:p w14:paraId="40EFEA5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4）季天气预测</w:t>
      </w:r>
    </w:p>
    <w:p w14:paraId="4B799A0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每季度末前两到三天，乙方以邮件、微信、传真或ftp或外网接口推送方式向甲方提供全省未来一季的气象趋势预测，内容包括主要降水过程、降水量、温度趋势预测，产品形式为.doc/.docx格式。</w:t>
      </w:r>
    </w:p>
    <w:p w14:paraId="2F29AB0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5）全年天气预测</w:t>
      </w:r>
    </w:p>
    <w:p w14:paraId="7FC267A7">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每年年底，乙方以邮件、微信、传真或ftp或外网接口推送等方式向甲方提供全省来年1—10月的气象趋势预测，内容包括主要降水和温度预测，产品形式为.doc/.docx格式。</w:t>
      </w:r>
    </w:p>
    <w:p w14:paraId="62DA832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6）定制化气象预报</w:t>
      </w:r>
    </w:p>
    <w:p w14:paraId="755CAA5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根据甲方实际工作需求，乙方向甲方提供定制化的气象预报服务，产品内容涵盖前期气候概况、未来一段时间的气候预报，全面预测我省降水、温度气象要素变化趋势，以邮件、微信、传真或ftp或外网接口推送等方式向甲方提供。</w:t>
      </w:r>
    </w:p>
    <w:p w14:paraId="2673921E">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5.地温气温实况和历史数据</w:t>
      </w:r>
    </w:p>
    <w:p w14:paraId="0C5C839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kern w:val="2"/>
          <w:sz w:val="24"/>
          <w:szCs w:val="24"/>
          <w:highlight w:val="none"/>
          <w:lang w:val="en-US" w:eastAsia="zh-CN" w:bidi="ar-SA"/>
        </w:rPr>
        <w:t>乙方向甲方提供2026年度全省气温站点和地温站点的实况监测数据，更新2025年气象观测站逐小时地温历史数据和气温历史数据，数据通过外网接口调取方式供甲方使用。</w:t>
      </w:r>
    </w:p>
    <w:p w14:paraId="6452AF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2.2.3 预警发布服务</w:t>
      </w:r>
    </w:p>
    <w:p w14:paraId="77E704D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1.新媒体矩阵系统发布渠道</w:t>
      </w:r>
    </w:p>
    <w:p w14:paraId="743328DD">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乙方向甲方提供气象部门新媒体矩阵系统（微博、微信、今日头条、抖音、快手、电视等），由陕西省自然资源厅和陕西省气象局联合发布地质灾害气象风险预警信息。</w:t>
      </w:r>
    </w:p>
    <w:p w14:paraId="6A07AA25">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2.12379发布渠道</w:t>
      </w:r>
    </w:p>
    <w:p w14:paraId="1A12EA6B">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在突发事件预警信息发布系统（12379）中添加甲方提供的全省地质灾害防治管理人员、地质灾害隐患点群测群防员、地质灾害风险区巡查员等相关人员信息，利用12379预警发布系统发布地质灾害气象风险预警短信。甲方根据业务实际情况动态清理无效用户。</w:t>
      </w:r>
    </w:p>
    <w:p w14:paraId="51086B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2.2.4 其他服务</w:t>
      </w:r>
    </w:p>
    <w:p w14:paraId="37173E22">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1.乙方为甲方提供的人员名单注册陕西气象APP账号，用户可通过陕西气象APP随时查看降水实况分析与统计、6小时短时预报、预报降水分析、重要天气报告、气象信息快报等。</w:t>
      </w:r>
    </w:p>
    <w:p w14:paraId="03E65E5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2.乙方应协助甲方同相关市、县级气象部门沟通，就市县级地质灾害气象预警产品的发布渠道、发布方式等有关内容做好协调配合工作。</w:t>
      </w:r>
    </w:p>
    <w:p w14:paraId="3BD7A0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2" w:firstLineChars="200"/>
        <w:jc w:val="both"/>
        <w:textAlignment w:val="auto"/>
        <w:rPr>
          <w:rFonts w:hint="eastAsia"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b/>
          <w:bCs/>
          <w:color w:val="auto"/>
          <w:kern w:val="2"/>
          <w:sz w:val="24"/>
          <w:szCs w:val="24"/>
          <w:highlight w:val="none"/>
          <w:lang w:val="en-US" w:eastAsia="zh-CN" w:bidi="ar-SA"/>
        </w:rPr>
        <w:t>2.2 技术要求</w:t>
      </w:r>
    </w:p>
    <w:p w14:paraId="6A8BB03E">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（1）气象数据全面、准确、实时，满足地质灾害气象风险预警业务需求。</w:t>
      </w:r>
    </w:p>
    <w:p w14:paraId="642570F3">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（2）数据接口稳定可靠，对接顺畅，保障预警信息及时推送与发布。</w:t>
      </w:r>
    </w:p>
    <w:p w14:paraId="3E20AFA3">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（3）会商响应及时，重大天气过程提前研判，提供专业气象支撑。</w:t>
      </w:r>
    </w:p>
    <w:p w14:paraId="4682F4E4">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（4）数据格式、接口规范符合省级平台对接标准，确保数据可直接应用。</w:t>
      </w:r>
    </w:p>
    <w:p w14:paraId="77814C47">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（5）服务期内保障数据连续、接口可用、会商及时，无中断、无延误。</w:t>
      </w:r>
    </w:p>
    <w:p w14:paraId="53728F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default"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第三条 双方责任与义务</w:t>
      </w:r>
    </w:p>
    <w:p w14:paraId="02760603">
      <w:pPr>
        <w:widowControl/>
        <w:adjustRightInd w:val="0"/>
        <w:spacing w:line="520" w:lineRule="exact"/>
        <w:ind w:firstLine="482" w:firstLineChars="200"/>
        <w:jc w:val="both"/>
        <w:rPr>
          <w:rFonts w:hint="eastAsia"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b/>
          <w:bCs/>
          <w:color w:val="auto"/>
          <w:kern w:val="2"/>
          <w:sz w:val="24"/>
          <w:szCs w:val="24"/>
          <w:highlight w:val="none"/>
          <w:lang w:val="en-US" w:eastAsia="zh-CN" w:bidi="ar-SA"/>
        </w:rPr>
        <w:t>3.1 甲方责任及义务</w:t>
      </w:r>
    </w:p>
    <w:p w14:paraId="6BAFD694">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（1）按合同约定向乙方支付合同费用。</w:t>
      </w:r>
    </w:p>
    <w:p w14:paraId="04039C61">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甲方负责对12379发布渠道下发的地质灾害气象风险预警短信审核把关，甲方发布的预警信息内容和信息来源应符合国家法律规定，并不侵犯他人的合法权益，由于甲方发布信息的方式、内容等引起的一切后果由甲方承担。</w:t>
      </w:r>
    </w:p>
    <w:p w14:paraId="36936C3A">
      <w:pPr>
        <w:widowControl/>
        <w:adjustRightInd w:val="0"/>
        <w:spacing w:line="520" w:lineRule="exact"/>
        <w:ind w:firstLine="482" w:firstLineChars="200"/>
        <w:jc w:val="both"/>
        <w:rPr>
          <w:rFonts w:hint="eastAsia" w:ascii="Times New Roman" w:hAnsi="Times New Roman" w:eastAsia="宋体" w:cs="Times New Roman"/>
          <w:b/>
          <w:bCs/>
          <w:color w:val="auto"/>
          <w:kern w:val="2"/>
          <w:sz w:val="24"/>
          <w:szCs w:val="24"/>
          <w:highlight w:val="none"/>
          <w:lang w:val="en-US" w:eastAsia="zh-CN" w:bidi="ar-SA"/>
        </w:rPr>
      </w:pPr>
      <w:r>
        <w:rPr>
          <w:rFonts w:hint="eastAsia" w:ascii="Times New Roman" w:hAnsi="Times New Roman" w:eastAsia="宋体" w:cs="Times New Roman"/>
          <w:b/>
          <w:bCs/>
          <w:color w:val="auto"/>
          <w:kern w:val="2"/>
          <w:sz w:val="24"/>
          <w:szCs w:val="24"/>
          <w:highlight w:val="none"/>
          <w:lang w:val="en-US" w:eastAsia="zh-CN" w:bidi="ar-SA"/>
        </w:rPr>
        <w:t>3.2 乙方责任及义务</w:t>
      </w:r>
    </w:p>
    <w:p w14:paraId="592FC258">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（1）依据合同内容要求按时准确地提供合同约定服务。</w:t>
      </w:r>
    </w:p>
    <w:p w14:paraId="34B8DE82">
      <w:pPr>
        <w:widowControl/>
        <w:adjustRightInd w:val="0"/>
        <w:spacing w:line="520" w:lineRule="exact"/>
        <w:ind w:firstLine="480" w:firstLineChars="200"/>
        <w:jc w:val="both"/>
        <w:rPr>
          <w:rFonts w:hint="eastAsia" w:ascii="宋体" w:hAnsi="Times New Roman" w:eastAsia="仿宋" w:cs="宋体"/>
          <w:color w:val="auto"/>
          <w:kern w:val="0"/>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（2）对于甲方提供的地质灾害资料及相关信息，乙方应当承担保密责任，乙方不得擅自扩大使用范围或泄露给第三方，否则乙方应当承担由此引起的一切损失和法律责任。</w:t>
      </w:r>
    </w:p>
    <w:p w14:paraId="7E38B0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default"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第四条 提交成果与项目验收</w:t>
      </w:r>
    </w:p>
    <w:p w14:paraId="46F56757">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default" w:ascii="Times New Roman" w:hAnsi="Times New Roman" w:eastAsia="宋体" w:cs="Times New Roman"/>
          <w:b/>
          <w:bCs/>
          <w:color w:val="auto"/>
          <w:kern w:val="2"/>
          <w:sz w:val="24"/>
          <w:szCs w:val="24"/>
          <w:highlight w:val="none"/>
          <w:u w:val="none"/>
          <w:lang w:val="en-US" w:eastAsia="zh-CN" w:bidi="ar-SA"/>
        </w:rPr>
        <w:t>4.1</w:t>
      </w:r>
      <w:r>
        <w:rPr>
          <w:rFonts w:hint="eastAsia" w:ascii="Times New Roman" w:hAnsi="Times New Roman" w:eastAsia="宋体" w:cs="Times New Roman"/>
          <w:b/>
          <w:bCs/>
          <w:color w:val="auto"/>
          <w:kern w:val="2"/>
          <w:sz w:val="24"/>
          <w:szCs w:val="24"/>
          <w:highlight w:val="none"/>
          <w:u w:val="none"/>
          <w:lang w:val="en-US" w:eastAsia="zh-CN" w:bidi="ar-SA"/>
        </w:rPr>
        <w:t xml:space="preserve"> </w:t>
      </w:r>
      <w:r>
        <w:rPr>
          <w:rFonts w:hint="eastAsia" w:ascii="宋体" w:hAnsi="宋体" w:eastAsia="宋体" w:cs="宋体"/>
          <w:b/>
          <w:bCs/>
          <w:color w:val="auto"/>
          <w:kern w:val="2"/>
          <w:sz w:val="24"/>
          <w:szCs w:val="24"/>
          <w:highlight w:val="none"/>
          <w:u w:val="none"/>
          <w:lang w:val="en-US" w:eastAsia="zh-CN" w:bidi="ar-SA"/>
        </w:rPr>
        <w:t>提交成果</w:t>
      </w:r>
    </w:p>
    <w:p w14:paraId="11CBE9D6">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（1）2026年省级地质灾害气象风险预警数据服务方案（纸质及电子版）；</w:t>
      </w:r>
    </w:p>
    <w:p w14:paraId="55AED51C">
      <w:pPr>
        <w:widowControl/>
        <w:adjustRightInd w:val="0"/>
        <w:spacing w:line="520" w:lineRule="exact"/>
        <w:ind w:firstLine="480" w:firstLineChars="200"/>
        <w:jc w:val="both"/>
        <w:rPr>
          <w:rFonts w:hint="default"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（2）2026年省级地质灾害气象风险预警数据服务总结报告（纸质及电子版）；</w:t>
      </w:r>
    </w:p>
    <w:p w14:paraId="658224AD">
      <w:pPr>
        <w:widowControl/>
        <w:adjustRightInd w:val="0"/>
        <w:spacing w:line="520" w:lineRule="exact"/>
        <w:ind w:firstLine="480" w:firstLineChars="200"/>
        <w:jc w:val="both"/>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（3）2026年省级地质灾害气象风险预警数据服务数据集（纸质及电子版）。</w:t>
      </w:r>
    </w:p>
    <w:p w14:paraId="3979BB97">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default" w:ascii="Times New Roman" w:hAnsi="Times New Roman" w:eastAsia="宋体" w:cs="Times New Roman"/>
          <w:b/>
          <w:bCs/>
          <w:color w:val="auto"/>
          <w:kern w:val="2"/>
          <w:sz w:val="24"/>
          <w:szCs w:val="24"/>
          <w:highlight w:val="none"/>
          <w:u w:val="none"/>
          <w:lang w:val="en-US" w:eastAsia="zh-CN" w:bidi="ar-SA"/>
        </w:rPr>
        <w:t xml:space="preserve">4.2 </w:t>
      </w:r>
      <w:r>
        <w:rPr>
          <w:rFonts w:hint="eastAsia" w:ascii="宋体" w:hAnsi="宋体" w:eastAsia="宋体" w:cs="宋体"/>
          <w:b/>
          <w:bCs/>
          <w:color w:val="auto"/>
          <w:kern w:val="2"/>
          <w:sz w:val="24"/>
          <w:szCs w:val="24"/>
          <w:highlight w:val="none"/>
          <w:u w:val="none"/>
          <w:lang w:val="en-US" w:eastAsia="zh-CN" w:bidi="ar-SA"/>
        </w:rPr>
        <w:t>项目验收</w:t>
      </w:r>
    </w:p>
    <w:p w14:paraId="06C9FC57">
      <w:pPr>
        <w:spacing w:line="560" w:lineRule="exact"/>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甲方收到乙方提交的成果后5个工作日内，组织有关人员对乙方提交的成果进行验收。具体验收组人员和验收时间由甲方确定，若验收产生相关费用，该费用由乙方承担。</w:t>
      </w:r>
    </w:p>
    <w:p w14:paraId="5473158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第五条 服务费用及付款方式</w:t>
      </w:r>
    </w:p>
    <w:p w14:paraId="5AABF076">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default" w:ascii="Times New Roman" w:hAnsi="Times New Roman" w:eastAsia="宋体" w:cs="Times New Roman"/>
          <w:b/>
          <w:bCs/>
          <w:color w:val="auto"/>
          <w:kern w:val="2"/>
          <w:sz w:val="24"/>
          <w:szCs w:val="24"/>
          <w:highlight w:val="none"/>
          <w:u w:val="none"/>
          <w:lang w:val="en-US" w:eastAsia="zh-CN" w:bidi="ar-SA"/>
        </w:rPr>
        <w:t>5.1</w:t>
      </w:r>
      <w:r>
        <w:rPr>
          <w:rFonts w:hint="eastAsia" w:ascii="Times New Roman" w:hAnsi="Times New Roman" w:eastAsia="宋体" w:cs="Times New Roman"/>
          <w:b/>
          <w:bCs/>
          <w:color w:val="auto"/>
          <w:kern w:val="2"/>
          <w:sz w:val="24"/>
          <w:szCs w:val="24"/>
          <w:highlight w:val="none"/>
          <w:u w:val="none"/>
          <w:lang w:val="en-US" w:eastAsia="zh-CN" w:bidi="ar-SA"/>
        </w:rPr>
        <w:t xml:space="preserve"> </w:t>
      </w:r>
      <w:r>
        <w:rPr>
          <w:rFonts w:hint="eastAsia" w:ascii="宋体" w:hAnsi="宋体" w:eastAsia="宋体" w:cs="宋体"/>
          <w:b/>
          <w:bCs/>
          <w:color w:val="auto"/>
          <w:kern w:val="2"/>
          <w:sz w:val="24"/>
          <w:szCs w:val="24"/>
          <w:highlight w:val="none"/>
          <w:u w:val="none"/>
          <w:lang w:val="en-US" w:eastAsia="zh-CN" w:bidi="ar-SA"/>
        </w:rPr>
        <w:t>合同价款（含税价）</w:t>
      </w:r>
    </w:p>
    <w:p w14:paraId="39F6DC6A">
      <w:pPr>
        <w:keepNext w:val="0"/>
        <w:keepLines w:val="0"/>
        <w:pageBreakBefore w:val="0"/>
        <w:widowControl w:val="0"/>
        <w:kinsoku/>
        <w:wordWrap/>
        <w:overflowPunct/>
        <w:topLinePunct w:val="0"/>
        <w:autoSpaceDE/>
        <w:autoSpaceDN/>
        <w:bidi w:val="0"/>
        <w:adjustRightInd w:val="0"/>
        <w:snapToGrid w:val="0"/>
        <w:spacing w:line="560" w:lineRule="exact"/>
        <w:ind w:firstLine="480" w:firstLineChars="200"/>
        <w:jc w:val="both"/>
        <w:textAlignment w:val="auto"/>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小写：</w:t>
      </w:r>
      <w:r>
        <w:rPr>
          <w:rFonts w:hint="default" w:ascii="Times New Roman" w:hAnsi="Times New Roman" w:eastAsia="宋体" w:cs="Times New Roman"/>
          <w:color w:val="auto"/>
          <w:kern w:val="2"/>
          <w:sz w:val="24"/>
          <w:szCs w:val="24"/>
          <w:highlight w:val="none"/>
          <w:u w:val="single"/>
          <w:lang w:val="en-US" w:eastAsia="zh-CN" w:bidi="ar-SA"/>
        </w:rPr>
        <w:t>¥</w:t>
      </w:r>
      <w:r>
        <w:rPr>
          <w:rFonts w:hint="eastAsia" w:ascii="宋体" w:hAnsi="宋体" w:eastAsia="宋体" w:cs="Times New Roman"/>
          <w:color w:val="auto"/>
          <w:kern w:val="2"/>
          <w:sz w:val="24"/>
          <w:szCs w:val="24"/>
          <w:highlight w:val="none"/>
          <w:u w:val="single"/>
          <w:lang w:val="en-US" w:eastAsia="zh-CN" w:bidi="ar-SA"/>
        </w:rPr>
        <w:t xml:space="preserve">    元</w:t>
      </w:r>
    </w:p>
    <w:p w14:paraId="6550D43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Times New Roman"/>
          <w:color w:val="auto"/>
          <w:kern w:val="2"/>
          <w:sz w:val="24"/>
          <w:szCs w:val="24"/>
          <w:highlight w:val="none"/>
          <w:u w:val="single"/>
          <w:lang w:val="en-US" w:eastAsia="zh-CN" w:bidi="ar-SA"/>
        </w:rPr>
      </w:pPr>
      <w:r>
        <w:rPr>
          <w:rFonts w:hint="eastAsia" w:ascii="宋体" w:hAnsi="宋体" w:eastAsia="宋体" w:cs="宋体"/>
          <w:color w:val="auto"/>
          <w:sz w:val="24"/>
          <w:szCs w:val="24"/>
          <w:highlight w:val="none"/>
          <w:lang w:val="en-US" w:eastAsia="zh-CN"/>
        </w:rPr>
        <w:t>大写：</w:t>
      </w:r>
      <w:r>
        <w:rPr>
          <w:rFonts w:hint="eastAsia" w:ascii="宋体" w:hAnsi="宋体" w:eastAsia="宋体" w:cs="宋体"/>
          <w:color w:val="auto"/>
          <w:sz w:val="24"/>
          <w:szCs w:val="24"/>
          <w:highlight w:val="none"/>
          <w:u w:val="single"/>
          <w:lang w:val="en-US" w:eastAsia="zh-CN"/>
        </w:rPr>
        <w:t xml:space="preserve">     </w:t>
      </w:r>
    </w:p>
    <w:p w14:paraId="501CB0A0">
      <w:pPr>
        <w:widowControl w:val="0"/>
        <w:adjustRightInd/>
        <w:spacing w:line="560" w:lineRule="exact"/>
        <w:ind w:firstLine="482" w:firstLineChars="200"/>
        <w:jc w:val="both"/>
        <w:rPr>
          <w:rFonts w:hint="eastAsia" w:ascii="宋体" w:hAnsi="宋体" w:eastAsia="宋体" w:cs="宋体"/>
          <w:color w:val="auto"/>
          <w:kern w:val="2"/>
          <w:sz w:val="24"/>
          <w:szCs w:val="24"/>
          <w:highlight w:val="none"/>
          <w:u w:val="none"/>
          <w:lang w:val="en-US" w:eastAsia="zh-CN" w:bidi="ar-SA"/>
        </w:rPr>
      </w:pPr>
      <w:r>
        <w:rPr>
          <w:rFonts w:hint="default" w:ascii="Times New Roman" w:hAnsi="Times New Roman" w:eastAsia="宋体" w:cs="Times New Roman"/>
          <w:b/>
          <w:bCs/>
          <w:color w:val="auto"/>
          <w:kern w:val="2"/>
          <w:sz w:val="24"/>
          <w:szCs w:val="24"/>
          <w:highlight w:val="none"/>
          <w:u w:val="none"/>
          <w:lang w:val="en-US" w:eastAsia="zh-CN" w:bidi="ar-SA"/>
        </w:rPr>
        <w:t>5.2</w:t>
      </w:r>
      <w:r>
        <w:rPr>
          <w:rFonts w:hint="eastAsia" w:ascii="Times New Roman" w:hAnsi="Times New Roman" w:eastAsia="宋体" w:cs="Times New Roman"/>
          <w:b/>
          <w:bCs/>
          <w:color w:val="auto"/>
          <w:kern w:val="2"/>
          <w:sz w:val="24"/>
          <w:szCs w:val="24"/>
          <w:highlight w:val="none"/>
          <w:u w:val="none"/>
          <w:lang w:val="en-US" w:eastAsia="zh-CN" w:bidi="ar-SA"/>
        </w:rPr>
        <w:t xml:space="preserve"> </w:t>
      </w:r>
      <w:r>
        <w:rPr>
          <w:rFonts w:hint="eastAsia" w:ascii="宋体" w:hAnsi="宋体" w:eastAsia="宋体" w:cs="宋体"/>
          <w:b/>
          <w:bCs/>
          <w:color w:val="auto"/>
          <w:kern w:val="2"/>
          <w:sz w:val="24"/>
          <w:szCs w:val="24"/>
          <w:highlight w:val="none"/>
          <w:u w:val="none"/>
          <w:lang w:val="en-US" w:eastAsia="zh-CN" w:bidi="ar-SA"/>
        </w:rPr>
        <w:t>支付方法</w:t>
      </w:r>
    </w:p>
    <w:p w14:paraId="570D3703">
      <w:pPr>
        <w:widowControl w:val="0"/>
        <w:adjustRightInd w:val="0"/>
        <w:spacing w:line="52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u w:val="none"/>
          <w:lang w:val="en-US" w:eastAsia="zh-CN" w:bidi="ar-SA"/>
        </w:rPr>
        <w:t>（1）合同签订生效</w:t>
      </w:r>
      <w:r>
        <w:rPr>
          <w:rFonts w:hint="eastAsia" w:ascii="宋体" w:hAnsi="宋体" w:eastAsia="宋体" w:cs="宋体"/>
          <w:color w:val="auto"/>
          <w:kern w:val="2"/>
          <w:sz w:val="24"/>
          <w:szCs w:val="24"/>
          <w:highlight w:val="none"/>
          <w:u w:val="none"/>
          <w:lang w:val="en-US" w:eastAsia="zh-CN" w:bidi="ar-SA"/>
        </w:rPr>
        <w:t>合同签订15日内</w:t>
      </w:r>
      <w:r>
        <w:rPr>
          <w:rFonts w:hint="eastAsia" w:ascii="宋体" w:hAnsi="宋体" w:eastAsia="宋体" w:cs="宋体"/>
          <w:color w:val="auto"/>
          <w:kern w:val="2"/>
          <w:sz w:val="24"/>
          <w:szCs w:val="24"/>
          <w:highlight w:val="none"/>
          <w:u w:val="none"/>
          <w:lang w:val="en-US" w:eastAsia="zh-CN" w:bidi="ar-SA"/>
        </w:rPr>
        <w:t>，甲方收到乙方合同总金额5%的履约保证金即人民币（大写）</w:t>
      </w:r>
      <w:r>
        <w:rPr>
          <w:rFonts w:hint="eastAsia" w:ascii="宋体" w:hAnsi="宋体" w:eastAsia="宋体" w:cs="宋体"/>
          <w:color w:val="auto"/>
          <w:kern w:val="2"/>
          <w:sz w:val="24"/>
          <w:szCs w:val="24"/>
          <w:highlight w:val="none"/>
          <w:u w:val="none"/>
          <w:lang w:val="en-US" w:eastAsia="zh-CN" w:bidi="ar-SA"/>
        </w:rPr>
        <w:t>肆万元整</w:t>
      </w:r>
      <w:r>
        <w:rPr>
          <w:rFonts w:hint="eastAsia" w:ascii="宋体" w:hAnsi="宋体" w:eastAsia="宋体" w:cs="宋体"/>
          <w:color w:val="auto"/>
          <w:kern w:val="2"/>
          <w:sz w:val="24"/>
          <w:szCs w:val="24"/>
          <w:highlight w:val="none"/>
          <w:u w:val="none"/>
          <w:lang w:val="en-US" w:eastAsia="zh-CN" w:bidi="ar-SA"/>
        </w:rPr>
        <w:t>（¥ 元）后20日内，向乙方约定账户支付合同总金额</w:t>
      </w:r>
      <w:r>
        <w:rPr>
          <w:rFonts w:hint="eastAsia" w:ascii="宋体" w:hAnsi="宋体" w:eastAsia="宋体" w:cs="宋体"/>
          <w:color w:val="auto"/>
          <w:kern w:val="2"/>
          <w:sz w:val="24"/>
          <w:szCs w:val="24"/>
          <w:highlight w:val="none"/>
          <w:lang w:val="en-US" w:eastAsia="zh-CN" w:bidi="ar-SA"/>
        </w:rPr>
        <w:t>的60%，即人民币（大写） （¥ 元）；</w:t>
      </w:r>
    </w:p>
    <w:p w14:paraId="3AD8D748">
      <w:pPr>
        <w:widowControl w:val="0"/>
        <w:adjustRightInd w:val="0"/>
        <w:spacing w:line="520" w:lineRule="exact"/>
        <w:ind w:firstLine="480" w:firstLineChars="20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（2）乙方提交2026年省级地质灾害气象风险预警数据服务实施方案，经甲方组织验收通过后20日内，甲方向乙方约定账户支付合同总金额的40%，即人民币（大写） （¥ 元）。 </w:t>
      </w:r>
    </w:p>
    <w:p w14:paraId="24C6F6D0">
      <w:pPr>
        <w:widowControl w:val="0"/>
        <w:adjustRightInd w:val="0"/>
        <w:spacing w:line="52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（3）合同服务期满，乙方提交2026年省级地质灾害气象风险预警数据服务总结报告及数据集</w:t>
      </w:r>
      <w:r>
        <w:rPr>
          <w:rFonts w:hint="eastAsia" w:ascii="宋体" w:hAnsi="宋体" w:eastAsia="宋体" w:cs="宋体"/>
          <w:color w:val="auto"/>
          <w:kern w:val="2"/>
          <w:sz w:val="24"/>
          <w:szCs w:val="24"/>
          <w:highlight w:val="none"/>
          <w:lang w:val="en-US" w:eastAsia="zh-CN" w:bidi="ar-SA"/>
        </w:rPr>
        <w:t>等项目成果资料</w:t>
      </w:r>
      <w:r>
        <w:rPr>
          <w:rFonts w:hint="eastAsia" w:ascii="宋体" w:hAnsi="宋体" w:eastAsia="宋体" w:cs="宋体"/>
          <w:color w:val="auto"/>
          <w:kern w:val="2"/>
          <w:sz w:val="24"/>
          <w:szCs w:val="24"/>
          <w:highlight w:val="none"/>
          <w:lang w:val="en-US" w:eastAsia="zh-CN" w:bidi="ar-SA"/>
        </w:rPr>
        <w:t>，经甲方组织专家验收通过，并将项目成果资料汇交甲方后</w:t>
      </w:r>
      <w:r>
        <w:rPr>
          <w:rFonts w:hint="eastAsia" w:ascii="宋体" w:hAnsi="宋体" w:eastAsia="宋体" w:cs="宋体"/>
          <w:color w:val="auto"/>
          <w:kern w:val="2"/>
          <w:sz w:val="24"/>
          <w:szCs w:val="24"/>
          <w:highlight w:val="none"/>
          <w:lang w:val="en-US" w:eastAsia="zh-CN" w:bidi="ar-SA"/>
        </w:rPr>
        <w:t>30日内</w:t>
      </w:r>
      <w:r>
        <w:rPr>
          <w:rFonts w:hint="eastAsia" w:ascii="宋体" w:hAnsi="宋体" w:eastAsia="宋体" w:cs="宋体"/>
          <w:color w:val="auto"/>
          <w:kern w:val="2"/>
          <w:sz w:val="24"/>
          <w:szCs w:val="24"/>
          <w:highlight w:val="none"/>
          <w:lang w:val="en-US" w:eastAsia="zh-CN" w:bidi="ar-SA"/>
        </w:rPr>
        <w:t>，甲方将履约保证金全额无息退还乙方。</w:t>
      </w:r>
    </w:p>
    <w:p w14:paraId="11E87F0B">
      <w:pPr>
        <w:widowControl/>
        <w:adjustRightInd w:val="0"/>
        <w:spacing w:line="520" w:lineRule="exact"/>
        <w:ind w:firstLine="480" w:firstLineChars="200"/>
        <w:jc w:val="both"/>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lang w:val="en-US" w:eastAsia="zh-CN" w:bidi="ar-SA"/>
        </w:rPr>
        <w:t>（4）每次支付费用前，乙方必须提供等额正式税务发票。</w:t>
      </w:r>
    </w:p>
    <w:p w14:paraId="02034B50">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default" w:ascii="Times New Roman" w:hAnsi="Times New Roman" w:eastAsia="宋体" w:cs="Times New Roman"/>
          <w:b/>
          <w:bCs/>
          <w:color w:val="auto"/>
          <w:kern w:val="2"/>
          <w:sz w:val="24"/>
          <w:szCs w:val="24"/>
          <w:highlight w:val="none"/>
          <w:u w:val="none"/>
          <w:lang w:val="en-US" w:eastAsia="zh-CN" w:bidi="ar-SA"/>
        </w:rPr>
        <w:t>5.3</w:t>
      </w:r>
      <w:r>
        <w:rPr>
          <w:rFonts w:hint="eastAsia" w:ascii="Times New Roman" w:hAnsi="Times New Roman" w:eastAsia="宋体" w:cs="Times New Roman"/>
          <w:b/>
          <w:bCs/>
          <w:color w:val="auto"/>
          <w:kern w:val="2"/>
          <w:sz w:val="24"/>
          <w:szCs w:val="24"/>
          <w:highlight w:val="none"/>
          <w:u w:val="none"/>
          <w:lang w:val="en-US" w:eastAsia="zh-CN" w:bidi="ar-SA"/>
        </w:rPr>
        <w:t xml:space="preserve"> </w:t>
      </w:r>
      <w:r>
        <w:rPr>
          <w:rFonts w:hint="eastAsia" w:ascii="宋体" w:hAnsi="宋体" w:eastAsia="宋体" w:cs="宋体"/>
          <w:b/>
          <w:bCs/>
          <w:color w:val="auto"/>
          <w:kern w:val="2"/>
          <w:sz w:val="24"/>
          <w:szCs w:val="24"/>
          <w:highlight w:val="none"/>
          <w:u w:val="none"/>
          <w:lang w:val="en-US" w:eastAsia="zh-CN" w:bidi="ar-SA"/>
        </w:rPr>
        <w:t>支付方式</w:t>
      </w:r>
    </w:p>
    <w:p w14:paraId="4D8499C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该工作费用以</w:t>
      </w:r>
      <w:r>
        <w:rPr>
          <w:rFonts w:hint="eastAsia" w:ascii="宋体" w:hAnsi="宋体" w:eastAsia="宋体" w:cs="宋体"/>
          <w:color w:val="auto"/>
          <w:sz w:val="24"/>
          <w:highlight w:val="none"/>
          <w:u w:val="single"/>
        </w:rPr>
        <w:t xml:space="preserve"> 银行转账 </w:t>
      </w:r>
      <w:r>
        <w:rPr>
          <w:rFonts w:hint="eastAsia" w:ascii="宋体" w:hAnsi="宋体" w:eastAsia="宋体" w:cs="宋体"/>
          <w:color w:val="auto"/>
          <w:sz w:val="24"/>
          <w:highlight w:val="none"/>
        </w:rPr>
        <w:t>方式支付。</w:t>
      </w:r>
    </w:p>
    <w:p w14:paraId="1C431C4E">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ascii="宋体" w:hAnsi="宋体" w:eastAsia="宋体" w:cs="宋体"/>
          <w:b/>
          <w:bCs/>
          <w:color w:val="auto"/>
          <w:kern w:val="2"/>
          <w:sz w:val="24"/>
          <w:szCs w:val="24"/>
          <w:highlight w:val="none"/>
          <w:u w:val="none"/>
          <w:lang w:val="en-US" w:eastAsia="zh-CN" w:bidi="ar-SA"/>
        </w:rPr>
      </w:pPr>
      <w:r>
        <w:rPr>
          <w:rFonts w:hint="default" w:ascii="Times New Roman" w:hAnsi="Times New Roman" w:eastAsia="宋体" w:cs="Times New Roman"/>
          <w:b/>
          <w:bCs/>
          <w:color w:val="auto"/>
          <w:kern w:val="2"/>
          <w:sz w:val="24"/>
          <w:szCs w:val="24"/>
          <w:highlight w:val="none"/>
          <w:u w:val="none"/>
          <w:lang w:val="en-US" w:eastAsia="zh-CN" w:bidi="ar-SA"/>
        </w:rPr>
        <w:t>5.</w:t>
      </w:r>
      <w:r>
        <w:rPr>
          <w:rFonts w:hint="eastAsia" w:ascii="Times New Roman" w:hAnsi="Times New Roman" w:eastAsia="宋体" w:cs="Times New Roman"/>
          <w:b/>
          <w:bCs/>
          <w:color w:val="auto"/>
          <w:kern w:val="2"/>
          <w:sz w:val="24"/>
          <w:szCs w:val="24"/>
          <w:highlight w:val="none"/>
          <w:u w:val="none"/>
          <w:lang w:val="en-US" w:eastAsia="zh-CN" w:bidi="ar-SA"/>
        </w:rPr>
        <w:t xml:space="preserve">4 </w:t>
      </w:r>
      <w:r>
        <w:rPr>
          <w:rFonts w:hint="eastAsia" w:ascii="Times New Roman" w:hAnsi="Times New Roman" w:eastAsia="宋体" w:cs="Times New Roman"/>
          <w:b/>
          <w:bCs/>
          <w:color w:val="auto"/>
          <w:kern w:val="2"/>
          <w:sz w:val="24"/>
          <w:szCs w:val="24"/>
          <w:highlight w:val="none"/>
          <w:lang w:val="en-US" w:eastAsia="zh-CN" w:bidi="ar-SA"/>
        </w:rPr>
        <w:t>账户信息</w:t>
      </w:r>
    </w:p>
    <w:p w14:paraId="6DBBCE90">
      <w:pPr>
        <w:widowControl/>
        <w:adjustRightInd w:val="0"/>
        <w:spacing w:line="52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单位名称： </w:t>
      </w:r>
    </w:p>
    <w:p w14:paraId="51BCE676">
      <w:pPr>
        <w:widowControl/>
        <w:adjustRightInd w:val="0"/>
        <w:spacing w:line="52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纳税人识别号： </w:t>
      </w:r>
    </w:p>
    <w:p w14:paraId="112567CD">
      <w:pPr>
        <w:widowControl/>
        <w:adjustRightInd w:val="0"/>
        <w:spacing w:line="52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地址电话： </w:t>
      </w:r>
    </w:p>
    <w:p w14:paraId="507A5E1D">
      <w:pPr>
        <w:widowControl/>
        <w:adjustRightInd w:val="0"/>
        <w:spacing w:line="52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开户行： </w:t>
      </w:r>
    </w:p>
    <w:p w14:paraId="7E922836">
      <w:pPr>
        <w:widowControl/>
        <w:adjustRightInd w:val="0"/>
        <w:spacing w:line="520" w:lineRule="exact"/>
        <w:ind w:firstLine="480" w:firstLineChars="200"/>
        <w:jc w:val="both"/>
        <w:rPr>
          <w:rFonts w:hint="eastAsia" w:ascii="宋体" w:hAnsi="Times New Roman" w:eastAsia="仿宋" w:cs="宋体"/>
          <w:color w:val="auto"/>
          <w:kern w:val="0"/>
          <w:sz w:val="28"/>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银行账号： </w:t>
      </w:r>
    </w:p>
    <w:p w14:paraId="656B08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eastAsia"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第六条 保密条款及知识产权</w:t>
      </w:r>
    </w:p>
    <w:p w14:paraId="48C001CC">
      <w:pPr>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任何一方对其获知的本合同涉及的所有有形、无形的信息及资料（包括但不限于甲乙双方的往来书面文字、电子邮件及信息、软盘资料等）中另一方的商业秘密或国家秘密负有保密义务，保密义务不因本合同的终止而终止。</w:t>
      </w:r>
    </w:p>
    <w:p w14:paraId="00996A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eastAsia"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第七条 违约责任</w:t>
      </w:r>
    </w:p>
    <w:p w14:paraId="24577FF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default" w:ascii="Times New Roman" w:hAnsi="Times New Roman" w:eastAsia="宋体" w:cs="Times New Roman"/>
          <w:color w:val="auto"/>
          <w:sz w:val="24"/>
          <w:szCs w:val="24"/>
          <w:highlight w:val="none"/>
          <w:lang w:val="en-US" w:eastAsia="zh-CN"/>
        </w:rPr>
        <w:t>7.1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因甲方原因导致合同终止，甲方应向乙方支付已完成工作所发生的实际成本支出；若因乙方原因导致合同终止</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由此造成的损失由</w:t>
      </w:r>
      <w:r>
        <w:rPr>
          <w:rFonts w:hint="eastAsia" w:ascii="宋体" w:hAnsi="宋体" w:eastAsia="宋体" w:cs="宋体"/>
          <w:color w:val="auto"/>
          <w:sz w:val="24"/>
          <w:szCs w:val="24"/>
          <w:highlight w:val="none"/>
        </w:rPr>
        <w:t>乙方承担。</w:t>
      </w:r>
    </w:p>
    <w:p w14:paraId="320F0380">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default" w:ascii="Times New Roman" w:hAnsi="Times New Roman" w:eastAsia="宋体" w:cs="Times New Roman"/>
          <w:color w:val="auto"/>
          <w:sz w:val="24"/>
          <w:szCs w:val="24"/>
          <w:highlight w:val="none"/>
          <w:lang w:val="en-US" w:eastAsia="zh-CN"/>
        </w:rPr>
        <w:t>7.2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因甲方未按时付款导致项目停滞、延期等后果，由甲方自行承担。 </w:t>
      </w:r>
    </w:p>
    <w:p w14:paraId="26FAC2C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highlight w:val="none"/>
        </w:rPr>
      </w:pPr>
      <w:r>
        <w:rPr>
          <w:rFonts w:hint="default" w:ascii="Times New Roman" w:hAnsi="Times New Roman" w:eastAsia="宋体" w:cs="Times New Roman"/>
          <w:color w:val="auto"/>
          <w:sz w:val="24"/>
          <w:szCs w:val="24"/>
          <w:highlight w:val="none"/>
          <w:lang w:val="en-US" w:eastAsia="zh-CN"/>
        </w:rPr>
        <w:t>7.3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若乙方不能按照本合同的约定完成本合同的</w:t>
      </w:r>
      <w:r>
        <w:rPr>
          <w:rFonts w:hint="eastAsia" w:ascii="宋体" w:hAnsi="宋体" w:eastAsia="宋体" w:cs="宋体"/>
          <w:color w:val="auto"/>
          <w:sz w:val="24"/>
          <w:szCs w:val="24"/>
          <w:highlight w:val="none"/>
        </w:rPr>
        <w:t>工作内容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提交成果，每逾期一天，乙方按应付金额的1‰向甲方支付违约金。</w:t>
      </w:r>
    </w:p>
    <w:p w14:paraId="517718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eastAsia"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第八条 免责条件</w:t>
      </w:r>
    </w:p>
    <w:p w14:paraId="1637A3BC">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default" w:ascii="Times New Roman" w:hAnsi="Times New Roman" w:eastAsia="宋体" w:cs="Times New Roman"/>
          <w:color w:val="auto"/>
          <w:sz w:val="24"/>
          <w:highlight w:val="none"/>
          <w:lang w:val="en-US" w:eastAsia="zh-CN"/>
        </w:rPr>
        <w:t>8.1</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发生</w:t>
      </w:r>
      <w:r>
        <w:rPr>
          <w:rFonts w:hint="eastAsia" w:ascii="宋体" w:hAnsi="宋体" w:eastAsia="宋体" w:cs="宋体"/>
          <w:color w:val="auto"/>
          <w:sz w:val="24"/>
          <w:highlight w:val="none"/>
          <w:lang w:val="en-US" w:eastAsia="zh-CN"/>
        </w:rPr>
        <w:t>地震、疫情等</w:t>
      </w:r>
      <w:r>
        <w:rPr>
          <w:rFonts w:hint="eastAsia" w:ascii="宋体" w:hAnsi="宋体" w:eastAsia="宋体" w:cs="宋体"/>
          <w:color w:val="auto"/>
          <w:sz w:val="24"/>
          <w:highlight w:val="none"/>
        </w:rPr>
        <w:t>不可抗力造成延误，其履行期限应自动延长</w:t>
      </w:r>
      <w:r>
        <w:rPr>
          <w:rFonts w:hint="eastAsia" w:ascii="宋体" w:hAnsi="宋体" w:eastAsia="宋体" w:cs="宋体"/>
          <w:color w:val="auto"/>
          <w:sz w:val="24"/>
          <w:highlight w:val="none"/>
          <w:lang w:val="en-US" w:eastAsia="zh-CN"/>
        </w:rPr>
        <w:t>或解除合同</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双</w:t>
      </w:r>
      <w:r>
        <w:rPr>
          <w:rFonts w:hint="eastAsia" w:ascii="宋体" w:hAnsi="宋体" w:eastAsia="宋体" w:cs="宋体"/>
          <w:color w:val="auto"/>
          <w:sz w:val="24"/>
          <w:highlight w:val="none"/>
        </w:rPr>
        <w:t>方无</w:t>
      </w:r>
      <w:r>
        <w:rPr>
          <w:rFonts w:hint="eastAsia" w:ascii="宋体" w:hAnsi="宋体" w:eastAsia="宋体" w:cs="宋体"/>
          <w:color w:val="auto"/>
          <w:sz w:val="24"/>
          <w:highlight w:val="none"/>
          <w:lang w:val="en-US" w:eastAsia="zh-CN"/>
        </w:rPr>
        <w:t>需</w:t>
      </w:r>
      <w:r>
        <w:rPr>
          <w:rFonts w:hint="eastAsia" w:ascii="宋体" w:hAnsi="宋体" w:eastAsia="宋体" w:cs="宋体"/>
          <w:color w:val="auto"/>
          <w:sz w:val="24"/>
          <w:highlight w:val="none"/>
        </w:rPr>
        <w:t>为此承担违约责任。</w:t>
      </w:r>
    </w:p>
    <w:p w14:paraId="54B9F672">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default" w:ascii="Times New Roman" w:hAnsi="Times New Roman" w:eastAsia="宋体" w:cs="Times New Roman"/>
          <w:color w:val="auto"/>
          <w:sz w:val="24"/>
          <w:highlight w:val="none"/>
          <w:lang w:val="en-US" w:eastAsia="zh-CN"/>
        </w:rPr>
        <w:t>8.2</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提出受不可抗力影响的一方应及时书面通知对方，并且在随后的15日内向对方提供不可抗力发生和持续期间的充分证据。提出受不可抗力影响的一方，还应尽一切合理努力排除不可抗力对履行合同造成的影响。</w:t>
      </w:r>
    </w:p>
    <w:p w14:paraId="15C52039">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highlight w:val="none"/>
        </w:rPr>
      </w:pPr>
      <w:r>
        <w:rPr>
          <w:rFonts w:hint="default" w:ascii="Times New Roman" w:hAnsi="Times New Roman" w:eastAsia="宋体" w:cs="Times New Roman"/>
          <w:color w:val="auto"/>
          <w:sz w:val="24"/>
          <w:highlight w:val="none"/>
          <w:lang w:val="en-US" w:eastAsia="zh-CN"/>
        </w:rPr>
        <w:t>8.3</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发生不可抗力的，双方应立即进行磋商，寻求合理的解决方案，并且要尽一切合理努力将不可抗力造成的损失降低到</w:t>
      </w:r>
      <w:r>
        <w:rPr>
          <w:rFonts w:hint="eastAsia" w:ascii="宋体" w:hAnsi="宋体" w:eastAsia="宋体" w:cs="宋体"/>
          <w:color w:val="auto"/>
          <w:sz w:val="24"/>
          <w:highlight w:val="none"/>
          <w:lang w:eastAsia="zh-CN"/>
        </w:rPr>
        <w:t>最低程度</w:t>
      </w:r>
      <w:r>
        <w:rPr>
          <w:rFonts w:hint="eastAsia" w:ascii="宋体" w:hAnsi="宋体" w:eastAsia="宋体" w:cs="宋体"/>
          <w:color w:val="auto"/>
          <w:sz w:val="24"/>
          <w:highlight w:val="none"/>
        </w:rPr>
        <w:t>。</w:t>
      </w:r>
    </w:p>
    <w:p w14:paraId="08674F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eastAsia"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第九条 通知和送达</w:t>
      </w:r>
    </w:p>
    <w:p w14:paraId="36AE162E">
      <w:pPr>
        <w:spacing w:line="560" w:lineRule="exact"/>
        <w:ind w:firstLine="480" w:firstLineChars="200"/>
        <w:rPr>
          <w:rFonts w:hint="eastAsia" w:ascii="宋体" w:hAnsi="宋体" w:eastAsia="宋体" w:cs="宋体"/>
          <w:color w:val="auto"/>
          <w:sz w:val="24"/>
          <w:highlight w:val="none"/>
        </w:rPr>
      </w:pPr>
      <w:r>
        <w:rPr>
          <w:rFonts w:hint="default" w:ascii="Times New Roman" w:hAnsi="Times New Roman" w:eastAsia="宋体" w:cs="Times New Roman"/>
          <w:color w:val="auto"/>
          <w:sz w:val="24"/>
          <w:highlight w:val="none"/>
          <w:lang w:val="en-US" w:eastAsia="zh-CN"/>
        </w:rPr>
        <w:t>9.1</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甲乙双方因履行本合同而相互发出或者提供的所有通知、文件、资料，均以</w:t>
      </w:r>
      <w:r>
        <w:rPr>
          <w:rFonts w:hint="eastAsia" w:ascii="宋体" w:hAnsi="宋体" w:eastAsia="宋体" w:cs="宋体"/>
          <w:color w:val="auto"/>
          <w:sz w:val="24"/>
          <w:highlight w:val="none"/>
          <w:lang w:val="en-US" w:eastAsia="zh-CN"/>
        </w:rPr>
        <w:t>后面</w:t>
      </w:r>
      <w:r>
        <w:rPr>
          <w:rFonts w:hint="eastAsia" w:ascii="宋体" w:hAnsi="宋体" w:eastAsia="宋体" w:cs="宋体"/>
          <w:color w:val="auto"/>
          <w:sz w:val="24"/>
          <w:highlight w:val="none"/>
        </w:rPr>
        <w:t>列明的住所地送达，一方如果迁址或者变更电话，应当书面通知对方。</w:t>
      </w:r>
    </w:p>
    <w:p w14:paraId="69EDCD42">
      <w:pPr>
        <w:spacing w:line="560" w:lineRule="exact"/>
        <w:ind w:firstLine="480" w:firstLineChars="200"/>
        <w:rPr>
          <w:rFonts w:hint="eastAsia" w:ascii="宋体" w:hAnsi="宋体" w:eastAsia="宋体" w:cs="宋体"/>
          <w:color w:val="auto"/>
          <w:sz w:val="24"/>
          <w:highlight w:val="none"/>
        </w:rPr>
      </w:pPr>
      <w:r>
        <w:rPr>
          <w:rFonts w:hint="default" w:ascii="Times New Roman" w:hAnsi="Times New Roman" w:eastAsia="宋体" w:cs="Times New Roman"/>
          <w:color w:val="auto"/>
          <w:sz w:val="24"/>
          <w:highlight w:val="none"/>
          <w:lang w:val="en-US" w:eastAsia="zh-CN"/>
        </w:rPr>
        <w:t>9.2</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通过传真方式的，在发出传真时视为送达；以邮寄方式的，挂号寄出或者投邮</w:t>
      </w:r>
      <w:r>
        <w:rPr>
          <w:rFonts w:hint="eastAsia" w:ascii="宋体" w:hAnsi="宋体" w:eastAsia="宋体" w:cs="宋体"/>
          <w:color w:val="auto"/>
          <w:sz w:val="24"/>
          <w:highlight w:val="none"/>
          <w:lang w:val="en-US" w:eastAsia="zh-CN"/>
        </w:rPr>
        <w:t>收到</w:t>
      </w:r>
      <w:r>
        <w:rPr>
          <w:rFonts w:hint="eastAsia" w:ascii="宋体" w:hAnsi="宋体" w:eastAsia="宋体" w:cs="宋体"/>
          <w:color w:val="auto"/>
          <w:sz w:val="24"/>
          <w:highlight w:val="none"/>
        </w:rPr>
        <w:t>当日视为送达；以电子邮箱方式的，邮件发送</w:t>
      </w:r>
      <w:r>
        <w:rPr>
          <w:rFonts w:hint="eastAsia" w:ascii="宋体" w:hAnsi="宋体" w:eastAsia="宋体" w:cs="宋体"/>
          <w:color w:val="auto"/>
          <w:sz w:val="24"/>
          <w:highlight w:val="none"/>
        </w:rPr>
        <w:t>成功</w:t>
      </w:r>
      <w:r>
        <w:rPr>
          <w:rFonts w:hint="eastAsia" w:ascii="宋体" w:hAnsi="宋体" w:eastAsia="宋体" w:cs="宋体"/>
          <w:color w:val="auto"/>
          <w:sz w:val="24"/>
          <w:highlight w:val="none"/>
          <w:lang w:val="en-US" w:eastAsia="zh-CN"/>
        </w:rPr>
        <w:t>并通知对方后</w:t>
      </w:r>
      <w:r>
        <w:rPr>
          <w:rFonts w:hint="eastAsia" w:ascii="宋体" w:hAnsi="宋体" w:eastAsia="宋体" w:cs="宋体"/>
          <w:color w:val="auto"/>
          <w:sz w:val="24"/>
          <w:highlight w:val="none"/>
        </w:rPr>
        <w:t>视</w:t>
      </w:r>
      <w:r>
        <w:rPr>
          <w:rFonts w:hint="eastAsia" w:ascii="宋体" w:hAnsi="宋体" w:eastAsia="宋体" w:cs="宋体"/>
          <w:color w:val="auto"/>
          <w:sz w:val="24"/>
          <w:highlight w:val="none"/>
        </w:rPr>
        <w:t>为送达。</w:t>
      </w:r>
    </w:p>
    <w:p w14:paraId="2883E9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2" w:firstLineChars="200"/>
        <w:jc w:val="center"/>
        <w:textAlignment w:val="auto"/>
        <w:outlineLvl w:val="0"/>
        <w:rPr>
          <w:rFonts w:hint="eastAsia" w:ascii="宋体" w:hAnsi="宋体" w:eastAsia="宋体" w:cs="宋体"/>
          <w:b/>
          <w:bCs/>
          <w:color w:val="auto"/>
          <w:kern w:val="2"/>
          <w:sz w:val="28"/>
          <w:szCs w:val="28"/>
          <w:highlight w:val="none"/>
          <w:u w:val="none"/>
          <w:lang w:val="en-US" w:eastAsia="zh-CN" w:bidi="ar-SA"/>
        </w:rPr>
      </w:pPr>
      <w:r>
        <w:rPr>
          <w:rFonts w:hint="eastAsia" w:ascii="宋体" w:hAnsi="宋体" w:eastAsia="宋体" w:cs="宋体"/>
          <w:b/>
          <w:bCs/>
          <w:color w:val="auto"/>
          <w:kern w:val="2"/>
          <w:sz w:val="28"/>
          <w:szCs w:val="28"/>
          <w:highlight w:val="none"/>
          <w:u w:val="none"/>
          <w:lang w:val="en-US" w:eastAsia="zh-CN" w:bidi="ar-SA"/>
        </w:rPr>
        <w:t>第十条 其他</w:t>
      </w:r>
    </w:p>
    <w:p w14:paraId="786D1A27">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lang w:val="en-US" w:eastAsia="zh-CN"/>
        </w:rPr>
        <w:t>10.1</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本合同壹式</w:t>
      </w:r>
      <w:r>
        <w:rPr>
          <w:rFonts w:hint="eastAsia" w:ascii="宋体" w:hAnsi="宋体" w:eastAsia="宋体" w:cs="宋体"/>
          <w:b w:val="0"/>
          <w:bCs w:val="0"/>
          <w:color w:val="auto"/>
          <w:sz w:val="24"/>
          <w:szCs w:val="24"/>
          <w:highlight w:val="none"/>
          <w:lang w:val="en-US" w:eastAsia="zh-CN"/>
        </w:rPr>
        <w:t>陆</w:t>
      </w:r>
      <w:r>
        <w:rPr>
          <w:rFonts w:hint="eastAsia" w:ascii="宋体" w:hAnsi="宋体" w:eastAsia="宋体" w:cs="宋体"/>
          <w:b w:val="0"/>
          <w:bCs w:val="0"/>
          <w:color w:val="auto"/>
          <w:sz w:val="24"/>
          <w:szCs w:val="24"/>
          <w:highlight w:val="none"/>
        </w:rPr>
        <w:t>份，甲乙双方各执</w:t>
      </w:r>
      <w:r>
        <w:rPr>
          <w:rFonts w:hint="eastAsia" w:ascii="宋体" w:hAnsi="宋体" w:eastAsia="宋体" w:cs="宋体"/>
          <w:b w:val="0"/>
          <w:bCs w:val="0"/>
          <w:color w:val="auto"/>
          <w:sz w:val="24"/>
          <w:szCs w:val="24"/>
          <w:highlight w:val="none"/>
          <w:lang w:val="en-US" w:eastAsia="zh-CN"/>
        </w:rPr>
        <w:t>叁</w:t>
      </w:r>
      <w:r>
        <w:rPr>
          <w:rFonts w:hint="eastAsia" w:ascii="宋体" w:hAnsi="宋体" w:eastAsia="宋体" w:cs="宋体"/>
          <w:b w:val="0"/>
          <w:bCs w:val="0"/>
          <w:color w:val="auto"/>
          <w:sz w:val="24"/>
          <w:szCs w:val="24"/>
          <w:highlight w:val="none"/>
        </w:rPr>
        <w:t>份，具有同等法律效力。</w:t>
      </w:r>
    </w:p>
    <w:p w14:paraId="0B3A7D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lang w:val="en-US" w:eastAsia="zh-CN"/>
        </w:rPr>
        <w:t>10.2</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本合同有效期</w:t>
      </w:r>
      <w:r>
        <w:rPr>
          <w:rFonts w:hint="eastAsia" w:ascii="宋体" w:hAnsi="宋体" w:eastAsia="宋体" w:cs="宋体"/>
          <w:b w:val="0"/>
          <w:bCs w:val="0"/>
          <w:color w:val="auto"/>
          <w:sz w:val="24"/>
          <w:szCs w:val="24"/>
          <w:highlight w:val="none"/>
          <w:lang w:eastAsia="zh-CN"/>
        </w:rPr>
        <w:t>：</w:t>
      </w:r>
      <w:r>
        <w:rPr>
          <w:rFonts w:hint="eastAsia" w:ascii="Times New Roman" w:hAnsi="Times New Roman" w:eastAsia="宋体" w:cs="Times New Roman"/>
          <w:color w:val="auto"/>
          <w:kern w:val="2"/>
          <w:sz w:val="24"/>
          <w:szCs w:val="24"/>
          <w:highlight w:val="none"/>
          <w:lang w:val="en-US" w:eastAsia="zh-CN" w:bidi="ar-SA"/>
        </w:rPr>
        <w:t>自合同签订起一个自然年</w:t>
      </w:r>
      <w:r>
        <w:rPr>
          <w:rFonts w:hint="eastAsia" w:ascii="宋体" w:hAnsi="宋体" w:eastAsia="宋体" w:cs="宋体"/>
          <w:b w:val="0"/>
          <w:bCs w:val="0"/>
          <w:color w:val="auto"/>
          <w:sz w:val="24"/>
          <w:szCs w:val="24"/>
          <w:highlight w:val="none"/>
        </w:rPr>
        <w:t>。</w:t>
      </w:r>
    </w:p>
    <w:p w14:paraId="57571F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480" w:firstLineChars="200"/>
        <w:jc w:val="both"/>
        <w:textAlignment w:val="auto"/>
        <w:rPr>
          <w:rFonts w:hint="eastAsia" w:ascii="宋体" w:hAnsi="宋体" w:eastAsia="宋体" w:cs="宋体"/>
          <w:b w:val="0"/>
          <w:bCs w:val="0"/>
          <w:color w:val="auto"/>
          <w:kern w:val="0"/>
          <w:sz w:val="24"/>
          <w:szCs w:val="24"/>
          <w:highlight w:val="none"/>
          <w:lang w:val="en-US" w:eastAsia="zh-CN" w:bidi="ar"/>
        </w:rPr>
      </w:pPr>
      <w:r>
        <w:rPr>
          <w:rFonts w:hint="default" w:ascii="Times New Roman" w:hAnsi="Times New Roman" w:eastAsia="宋体" w:cs="Times New Roman"/>
          <w:b w:val="0"/>
          <w:bCs w:val="0"/>
          <w:color w:val="auto"/>
          <w:kern w:val="0"/>
          <w:sz w:val="24"/>
          <w:szCs w:val="24"/>
          <w:highlight w:val="none"/>
          <w:u w:val="none"/>
          <w:lang w:val="en-US" w:eastAsia="zh-CN" w:bidi="ar"/>
        </w:rPr>
        <w:t>10.3</w:t>
      </w:r>
      <w:r>
        <w:rPr>
          <w:rFonts w:hint="eastAsia" w:ascii="宋体" w:hAnsi="宋体" w:eastAsia="宋体" w:cs="宋体"/>
          <w:b w:val="0"/>
          <w:bCs w:val="0"/>
          <w:color w:val="auto"/>
          <w:kern w:val="0"/>
          <w:sz w:val="24"/>
          <w:szCs w:val="24"/>
          <w:highlight w:val="none"/>
          <w:u w:val="none"/>
          <w:lang w:val="en-US" w:eastAsia="zh-CN" w:bidi="ar"/>
        </w:rPr>
        <w:t xml:space="preserve"> </w:t>
      </w:r>
      <w:r>
        <w:rPr>
          <w:rFonts w:hint="eastAsia" w:ascii="宋体" w:hAnsi="宋体" w:eastAsia="宋体" w:cs="宋体"/>
          <w:b w:val="0"/>
          <w:bCs w:val="0"/>
          <w:color w:val="auto"/>
          <w:kern w:val="0"/>
          <w:sz w:val="24"/>
          <w:szCs w:val="24"/>
          <w:highlight w:val="none"/>
          <w:lang w:val="en-US" w:eastAsia="zh-CN" w:bidi="ar"/>
        </w:rPr>
        <w:t>甲乙双方应严格遵守国家、行业主管部门有关法律法规和党风廉政建设的各项规定，严格执行合同文件，自觉按合同办事。如发现对方在业务活动中可能有违规、违纪、违法行为的，应及时提醒对方。情节严重的，应向其上级主管部门或纪检监察部门举报。</w:t>
      </w:r>
    </w:p>
    <w:p w14:paraId="60F3BF4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color w:val="auto"/>
          <w:sz w:val="24"/>
          <w:highlight w:val="none"/>
        </w:rPr>
      </w:pPr>
      <w:r>
        <w:rPr>
          <w:rFonts w:hint="default" w:ascii="Times New Roman" w:hAnsi="Times New Roman" w:eastAsia="宋体" w:cs="Times New Roman"/>
          <w:color w:val="auto"/>
          <w:sz w:val="24"/>
          <w:highlight w:val="none"/>
          <w:lang w:val="en-US" w:eastAsia="zh-CN"/>
        </w:rPr>
        <w:t>10.4</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甲乙双方如果发生争议，应当友好协商解决。如协商不成，任何一方均有权向甲方所在地人民法院提起诉讼。</w:t>
      </w:r>
    </w:p>
    <w:p w14:paraId="247B5400">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lang w:val="en-US" w:eastAsia="zh-CN"/>
        </w:rPr>
        <w:t>10.5</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依照法律规定或者甲乙双方经协商同意，可以变更或者解除本合同。</w:t>
      </w:r>
    </w:p>
    <w:p w14:paraId="71D44E11">
      <w:pPr>
        <w:adjustRightInd/>
        <w:snapToGrid/>
        <w:spacing w:line="560" w:lineRule="exact"/>
        <w:ind w:firstLine="480"/>
        <w:rPr>
          <w:rFonts w:hint="eastAsia" w:ascii="Times New Roman" w:hAnsi="Times New Roman" w:eastAsia="宋体" w:cs="Times New Roman"/>
          <w:color w:val="auto"/>
          <w:highlight w:val="none"/>
        </w:rPr>
      </w:pPr>
      <w:r>
        <w:rPr>
          <w:rFonts w:hint="default" w:ascii="Times New Roman" w:hAnsi="Times New Roman" w:eastAsia="宋体" w:cs="Times New Roman"/>
          <w:b w:val="0"/>
          <w:bCs w:val="0"/>
          <w:color w:val="auto"/>
          <w:sz w:val="24"/>
          <w:szCs w:val="24"/>
          <w:highlight w:val="none"/>
          <w:lang w:val="en-US" w:eastAsia="zh-CN"/>
        </w:rPr>
        <w:t>10.6</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本合同未尽事宜，经合同双方</w:t>
      </w:r>
      <w:r>
        <w:rPr>
          <w:rFonts w:hint="eastAsia" w:ascii="宋体" w:hAnsi="宋体" w:eastAsia="宋体" w:cs="宋体"/>
          <w:b w:val="0"/>
          <w:bCs w:val="0"/>
          <w:color w:val="auto"/>
          <w:sz w:val="24"/>
          <w:szCs w:val="24"/>
          <w:highlight w:val="none"/>
          <w:lang w:eastAsia="zh-CN"/>
        </w:rPr>
        <w:t>协商</w:t>
      </w:r>
      <w:r>
        <w:rPr>
          <w:rFonts w:hint="eastAsia" w:ascii="宋体" w:hAnsi="宋体" w:eastAsia="宋体" w:cs="宋体"/>
          <w:b w:val="0"/>
          <w:bCs w:val="0"/>
          <w:color w:val="auto"/>
          <w:sz w:val="24"/>
          <w:szCs w:val="24"/>
          <w:highlight w:val="none"/>
        </w:rPr>
        <w:t>签订补充合同。补充合同不得与国家有关文件规定相冲突。补充合同与本合同具有同等法律效力。</w:t>
      </w:r>
    </w:p>
    <w:p w14:paraId="270C3AE9">
      <w:pPr>
        <w:spacing w:line="560" w:lineRule="exact"/>
        <w:ind w:firstLine="562" w:firstLineChars="200"/>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u w:val="single"/>
        </w:rPr>
        <w:t>（以下无正文，为本合同</w:t>
      </w:r>
      <w:r>
        <w:rPr>
          <w:rFonts w:hint="eastAsia" w:ascii="宋体" w:hAnsi="宋体" w:eastAsia="宋体" w:cs="宋体"/>
          <w:b/>
          <w:bCs/>
          <w:color w:val="auto"/>
          <w:sz w:val="28"/>
          <w:szCs w:val="28"/>
          <w:highlight w:val="none"/>
          <w:u w:val="single"/>
          <w:lang w:val="en-US" w:eastAsia="zh-CN"/>
        </w:rPr>
        <w:t>签字盖</w:t>
      </w:r>
      <w:r>
        <w:rPr>
          <w:rFonts w:hint="eastAsia" w:ascii="宋体" w:hAnsi="宋体" w:eastAsia="宋体" w:cs="宋体"/>
          <w:b/>
          <w:bCs/>
          <w:color w:val="auto"/>
          <w:sz w:val="28"/>
          <w:szCs w:val="28"/>
          <w:highlight w:val="none"/>
          <w:u w:val="single"/>
        </w:rPr>
        <w:t>章部分）</w:t>
      </w:r>
    </w:p>
    <w:p w14:paraId="115E805E">
      <w:pPr>
        <w:spacing w:line="240" w:lineRule="auto"/>
        <w:rPr>
          <w:rFonts w:ascii="Times New Roman" w:hAnsi="Times New Roman" w:eastAsia="宋体" w:cs="Times New Roman"/>
          <w:color w:val="auto"/>
          <w:sz w:val="24"/>
          <w:highlight w:val="none"/>
        </w:rPr>
      </w:pPr>
      <w:r>
        <w:rPr>
          <w:rFonts w:hint="eastAsia" w:ascii="宋体" w:hAnsi="宋体" w:eastAsia="宋体" w:cs="宋体"/>
          <w:b/>
          <w:bCs/>
          <w:color w:val="auto"/>
          <w:sz w:val="28"/>
          <w:szCs w:val="28"/>
          <w:highlight w:val="none"/>
        </w:rPr>
        <w:br w:type="page"/>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3051"/>
        <w:gridCol w:w="1239"/>
        <w:gridCol w:w="3121"/>
      </w:tblGrid>
      <w:tr w14:paraId="73CC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4360" w:type="dxa"/>
            <w:gridSpan w:val="2"/>
            <w:noWrap w:val="0"/>
            <w:vAlign w:val="center"/>
          </w:tcPr>
          <w:p w14:paraId="2AA88F05">
            <w:pPr>
              <w:spacing w:line="300" w:lineRule="auto"/>
              <w:jc w:val="center"/>
              <w:rPr>
                <w:rFonts w:hint="eastAsia" w:ascii="方正小标宋简体" w:hAnsi="方正小标宋简体" w:eastAsia="方正小标宋简体" w:cs="方正小标宋简体"/>
                <w:color w:val="auto"/>
                <w:sz w:val="32"/>
                <w:szCs w:val="32"/>
                <w:highlight w:val="none"/>
                <w:vertAlign w:val="baseline"/>
                <w:lang w:val="en-US" w:eastAsia="zh-CN"/>
              </w:rPr>
            </w:pPr>
            <w:r>
              <w:rPr>
                <w:rFonts w:hint="eastAsia" w:ascii="方正小标宋简体" w:hAnsi="方正小标宋简体" w:eastAsia="方正小标宋简体" w:cs="方正小标宋简体"/>
                <w:color w:val="auto"/>
                <w:sz w:val="32"/>
                <w:szCs w:val="32"/>
                <w:highlight w:val="none"/>
                <w:vertAlign w:val="baseline"/>
                <w:lang w:val="en-US" w:eastAsia="zh-CN"/>
              </w:rPr>
              <w:t>甲  方</w:t>
            </w:r>
          </w:p>
        </w:tc>
        <w:tc>
          <w:tcPr>
            <w:tcW w:w="4360" w:type="dxa"/>
            <w:gridSpan w:val="2"/>
            <w:noWrap w:val="0"/>
            <w:vAlign w:val="center"/>
          </w:tcPr>
          <w:p w14:paraId="23B9AAF0">
            <w:pPr>
              <w:spacing w:line="300" w:lineRule="auto"/>
              <w:jc w:val="center"/>
              <w:rPr>
                <w:rFonts w:hint="eastAsia" w:ascii="方正小标宋简体" w:hAnsi="方正小标宋简体" w:eastAsia="方正小标宋简体" w:cs="方正小标宋简体"/>
                <w:color w:val="auto"/>
                <w:sz w:val="32"/>
                <w:szCs w:val="32"/>
                <w:highlight w:val="none"/>
                <w:vertAlign w:val="baseline"/>
                <w:lang w:val="en-US" w:eastAsia="zh-CN"/>
              </w:rPr>
            </w:pPr>
            <w:r>
              <w:rPr>
                <w:rFonts w:hint="eastAsia" w:ascii="方正小标宋简体" w:hAnsi="方正小标宋简体" w:eastAsia="方正小标宋简体" w:cs="方正小标宋简体"/>
                <w:color w:val="auto"/>
                <w:sz w:val="32"/>
                <w:szCs w:val="32"/>
                <w:highlight w:val="none"/>
                <w:vertAlign w:val="baseline"/>
                <w:lang w:val="en-US" w:eastAsia="zh-CN"/>
              </w:rPr>
              <w:t>乙  方</w:t>
            </w:r>
          </w:p>
        </w:tc>
      </w:tr>
      <w:tr w14:paraId="54D5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trPr>
        <w:tc>
          <w:tcPr>
            <w:tcW w:w="1309" w:type="dxa"/>
            <w:noWrap w:val="0"/>
            <w:vAlign w:val="center"/>
          </w:tcPr>
          <w:p w14:paraId="1B5D77DE">
            <w:pPr>
              <w:spacing w:line="300" w:lineRule="auto"/>
              <w:jc w:val="center"/>
              <w:rPr>
                <w:rFonts w:hint="eastAsia"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单位名称（盖章）</w:t>
            </w:r>
          </w:p>
        </w:tc>
        <w:tc>
          <w:tcPr>
            <w:tcW w:w="3051" w:type="dxa"/>
            <w:noWrap w:val="0"/>
            <w:vAlign w:val="center"/>
          </w:tcPr>
          <w:p w14:paraId="00779FC4">
            <w:pPr>
              <w:spacing w:line="30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陕西省地质环境监测总站</w:t>
            </w:r>
          </w:p>
          <w:p w14:paraId="1BCB8216">
            <w:pPr>
              <w:widowControl w:val="0"/>
              <w:adjustRightInd w:val="0"/>
              <w:snapToGrid w:val="0"/>
              <w:spacing w:line="360" w:lineRule="auto"/>
              <w:ind w:left="0" w:leftChars="0" w:firstLine="0" w:firstLineChars="0"/>
              <w:jc w:val="center"/>
              <w:rPr>
                <w:rFonts w:hint="default" w:ascii="Times New Roman" w:hAnsi="Times New Roman" w:eastAsia="仿宋" w:cs="Times New Roman"/>
                <w:color w:val="auto"/>
                <w:kern w:val="2"/>
                <w:sz w:val="28"/>
                <w:szCs w:val="22"/>
                <w:highlight w:val="none"/>
                <w:lang w:val="en-US" w:eastAsia="zh-CN" w:bidi="ar-SA"/>
              </w:rPr>
            </w:pPr>
            <w:r>
              <w:rPr>
                <w:rFonts w:hint="eastAsia" w:ascii="宋体" w:hAnsi="宋体" w:eastAsia="宋体" w:cs="宋体"/>
                <w:color w:val="auto"/>
                <w:kern w:val="2"/>
                <w:sz w:val="24"/>
                <w:szCs w:val="24"/>
                <w:highlight w:val="none"/>
                <w:vertAlign w:val="baseline"/>
                <w:lang w:val="en-US" w:eastAsia="zh-CN" w:bidi="ar-SA"/>
              </w:rPr>
              <w:t>（陕西省地质灾害中心）</w:t>
            </w:r>
          </w:p>
        </w:tc>
        <w:tc>
          <w:tcPr>
            <w:tcW w:w="1239" w:type="dxa"/>
            <w:noWrap w:val="0"/>
            <w:vAlign w:val="center"/>
          </w:tcPr>
          <w:p w14:paraId="6C2F268A">
            <w:pPr>
              <w:spacing w:line="300" w:lineRule="auto"/>
              <w:jc w:val="center"/>
              <w:rPr>
                <w:rFonts w:hint="default"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单位名称（盖章）</w:t>
            </w:r>
          </w:p>
        </w:tc>
        <w:tc>
          <w:tcPr>
            <w:tcW w:w="3121" w:type="dxa"/>
            <w:noWrap w:val="0"/>
            <w:vAlign w:val="center"/>
          </w:tcPr>
          <w:p w14:paraId="2B13C46D">
            <w:pPr>
              <w:spacing w:line="300" w:lineRule="auto"/>
              <w:jc w:val="center"/>
              <w:rPr>
                <w:rFonts w:hint="default" w:ascii="Times New Roman" w:hAnsi="Times New Roman" w:eastAsia="宋体" w:cs="Times New Roman"/>
                <w:color w:val="auto"/>
                <w:sz w:val="24"/>
                <w:highlight w:val="none"/>
                <w:vertAlign w:val="baseline"/>
                <w:lang w:val="en-US" w:eastAsia="zh-CN"/>
              </w:rPr>
            </w:pPr>
            <w:r>
              <w:rPr>
                <w:rFonts w:hint="eastAsia" w:ascii="Times New Roman" w:hAnsi="Times New Roman" w:eastAsia="宋体" w:cs="Times New Roman"/>
                <w:color w:val="auto"/>
                <w:sz w:val="24"/>
                <w:highlight w:val="none"/>
                <w:vertAlign w:val="baseline"/>
                <w:lang w:val="en-US" w:eastAsia="zh-CN"/>
              </w:rPr>
              <w:t xml:space="preserve"> </w:t>
            </w:r>
          </w:p>
        </w:tc>
      </w:tr>
      <w:tr w14:paraId="59B1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trPr>
        <w:tc>
          <w:tcPr>
            <w:tcW w:w="1309" w:type="dxa"/>
            <w:noWrap w:val="0"/>
            <w:vAlign w:val="center"/>
          </w:tcPr>
          <w:p w14:paraId="5E2BFDDA">
            <w:pPr>
              <w:spacing w:line="300" w:lineRule="auto"/>
              <w:jc w:val="center"/>
              <w:rPr>
                <w:rFonts w:hint="default"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法人或委托代理人（签字）</w:t>
            </w:r>
          </w:p>
        </w:tc>
        <w:tc>
          <w:tcPr>
            <w:tcW w:w="3051" w:type="dxa"/>
            <w:noWrap w:val="0"/>
            <w:vAlign w:val="center"/>
          </w:tcPr>
          <w:p w14:paraId="0F4C7732">
            <w:pPr>
              <w:spacing w:line="300" w:lineRule="auto"/>
              <w:jc w:val="center"/>
              <w:rPr>
                <w:rFonts w:hint="eastAsia" w:ascii="Times New Roman" w:hAnsi="Times New Roman" w:eastAsia="宋体" w:cs="Times New Roman"/>
                <w:color w:val="auto"/>
                <w:sz w:val="24"/>
                <w:highlight w:val="none"/>
                <w:vertAlign w:val="baseline"/>
                <w:lang w:eastAsia="zh-CN"/>
              </w:rPr>
            </w:pPr>
          </w:p>
        </w:tc>
        <w:tc>
          <w:tcPr>
            <w:tcW w:w="1239" w:type="dxa"/>
            <w:noWrap w:val="0"/>
            <w:vAlign w:val="center"/>
          </w:tcPr>
          <w:p w14:paraId="520EDC0B">
            <w:pPr>
              <w:spacing w:line="300" w:lineRule="auto"/>
              <w:jc w:val="center"/>
              <w:rPr>
                <w:rFonts w:hint="eastAsia" w:ascii="Times New Roman" w:hAnsi="Times New Roman" w:eastAsia="宋体" w:cs="Times New Roman"/>
                <w:b/>
                <w:bCs/>
                <w:color w:val="auto"/>
                <w:sz w:val="24"/>
                <w:highlight w:val="none"/>
                <w:vertAlign w:val="baseline"/>
              </w:rPr>
            </w:pPr>
            <w:r>
              <w:rPr>
                <w:rFonts w:hint="eastAsia" w:ascii="Times New Roman" w:hAnsi="Times New Roman" w:eastAsia="宋体" w:cs="Times New Roman"/>
                <w:b/>
                <w:bCs/>
                <w:color w:val="auto"/>
                <w:sz w:val="24"/>
                <w:highlight w:val="none"/>
                <w:vertAlign w:val="baseline"/>
                <w:lang w:val="en-US" w:eastAsia="zh-CN"/>
              </w:rPr>
              <w:t>法人或委托代理人（签字）</w:t>
            </w:r>
          </w:p>
        </w:tc>
        <w:tc>
          <w:tcPr>
            <w:tcW w:w="3121" w:type="dxa"/>
            <w:noWrap w:val="0"/>
            <w:vAlign w:val="center"/>
          </w:tcPr>
          <w:p w14:paraId="661E881E">
            <w:pPr>
              <w:spacing w:line="300" w:lineRule="auto"/>
              <w:jc w:val="center"/>
              <w:rPr>
                <w:rFonts w:hint="eastAsia" w:ascii="Times New Roman" w:hAnsi="Times New Roman" w:eastAsia="宋体" w:cs="Times New Roman"/>
                <w:color w:val="auto"/>
                <w:sz w:val="24"/>
                <w:highlight w:val="none"/>
                <w:vertAlign w:val="baseline"/>
              </w:rPr>
            </w:pPr>
          </w:p>
        </w:tc>
      </w:tr>
      <w:tr w14:paraId="7A3FE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noWrap w:val="0"/>
            <w:vAlign w:val="center"/>
          </w:tcPr>
          <w:p w14:paraId="60AF9C46">
            <w:pPr>
              <w:spacing w:line="300" w:lineRule="auto"/>
              <w:jc w:val="center"/>
              <w:rPr>
                <w:rFonts w:hint="default"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联系人</w:t>
            </w:r>
          </w:p>
        </w:tc>
        <w:tc>
          <w:tcPr>
            <w:tcW w:w="3051" w:type="dxa"/>
            <w:noWrap w:val="0"/>
            <w:vAlign w:val="center"/>
          </w:tcPr>
          <w:p w14:paraId="5DEC6C20">
            <w:pPr>
              <w:spacing w:line="300" w:lineRule="auto"/>
              <w:jc w:val="center"/>
              <w:rPr>
                <w:rFonts w:hint="default" w:ascii="Times New Roman" w:hAnsi="Times New Roman" w:eastAsia="宋体" w:cs="Times New Roman"/>
                <w:color w:val="auto"/>
                <w:sz w:val="24"/>
                <w:highlight w:val="none"/>
                <w:vertAlign w:val="baseline"/>
                <w:lang w:val="en-US" w:eastAsia="zh-CN"/>
              </w:rPr>
            </w:pPr>
          </w:p>
        </w:tc>
        <w:tc>
          <w:tcPr>
            <w:tcW w:w="1239" w:type="dxa"/>
            <w:noWrap w:val="0"/>
            <w:vAlign w:val="center"/>
          </w:tcPr>
          <w:p w14:paraId="300A6C84">
            <w:pPr>
              <w:spacing w:line="300" w:lineRule="auto"/>
              <w:jc w:val="center"/>
              <w:rPr>
                <w:rFonts w:hint="eastAsia" w:ascii="Times New Roman" w:hAnsi="Times New Roman" w:eastAsia="宋体" w:cs="Times New Roman"/>
                <w:b/>
                <w:bCs/>
                <w:color w:val="auto"/>
                <w:sz w:val="24"/>
                <w:highlight w:val="none"/>
                <w:vertAlign w:val="baseline"/>
              </w:rPr>
            </w:pPr>
            <w:r>
              <w:rPr>
                <w:rFonts w:hint="eastAsia" w:ascii="Times New Roman" w:hAnsi="Times New Roman" w:eastAsia="宋体" w:cs="Times New Roman"/>
                <w:b/>
                <w:bCs/>
                <w:color w:val="auto"/>
                <w:sz w:val="24"/>
                <w:highlight w:val="none"/>
                <w:vertAlign w:val="baseline"/>
                <w:lang w:val="en-US" w:eastAsia="zh-CN"/>
              </w:rPr>
              <w:t>联系人</w:t>
            </w:r>
          </w:p>
        </w:tc>
        <w:tc>
          <w:tcPr>
            <w:tcW w:w="3121" w:type="dxa"/>
            <w:noWrap w:val="0"/>
            <w:vAlign w:val="center"/>
          </w:tcPr>
          <w:p w14:paraId="13C27D72">
            <w:pPr>
              <w:spacing w:line="300" w:lineRule="auto"/>
              <w:jc w:val="center"/>
              <w:rPr>
                <w:rFonts w:hint="default" w:ascii="Times New Roman" w:hAnsi="Times New Roman" w:eastAsia="宋体" w:cs="Times New Roman"/>
                <w:color w:val="auto"/>
                <w:sz w:val="24"/>
                <w:highlight w:val="none"/>
                <w:vertAlign w:val="baseline"/>
                <w:lang w:val="en-US" w:eastAsia="zh-CN"/>
              </w:rPr>
            </w:pPr>
          </w:p>
        </w:tc>
      </w:tr>
      <w:tr w14:paraId="3AEB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noWrap w:val="0"/>
            <w:vAlign w:val="center"/>
          </w:tcPr>
          <w:p w14:paraId="082CC16A">
            <w:pPr>
              <w:spacing w:line="300" w:lineRule="auto"/>
              <w:jc w:val="center"/>
              <w:rPr>
                <w:rFonts w:hint="default"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通讯地址</w:t>
            </w:r>
          </w:p>
        </w:tc>
        <w:tc>
          <w:tcPr>
            <w:tcW w:w="3051" w:type="dxa"/>
            <w:noWrap w:val="0"/>
            <w:vAlign w:val="center"/>
          </w:tcPr>
          <w:p w14:paraId="3CD8A8B1">
            <w:pPr>
              <w:spacing w:line="300" w:lineRule="auto"/>
              <w:jc w:val="center"/>
              <w:rPr>
                <w:rFonts w:hint="default" w:ascii="Times New Roman" w:hAnsi="Times New Roman" w:eastAsia="宋体" w:cs="Times New Roman"/>
                <w:color w:val="auto"/>
                <w:sz w:val="24"/>
                <w:highlight w:val="none"/>
                <w:vertAlign w:val="baseline"/>
                <w:lang w:val="en-US" w:eastAsia="zh-CN"/>
              </w:rPr>
            </w:pPr>
          </w:p>
        </w:tc>
        <w:tc>
          <w:tcPr>
            <w:tcW w:w="1239" w:type="dxa"/>
            <w:noWrap w:val="0"/>
            <w:vAlign w:val="center"/>
          </w:tcPr>
          <w:p w14:paraId="156E3CD1">
            <w:pPr>
              <w:spacing w:line="300" w:lineRule="auto"/>
              <w:jc w:val="center"/>
              <w:rPr>
                <w:rFonts w:hint="eastAsia" w:ascii="Times New Roman" w:hAnsi="Times New Roman" w:eastAsia="宋体" w:cs="Times New Roman"/>
                <w:b/>
                <w:bCs/>
                <w:color w:val="auto"/>
                <w:sz w:val="24"/>
                <w:highlight w:val="none"/>
                <w:vertAlign w:val="baseline"/>
              </w:rPr>
            </w:pPr>
            <w:r>
              <w:rPr>
                <w:rFonts w:hint="eastAsia" w:ascii="Times New Roman" w:hAnsi="Times New Roman" w:eastAsia="宋体" w:cs="Times New Roman"/>
                <w:b/>
                <w:bCs/>
                <w:color w:val="auto"/>
                <w:sz w:val="24"/>
                <w:highlight w:val="none"/>
                <w:vertAlign w:val="baseline"/>
                <w:lang w:val="en-US" w:eastAsia="zh-CN"/>
              </w:rPr>
              <w:t>通讯地址</w:t>
            </w:r>
          </w:p>
        </w:tc>
        <w:tc>
          <w:tcPr>
            <w:tcW w:w="3121" w:type="dxa"/>
            <w:noWrap w:val="0"/>
            <w:vAlign w:val="center"/>
          </w:tcPr>
          <w:p w14:paraId="53245FBC">
            <w:pPr>
              <w:spacing w:line="300" w:lineRule="auto"/>
              <w:jc w:val="center"/>
              <w:rPr>
                <w:rFonts w:hint="eastAsia" w:ascii="Times New Roman" w:hAnsi="Times New Roman" w:eastAsia="宋体" w:cs="Times New Roman"/>
                <w:color w:val="auto"/>
                <w:sz w:val="24"/>
                <w:highlight w:val="none"/>
                <w:vertAlign w:val="baseline"/>
              </w:rPr>
            </w:pPr>
          </w:p>
        </w:tc>
      </w:tr>
      <w:tr w14:paraId="6C60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noWrap w:val="0"/>
            <w:vAlign w:val="center"/>
          </w:tcPr>
          <w:p w14:paraId="5077812E">
            <w:pPr>
              <w:spacing w:line="300" w:lineRule="auto"/>
              <w:jc w:val="center"/>
              <w:rPr>
                <w:rFonts w:hint="eastAsia"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电话</w:t>
            </w:r>
          </w:p>
          <w:p w14:paraId="05F9B07D">
            <w:pPr>
              <w:spacing w:line="300" w:lineRule="auto"/>
              <w:jc w:val="center"/>
              <w:rPr>
                <w:rFonts w:hint="eastAsia"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（传真）</w:t>
            </w:r>
          </w:p>
        </w:tc>
        <w:tc>
          <w:tcPr>
            <w:tcW w:w="3051" w:type="dxa"/>
            <w:noWrap w:val="0"/>
            <w:vAlign w:val="center"/>
          </w:tcPr>
          <w:p w14:paraId="1EA6B005">
            <w:pPr>
              <w:spacing w:line="300" w:lineRule="auto"/>
              <w:jc w:val="center"/>
              <w:rPr>
                <w:rFonts w:hint="default" w:ascii="Times New Roman" w:hAnsi="Times New Roman" w:eastAsia="宋体" w:cs="Times New Roman"/>
                <w:color w:val="auto"/>
                <w:sz w:val="24"/>
                <w:highlight w:val="none"/>
                <w:vertAlign w:val="baseline"/>
                <w:lang w:val="en-US" w:eastAsia="zh-CN"/>
              </w:rPr>
            </w:pPr>
          </w:p>
        </w:tc>
        <w:tc>
          <w:tcPr>
            <w:tcW w:w="1239" w:type="dxa"/>
            <w:noWrap w:val="0"/>
            <w:vAlign w:val="center"/>
          </w:tcPr>
          <w:p w14:paraId="12698443">
            <w:pPr>
              <w:spacing w:line="300" w:lineRule="auto"/>
              <w:jc w:val="center"/>
              <w:rPr>
                <w:rFonts w:hint="eastAsia"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电话</w:t>
            </w:r>
          </w:p>
          <w:p w14:paraId="55E27FAB">
            <w:pPr>
              <w:spacing w:line="300" w:lineRule="auto"/>
              <w:jc w:val="center"/>
              <w:rPr>
                <w:rFonts w:hint="eastAsia" w:ascii="Times New Roman" w:hAnsi="Times New Roman" w:eastAsia="宋体" w:cs="Times New Roman"/>
                <w:b/>
                <w:bCs/>
                <w:color w:val="auto"/>
                <w:sz w:val="24"/>
                <w:highlight w:val="none"/>
                <w:vertAlign w:val="baseline"/>
              </w:rPr>
            </w:pPr>
            <w:r>
              <w:rPr>
                <w:rFonts w:hint="eastAsia" w:ascii="Times New Roman" w:hAnsi="Times New Roman" w:eastAsia="宋体" w:cs="Times New Roman"/>
                <w:b/>
                <w:bCs/>
                <w:color w:val="auto"/>
                <w:sz w:val="24"/>
                <w:highlight w:val="none"/>
                <w:vertAlign w:val="baseline"/>
                <w:lang w:val="en-US" w:eastAsia="zh-CN"/>
              </w:rPr>
              <w:t>（传真）</w:t>
            </w:r>
          </w:p>
        </w:tc>
        <w:tc>
          <w:tcPr>
            <w:tcW w:w="3121" w:type="dxa"/>
            <w:noWrap w:val="0"/>
            <w:vAlign w:val="center"/>
          </w:tcPr>
          <w:p w14:paraId="74CB1BF9">
            <w:pPr>
              <w:spacing w:line="300" w:lineRule="auto"/>
              <w:jc w:val="center"/>
              <w:rPr>
                <w:rFonts w:hint="eastAsia" w:ascii="Times New Roman" w:hAnsi="Times New Roman" w:eastAsia="宋体" w:cs="Times New Roman"/>
                <w:color w:val="auto"/>
                <w:sz w:val="24"/>
                <w:highlight w:val="none"/>
                <w:vertAlign w:val="baseline"/>
              </w:rPr>
            </w:pPr>
          </w:p>
        </w:tc>
      </w:tr>
      <w:tr w14:paraId="0E9A8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noWrap w:val="0"/>
            <w:vAlign w:val="center"/>
          </w:tcPr>
          <w:p w14:paraId="0EBB1532">
            <w:pPr>
              <w:spacing w:line="300" w:lineRule="auto"/>
              <w:jc w:val="center"/>
              <w:rPr>
                <w:rFonts w:hint="default"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开户银行</w:t>
            </w:r>
          </w:p>
        </w:tc>
        <w:tc>
          <w:tcPr>
            <w:tcW w:w="3051" w:type="dxa"/>
            <w:noWrap w:val="0"/>
            <w:vAlign w:val="center"/>
          </w:tcPr>
          <w:p w14:paraId="6237EDCF">
            <w:pPr>
              <w:spacing w:line="300" w:lineRule="auto"/>
              <w:jc w:val="center"/>
              <w:rPr>
                <w:rFonts w:hint="default" w:ascii="Times New Roman" w:hAnsi="Times New Roman" w:eastAsia="宋体" w:cs="Times New Roman"/>
                <w:color w:val="auto"/>
                <w:sz w:val="24"/>
                <w:highlight w:val="none"/>
                <w:vertAlign w:val="baseline"/>
                <w:lang w:val="en-US" w:eastAsia="zh-CN"/>
              </w:rPr>
            </w:pPr>
          </w:p>
        </w:tc>
        <w:tc>
          <w:tcPr>
            <w:tcW w:w="1239" w:type="dxa"/>
            <w:noWrap w:val="0"/>
            <w:vAlign w:val="center"/>
          </w:tcPr>
          <w:p w14:paraId="2FE1436B">
            <w:pPr>
              <w:spacing w:line="300" w:lineRule="auto"/>
              <w:jc w:val="center"/>
              <w:rPr>
                <w:rFonts w:hint="eastAsia" w:ascii="Times New Roman" w:hAnsi="Times New Roman" w:eastAsia="宋体" w:cs="Times New Roman"/>
                <w:b/>
                <w:bCs/>
                <w:color w:val="auto"/>
                <w:sz w:val="24"/>
                <w:highlight w:val="none"/>
                <w:vertAlign w:val="baseline"/>
              </w:rPr>
            </w:pPr>
            <w:r>
              <w:rPr>
                <w:rFonts w:hint="eastAsia" w:ascii="Times New Roman" w:hAnsi="Times New Roman" w:eastAsia="宋体" w:cs="Times New Roman"/>
                <w:b/>
                <w:bCs/>
                <w:color w:val="auto"/>
                <w:sz w:val="24"/>
                <w:highlight w:val="none"/>
                <w:vertAlign w:val="baseline"/>
                <w:lang w:val="en-US" w:eastAsia="zh-CN"/>
              </w:rPr>
              <w:t>开户银行</w:t>
            </w:r>
          </w:p>
        </w:tc>
        <w:tc>
          <w:tcPr>
            <w:tcW w:w="3121" w:type="dxa"/>
            <w:noWrap w:val="0"/>
            <w:vAlign w:val="center"/>
          </w:tcPr>
          <w:p w14:paraId="0B1A3555">
            <w:pPr>
              <w:spacing w:line="300" w:lineRule="auto"/>
              <w:jc w:val="center"/>
              <w:rPr>
                <w:rFonts w:hint="eastAsia" w:ascii="Times New Roman" w:hAnsi="Times New Roman" w:eastAsia="宋体" w:cs="Times New Roman"/>
                <w:color w:val="auto"/>
                <w:sz w:val="24"/>
                <w:highlight w:val="none"/>
                <w:vertAlign w:val="baseline"/>
              </w:rPr>
            </w:pPr>
          </w:p>
        </w:tc>
      </w:tr>
      <w:tr w14:paraId="79C8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noWrap w:val="0"/>
            <w:vAlign w:val="center"/>
          </w:tcPr>
          <w:p w14:paraId="3D9A708A">
            <w:pPr>
              <w:spacing w:line="300" w:lineRule="auto"/>
              <w:jc w:val="center"/>
              <w:rPr>
                <w:rFonts w:hint="default"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账号</w:t>
            </w:r>
          </w:p>
        </w:tc>
        <w:tc>
          <w:tcPr>
            <w:tcW w:w="3051" w:type="dxa"/>
            <w:noWrap w:val="0"/>
            <w:vAlign w:val="center"/>
          </w:tcPr>
          <w:p w14:paraId="67A0CCE6">
            <w:pPr>
              <w:spacing w:line="300" w:lineRule="auto"/>
              <w:jc w:val="center"/>
              <w:rPr>
                <w:rFonts w:hint="default" w:ascii="Times New Roman" w:hAnsi="Times New Roman" w:eastAsia="宋体" w:cs="Times New Roman"/>
                <w:color w:val="auto"/>
                <w:sz w:val="24"/>
                <w:highlight w:val="none"/>
                <w:vertAlign w:val="baseline"/>
                <w:lang w:val="en-US" w:eastAsia="zh-CN"/>
              </w:rPr>
            </w:pPr>
          </w:p>
        </w:tc>
        <w:tc>
          <w:tcPr>
            <w:tcW w:w="1239" w:type="dxa"/>
            <w:noWrap w:val="0"/>
            <w:vAlign w:val="center"/>
          </w:tcPr>
          <w:p w14:paraId="50C3C6DB">
            <w:pPr>
              <w:spacing w:line="300" w:lineRule="auto"/>
              <w:jc w:val="center"/>
              <w:rPr>
                <w:rFonts w:hint="eastAsia" w:ascii="Times New Roman" w:hAnsi="Times New Roman" w:eastAsia="宋体" w:cs="Times New Roman"/>
                <w:b/>
                <w:bCs/>
                <w:color w:val="auto"/>
                <w:sz w:val="24"/>
                <w:highlight w:val="none"/>
                <w:vertAlign w:val="baseline"/>
              </w:rPr>
            </w:pPr>
            <w:r>
              <w:rPr>
                <w:rFonts w:hint="eastAsia" w:ascii="Times New Roman" w:hAnsi="Times New Roman" w:eastAsia="宋体" w:cs="Times New Roman"/>
                <w:b/>
                <w:bCs/>
                <w:color w:val="auto"/>
                <w:sz w:val="24"/>
                <w:highlight w:val="none"/>
                <w:vertAlign w:val="baseline"/>
                <w:lang w:val="en-US" w:eastAsia="zh-CN"/>
              </w:rPr>
              <w:t>账号</w:t>
            </w:r>
          </w:p>
        </w:tc>
        <w:tc>
          <w:tcPr>
            <w:tcW w:w="3121" w:type="dxa"/>
            <w:noWrap w:val="0"/>
            <w:vAlign w:val="center"/>
          </w:tcPr>
          <w:p w14:paraId="72527844">
            <w:pPr>
              <w:spacing w:line="300" w:lineRule="auto"/>
              <w:jc w:val="center"/>
              <w:rPr>
                <w:rFonts w:hint="default" w:ascii="Times New Roman" w:hAnsi="Times New Roman" w:eastAsia="宋体" w:cs="Times New Roman"/>
                <w:color w:val="auto"/>
                <w:sz w:val="24"/>
                <w:highlight w:val="none"/>
                <w:vertAlign w:val="baseline"/>
                <w:lang w:val="en-US"/>
              </w:rPr>
            </w:pPr>
          </w:p>
        </w:tc>
      </w:tr>
      <w:tr w14:paraId="56B8A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309" w:type="dxa"/>
            <w:noWrap w:val="0"/>
            <w:vAlign w:val="center"/>
          </w:tcPr>
          <w:p w14:paraId="43D630DA">
            <w:pPr>
              <w:spacing w:line="300" w:lineRule="auto"/>
              <w:jc w:val="center"/>
              <w:rPr>
                <w:rFonts w:hint="default" w:ascii="Times New Roman" w:hAnsi="Times New Roman" w:eastAsia="宋体" w:cs="Times New Roman"/>
                <w:b/>
                <w:bCs/>
                <w:color w:val="auto"/>
                <w:sz w:val="24"/>
                <w:highlight w:val="none"/>
                <w:vertAlign w:val="baseline"/>
                <w:lang w:val="en-US" w:eastAsia="zh-CN"/>
              </w:rPr>
            </w:pPr>
            <w:r>
              <w:rPr>
                <w:rFonts w:hint="eastAsia" w:ascii="Times New Roman" w:hAnsi="Times New Roman" w:eastAsia="宋体" w:cs="Times New Roman"/>
                <w:b/>
                <w:bCs/>
                <w:color w:val="auto"/>
                <w:sz w:val="24"/>
                <w:highlight w:val="none"/>
                <w:vertAlign w:val="baseline"/>
                <w:lang w:val="en-US" w:eastAsia="zh-CN"/>
              </w:rPr>
              <w:t>日期</w:t>
            </w:r>
          </w:p>
        </w:tc>
        <w:tc>
          <w:tcPr>
            <w:tcW w:w="3051" w:type="dxa"/>
            <w:noWrap w:val="0"/>
            <w:vAlign w:val="center"/>
          </w:tcPr>
          <w:p w14:paraId="6F2416A4">
            <w:pPr>
              <w:spacing w:line="300" w:lineRule="auto"/>
              <w:jc w:val="center"/>
              <w:rPr>
                <w:rFonts w:hint="eastAsia" w:ascii="Times New Roman" w:hAnsi="Times New Roman" w:eastAsia="宋体" w:cs="Times New Roman"/>
                <w:color w:val="auto"/>
                <w:sz w:val="24"/>
                <w:highlight w:val="none"/>
                <w:vertAlign w:val="baseline"/>
              </w:rPr>
            </w:pPr>
            <w:r>
              <w:rPr>
                <w:rFonts w:hint="eastAsia" w:ascii="Times New Roman" w:hAnsi="Times New Roman" w:eastAsia="宋体" w:cs="Times New Roman"/>
                <w:color w:val="auto"/>
                <w:sz w:val="24"/>
                <w:highlight w:val="none"/>
              </w:rPr>
              <w:t>年   月   日</w:t>
            </w:r>
          </w:p>
        </w:tc>
        <w:tc>
          <w:tcPr>
            <w:tcW w:w="1239" w:type="dxa"/>
            <w:noWrap w:val="0"/>
            <w:vAlign w:val="center"/>
          </w:tcPr>
          <w:p w14:paraId="23ECD254">
            <w:pPr>
              <w:spacing w:line="300" w:lineRule="auto"/>
              <w:jc w:val="center"/>
              <w:rPr>
                <w:rFonts w:hint="eastAsia" w:ascii="Times New Roman" w:hAnsi="Times New Roman" w:eastAsia="宋体" w:cs="Times New Roman"/>
                <w:b/>
                <w:bCs/>
                <w:color w:val="auto"/>
                <w:sz w:val="24"/>
                <w:highlight w:val="none"/>
                <w:vertAlign w:val="baseline"/>
              </w:rPr>
            </w:pPr>
            <w:r>
              <w:rPr>
                <w:rFonts w:hint="eastAsia" w:ascii="Times New Roman" w:hAnsi="Times New Roman" w:eastAsia="宋体" w:cs="Times New Roman"/>
                <w:b/>
                <w:bCs/>
                <w:color w:val="auto"/>
                <w:sz w:val="24"/>
                <w:highlight w:val="none"/>
                <w:vertAlign w:val="baseline"/>
                <w:lang w:val="en-US" w:eastAsia="zh-CN"/>
              </w:rPr>
              <w:t>日期</w:t>
            </w:r>
          </w:p>
        </w:tc>
        <w:tc>
          <w:tcPr>
            <w:tcW w:w="3121" w:type="dxa"/>
            <w:noWrap w:val="0"/>
            <w:vAlign w:val="center"/>
          </w:tcPr>
          <w:p w14:paraId="1D39A8BA">
            <w:pPr>
              <w:spacing w:line="300" w:lineRule="auto"/>
              <w:jc w:val="center"/>
              <w:rPr>
                <w:rFonts w:hint="eastAsia" w:ascii="Times New Roman" w:hAnsi="Times New Roman" w:eastAsia="宋体" w:cs="Times New Roman"/>
                <w:color w:val="auto"/>
                <w:sz w:val="24"/>
                <w:highlight w:val="none"/>
                <w:vertAlign w:val="baseline"/>
              </w:rPr>
            </w:pPr>
            <w:r>
              <w:rPr>
                <w:rFonts w:hint="eastAsia" w:ascii="Times New Roman" w:hAnsi="Times New Roman" w:eastAsia="宋体" w:cs="Times New Roman"/>
                <w:color w:val="auto"/>
                <w:sz w:val="24"/>
                <w:highlight w:val="none"/>
              </w:rPr>
              <w:t>年   月   日</w:t>
            </w:r>
          </w:p>
        </w:tc>
      </w:tr>
    </w:tbl>
    <w:p w14:paraId="35BA3EDC">
      <w:pPr>
        <w:spacing w:line="300" w:lineRule="auto"/>
        <w:rPr>
          <w:rFonts w:hint="eastAsia" w:ascii="Times New Roman" w:hAnsi="Times New Roman" w:eastAsia="宋体" w:cs="Times New Roman"/>
          <w:color w:val="auto"/>
          <w:sz w:val="24"/>
          <w:highlight w:val="none"/>
        </w:rPr>
      </w:pPr>
    </w:p>
    <w:p w14:paraId="65C05792">
      <w:pPr>
        <w:spacing w:line="300" w:lineRule="auto"/>
        <w:ind w:firstLine="960" w:firstLineChars="400"/>
        <w:rPr>
          <w:rFonts w:hint="eastAsia" w:ascii="Times New Roman" w:hAnsi="Times New Roman" w:eastAsia="宋体" w:cs="Times New Roman"/>
          <w:color w:val="auto"/>
          <w:sz w:val="24"/>
          <w:highlight w:val="none"/>
        </w:rPr>
      </w:pPr>
    </w:p>
    <w:p w14:paraId="2075F5EC">
      <w:pPr>
        <w:spacing w:line="300" w:lineRule="auto"/>
        <w:ind w:firstLine="840" w:firstLineChars="400"/>
        <w:rPr>
          <w:rFonts w:hint="eastAsia" w:ascii="Times New Roman" w:hAnsi="Times New Roman" w:eastAsia="宋体" w:cs="Times New Roman"/>
          <w:color w:val="auto"/>
          <w:szCs w:val="21"/>
          <w:highlight w:val="none"/>
        </w:rPr>
      </w:pPr>
    </w:p>
    <w:p w14:paraId="07A72E29">
      <w:pPr>
        <w:spacing w:line="500" w:lineRule="exact"/>
        <w:jc w:val="left"/>
        <w:rPr>
          <w:rFonts w:hint="eastAsia" w:ascii="仿宋" w:hAnsi="仿宋" w:eastAsia="仿宋" w:cs="仿宋"/>
          <w:b/>
          <w:bCs/>
          <w:color w:val="auto"/>
          <w:sz w:val="21"/>
          <w:szCs w:val="21"/>
          <w:highlight w:val="none"/>
          <w:lang w:val="en-US" w:eastAsia="zh-CN"/>
        </w:rPr>
      </w:pPr>
    </w:p>
    <w:p w14:paraId="3C7ADB8B">
      <w:pPr>
        <w:rPr>
          <w:rFonts w:ascii="Times New Roman" w:hAnsi="Times New Roman" w:eastAsia="宋体" w:cs="Times New Roman"/>
          <w:color w:val="auto"/>
          <w:highlight w:val="none"/>
        </w:rPr>
      </w:pPr>
    </w:p>
    <w:p w14:paraId="3BAB06C8">
      <w:pPr>
        <w:spacing w:line="500" w:lineRule="exact"/>
        <w:jc w:val="left"/>
        <w:rPr>
          <w:rFonts w:hint="eastAsia" w:ascii="仿宋" w:hAnsi="仿宋" w:eastAsia="仿宋" w:cs="仿宋"/>
          <w:b/>
          <w:bCs/>
          <w:color w:val="auto"/>
          <w:sz w:val="21"/>
          <w:szCs w:val="21"/>
          <w:highlight w:val="none"/>
          <w:lang w:val="en-US" w:eastAsia="zh-CN"/>
        </w:rPr>
      </w:pPr>
    </w:p>
    <w:p w14:paraId="4A5BD1EC">
      <w:pPr>
        <w:rPr>
          <w:color w:val="auto"/>
          <w:highlight w:val="none"/>
        </w:rPr>
      </w:pPr>
    </w:p>
    <w:sectPr>
      <w:headerReference r:id="rId6" w:type="default"/>
      <w:footerReference r:id="rId7" w:type="default"/>
      <w:pgSz w:w="11906" w:h="16838"/>
      <w:pgMar w:top="1418" w:right="1701" w:bottom="1418" w:left="1701" w:header="1134"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A1AC6">
    <w:pPr>
      <w:widowControl w:val="0"/>
      <w:tabs>
        <w:tab w:val="center" w:pos="4153"/>
        <w:tab w:val="right" w:pos="8306"/>
      </w:tabs>
      <w:snapToGrid w:val="0"/>
      <w:ind w:right="36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BD211A">
                          <w:pPr>
                            <w:rPr>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14:paraId="48BD211A">
                    <w:pPr>
                      <w:rPr>
                        <w:lang w:val="en-US"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18EB0">
    <w:pPr>
      <w:widowControl w:val="0"/>
      <w:tabs>
        <w:tab w:val="center" w:pos="4153"/>
        <w:tab w:val="right" w:pos="8306"/>
      </w:tabs>
      <w:snapToGrid w:val="0"/>
      <w:ind w:right="36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D7308A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 共 </w:t>
                          </w:r>
                          <w:r>
                            <w:rPr>
                              <w:rFonts w:hint="eastAsia" w:ascii="Times New Roman" w:hAnsi="Times New Roman" w:eastAsia="宋体" w:cs="Times New Roman"/>
                              <w:kern w:val="2"/>
                              <w:sz w:val="18"/>
                              <w:szCs w:val="18"/>
                              <w:lang w:val="en-US" w:eastAsia="zh-CN" w:bidi="ar-SA"/>
                            </w:rPr>
                            <w:t>9</w:t>
                          </w:r>
                          <w:r>
                            <w:rPr>
                              <w:rFonts w:ascii="Times New Roman" w:hAnsi="Times New Roman" w:eastAsia="宋体" w:cs="Times New Roman"/>
                              <w:kern w:val="2"/>
                              <w:sz w:val="18"/>
                              <w:szCs w:val="18"/>
                              <w:lang w:val="en-US" w:eastAsia="zh-CN" w:bidi="ar-S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IvhV3XQAQAAogMAAA4AAAAAAAAAAQAgAAAAHwEAAGRy&#10;cy9lMm9Eb2MueG1sUEsFBgAAAAAGAAYAWQEAAGEFAAAAAA==&#10;">
              <v:path/>
              <v:fill on="f" focussize="0,0"/>
              <v:stroke on="f" weight="0.5pt"/>
              <v:imagedata o:title=""/>
              <o:lock v:ext="edit" aspectratio="f"/>
              <v:textbox inset="0mm,0mm,0mm,0mm" style="mso-fit-shape-to-text:t;">
                <w:txbxContent>
                  <w:p w14:paraId="6D7308A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1</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 共 </w:t>
                    </w:r>
                    <w:r>
                      <w:rPr>
                        <w:rFonts w:hint="eastAsia" w:ascii="Times New Roman" w:hAnsi="Times New Roman" w:eastAsia="宋体" w:cs="Times New Roman"/>
                        <w:kern w:val="2"/>
                        <w:sz w:val="18"/>
                        <w:szCs w:val="18"/>
                        <w:lang w:val="en-US" w:eastAsia="zh-CN" w:bidi="ar-SA"/>
                      </w:rPr>
                      <w:t>9</w:t>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575A3">
    <w:pPr>
      <w:pStyle w:val="2"/>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D86774"/>
    <w:rsid w:val="5BD8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2026-07-06T03:06:00Z</dcterms:created>
  <dc:creator>刘菲</dc:creator>
  <cp:lastModifiedBy>刘菲</cp:lastModifiedBy>
  <dcterms:modified xsi:type="dcterms:W3CDTF">2026-07-06T03:09:21Z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ECF8E4CBCDEE4D33AB62E60D36C83BDD_11</vt:lpwstr>
  </property>
  <property fmtid="{D5CDD505-2E9C-101B-9397-08002B2CF9AE}" pid="4" name="KSOTemplateDocerSaveRecord">
    <vt:lpwstr>eyJoZGlkIjoiNjBjMTUwMjhmNmI2ZmVlMTBkYzRmYzI5MTBmNTk5ODUiLCJ1c2VySWQiOiIzNzMwMTc5MDgifQ==</vt:lpwstr>
  </property>
</Properties>
</file>