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版本号：RH采字【20260701】号20260716001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保回迁”项目“一村一策”方案资金平衡用地补充优化及矢量入库</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RH采字【20260701】号</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保回迁”项目“一村一策”方案资金平衡用地补充优化及矢量入库</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RH采字【20260701】号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保回迁”项目“一村一策”方案资金平衡用地补充优化及矢量入库</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精准指导“保回迁”项目“一村一策”资金平衡用地土地供应，回哺安置用地资金缺口，进一步推动专项借款还本付息，强化锁定地块出让时序与年度征储供计划的有效衔接，提升土地资源配置效率，我局计划启动实施“保回迁” 项目“一村一策”方案资金平衡用地补充优化及矢量入库项目。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1、主体证明文件：供应商需提供有效合格的具有统一社会信用代码的营业执照，其他组织经营的须提供合法凭证，自然人提供身份证明文件。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2、资质要求：供应商须具有乙级及以上城乡规划（国土空间规划）资质</w:t>
      </w:r>
    </w:p>
    <w:p>
      <w:pPr>
        <w:pStyle w:val="null3"/>
      </w:pPr>
      <w:r>
        <w:rPr>
          <w:rFonts w:ascii="仿宋_GB2312" w:hAnsi="仿宋_GB2312" w:cs="仿宋_GB2312" w:eastAsia="仿宋_GB2312"/>
        </w:rPr>
        <w:t>3、财务状况：提供供应商经审计的2024年度或2025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4、依法缴纳税收的证明：提供供应商2025年7月1日以来任意一个月已缴纳的纳税证明或完税证明（至少包含增值税或企业所得税），依法免税的供应商应提供加盖公章的相关证明文件。</w:t>
      </w:r>
    </w:p>
    <w:p>
      <w:pPr>
        <w:pStyle w:val="null3"/>
      </w:pPr>
      <w:r>
        <w:rPr>
          <w:rFonts w:ascii="仿宋_GB2312" w:hAnsi="仿宋_GB2312" w:cs="仿宋_GB2312" w:eastAsia="仿宋_GB2312"/>
        </w:rPr>
        <w:t>5、依法缴纳社保的证明：提供供应商2025年7月1日以来任意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6、具备履行合同所必需的设备和专业技术能力的证明材料：供应商需在项目电子化交易系统中提供具备履行合同所必需的设备和专业技术能力的承诺并进行电子签章。</w:t>
      </w:r>
    </w:p>
    <w:p>
      <w:pPr>
        <w:pStyle w:val="null3"/>
      </w:pPr>
      <w:r>
        <w:rPr>
          <w:rFonts w:ascii="仿宋_GB2312" w:hAnsi="仿宋_GB2312" w:cs="仿宋_GB2312" w:eastAsia="仿宋_GB2312"/>
        </w:rPr>
        <w:t>7、信用查询：提供供应商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8、非联合体投标承诺函：本项目不接受联合体投标。 （提供书面承诺，加盖供应商公章）。</w:t>
      </w:r>
    </w:p>
    <w:p>
      <w:pPr>
        <w:pStyle w:val="null3"/>
      </w:pPr>
      <w:r>
        <w:rPr>
          <w:rFonts w:ascii="仿宋_GB2312" w:hAnsi="仿宋_GB2312" w:cs="仿宋_GB2312" w:eastAsia="仿宋_GB2312"/>
        </w:rPr>
        <w:t>9、控股管理关系及其他：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曹嘉文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17396621915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采购包1：4,563,000.00元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如有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文、《国家发展改革委关于降低部分建设项目收费标准规范收费行为等有关问题的通知》发改价格[2011]534号文件规定，按标准计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（1）合同条款；（2）招标文件；（3）投标文件；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联系电话：17396621915</w:t>
      </w:r>
    </w:p>
    <w:p>
      <w:pPr>
        <w:pStyle w:val="null3"/>
      </w:pPr>
      <w:r>
        <w:rPr>
          <w:rFonts w:ascii="仿宋_GB2312" w:hAnsi="仿宋_GB2312" w:cs="仿宋_GB2312" w:eastAsia="仿宋_GB2312"/>
        </w:rPr>
        <w:t>地址： 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为精准指导“保回迁”项目“一村一策”资金平衡用地土地供应，回哺安置用地资金缺口， 进一步推动专项借款还本付息，强化锁定地块出让时序与年度征储供计划的有效衔接，提升土地 资源配置效率，我局计划启动实施“保回迁”项目“一村一策”方案资金平衡用地补充优化及矢量入库项目。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4,563,000.00</w:t>
      </w:r>
    </w:p>
    <w:p>
      <w:pPr>
        <w:pStyle w:val="null3"/>
      </w:pPr>
      <w:r>
        <w:rPr>
          <w:rFonts w:ascii="仿宋_GB2312" w:hAnsi="仿宋_GB2312" w:cs="仿宋_GB2312" w:eastAsia="仿宋_GB2312"/>
        </w:rPr>
        <w:t>采购包最高限价（元）: 4,563,000.00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保回迁”项目“一村一策”方案资金平衡用地补充优化及矢量入库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4,563,000.00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标的名称：保回迁”项目“一村一策”方案资金平衡用地补充优化及矢量入库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 xml:space="preserve">  一、项目概况</w:t>
            </w:r>
          </w:p>
          <w:p>
            <w:pPr>
              <w:pStyle w:val="null3"/>
              <w:ind w:firstLine="480"/>
            </w:pPr>
            <w:r>
              <w:rPr>
                <w:rFonts w:ascii="仿宋_GB2312" w:hAnsi="仿宋_GB2312" w:cs="仿宋_GB2312" w:eastAsia="仿宋_GB2312"/>
                <w:sz w:val="24"/>
              </w:rPr>
              <w:t>为精准指导“保回迁” 项目“一村一策”</w:t>
            </w:r>
            <w:r>
              <w:rPr>
                <w:rFonts w:ascii="仿宋_GB2312" w:hAnsi="仿宋_GB2312" w:cs="仿宋_GB2312" w:eastAsia="仿宋_GB2312"/>
                <w:sz w:val="24"/>
              </w:rPr>
              <w:t>资金平衡用地土地供应，回哺安置用地资金缺口， 进一步推动专项借款还本付息，强化锁定地块出让时序与年度征储供计划的有效衔接，提升土地 资源配置效率，我局计划启动实施“保回迁” 项目“一村一策”方案资金平衡用地补充优化及矢 量入库项目。</w:t>
            </w:r>
          </w:p>
          <w:p>
            <w:pPr>
              <w:pStyle w:val="null3"/>
              <w:ind w:firstLine="480"/>
            </w:pPr>
            <w:r>
              <w:rPr>
                <w:rFonts w:ascii="仿宋_GB2312" w:hAnsi="仿宋_GB2312" w:cs="仿宋_GB2312" w:eastAsia="仿宋_GB2312"/>
                <w:sz w:val="24"/>
                <w:b/>
              </w:rPr>
              <w:t>二、服务内容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）完成“一村一策”方案校核工作</w:t>
            </w:r>
          </w:p>
          <w:p>
            <w:pPr>
              <w:pStyle w:val="null3"/>
              <w:ind w:firstLine="480"/>
            </w:pPr>
            <w:r>
              <w:rPr>
                <w:rFonts w:ascii="仿宋_GB2312" w:hAnsi="仿宋_GB2312" w:cs="仿宋_GB2312" w:eastAsia="仿宋_GB2312"/>
                <w:sz w:val="24"/>
              </w:rPr>
              <w:t>与经市政府常务会议审议通过的全市单元详细规划管控一张图进行锁定地块的校核工作，确 保已锁定的安置用地全部纳入单元详细规划管控一张图。</w:t>
            </w:r>
          </w:p>
          <w:p>
            <w:pPr>
              <w:pStyle w:val="null3"/>
              <w:ind w:firstLine="480"/>
            </w:pPr>
            <w:r>
              <w:rPr>
                <w:rFonts w:ascii="仿宋_GB2312" w:hAnsi="仿宋_GB2312" w:cs="仿宋_GB2312" w:eastAsia="仿宋_GB2312"/>
                <w:sz w:val="24"/>
              </w:rPr>
              <w:t>(二)资金平衡地块增补</w:t>
            </w:r>
          </w:p>
          <w:p>
            <w:pPr>
              <w:pStyle w:val="null3"/>
              <w:ind w:firstLine="480"/>
            </w:pPr>
            <w:r>
              <w:rPr>
                <w:rFonts w:ascii="仿宋_GB2312" w:hAnsi="仿宋_GB2312" w:cs="仿宋_GB2312" w:eastAsia="仿宋_GB2312"/>
                <w:sz w:val="24"/>
              </w:rPr>
              <w:t>逐一针对每个项目的资金平衡用地，会同属地资源规划分局，结合片区出让地价，对项目资 金平衡情况进行重新核算。针对资金不平衡项目，确定资金缺口，对接属地政府、开发区管委会， 结合五类用地，重新确定增补的资金平衡用地。。</w:t>
            </w:r>
          </w:p>
          <w:p>
            <w:pPr>
              <w:pStyle w:val="null3"/>
              <w:ind w:firstLine="480"/>
            </w:pPr>
            <w:r>
              <w:rPr>
                <w:rFonts w:ascii="仿宋_GB2312" w:hAnsi="仿宋_GB2312" w:cs="仿宋_GB2312" w:eastAsia="仿宋_GB2312"/>
                <w:sz w:val="24"/>
              </w:rPr>
              <w:t>(三)“一村一策”规划建设方案动态更新及数据图层动态维护</w:t>
            </w:r>
          </w:p>
          <w:p>
            <w:pPr>
              <w:pStyle w:val="null3"/>
              <w:ind w:firstLine="480"/>
            </w:pPr>
            <w:r>
              <w:rPr>
                <w:rFonts w:ascii="仿宋_GB2312" w:hAnsi="仿宋_GB2312" w:cs="仿宋_GB2312" w:eastAsia="仿宋_GB2312"/>
                <w:sz w:val="24"/>
              </w:rPr>
              <w:t>以年为周期，动态更新完善“保回迁” 项目“一村一策”方案并进行矢量数据动态维护。</w:t>
            </w:r>
          </w:p>
          <w:p>
            <w:pPr>
              <w:pStyle w:val="null3"/>
              <w:ind w:firstLine="480"/>
            </w:pPr>
            <w:r>
              <w:rPr>
                <w:rFonts w:ascii="仿宋_GB2312" w:hAnsi="仿宋_GB2312" w:cs="仿宋_GB2312" w:eastAsia="仿宋_GB2312"/>
                <w:sz w:val="24"/>
              </w:rPr>
              <w:t>(四)将平衡地块锁定与征储供计划衔接</w:t>
            </w:r>
          </w:p>
          <w:p>
            <w:pPr>
              <w:pStyle w:val="null3"/>
              <w:ind w:firstLine="480"/>
            </w:pPr>
            <w:r>
              <w:rPr>
                <w:rFonts w:ascii="仿宋_GB2312" w:hAnsi="仿宋_GB2312" w:cs="仿宋_GB2312" w:eastAsia="仿宋_GB2312"/>
                <w:sz w:val="24"/>
              </w:rPr>
              <w:t>结合征储供计划与开发时序，建立、维护保回迁项目资金平衡地块信息台账。确定用地开发 时序与全流程工作内容。</w:t>
            </w:r>
          </w:p>
          <w:p>
            <w:pPr>
              <w:pStyle w:val="null3"/>
              <w:ind w:firstLine="480"/>
            </w:pPr>
            <w:r>
              <w:rPr>
                <w:rFonts w:ascii="仿宋_GB2312" w:hAnsi="仿宋_GB2312" w:cs="仿宋_GB2312" w:eastAsia="仿宋_GB2312"/>
                <w:sz w:val="24"/>
              </w:rPr>
              <w:t>三、</w:t>
            </w:r>
            <w:r>
              <w:rPr>
                <w:rFonts w:ascii="仿宋_GB2312" w:hAnsi="仿宋_GB2312" w:cs="仿宋_GB2312" w:eastAsia="仿宋_GB2312"/>
                <w:sz w:val="24"/>
                <w:b/>
              </w:rPr>
              <w:t>技术要求</w:t>
            </w:r>
          </w:p>
          <w:p>
            <w:pPr>
              <w:pStyle w:val="null3"/>
              <w:ind w:firstLine="480"/>
            </w:pPr>
            <w:r>
              <w:rPr>
                <w:rFonts w:ascii="仿宋_GB2312" w:hAnsi="仿宋_GB2312" w:cs="仿宋_GB2312" w:eastAsia="仿宋_GB2312"/>
                <w:sz w:val="24"/>
              </w:rPr>
              <w:t>形成与成果对应的全面、详实、精准的方案成果及数据库成果，数据库成果需符合国土空间 规划“一张图”系统要求。提交形式包括：纸质版和电子版。</w:t>
            </w:r>
          </w:p>
          <w:p>
            <w:pPr>
              <w:pStyle w:val="null3"/>
              <w:ind w:firstLine="480"/>
            </w:pPr>
            <w:r>
              <w:rPr>
                <w:rFonts w:ascii="仿宋_GB2312" w:hAnsi="仿宋_GB2312" w:cs="仿宋_GB2312" w:eastAsia="仿宋_GB2312"/>
                <w:sz w:val="24"/>
              </w:rPr>
              <w:t>纸质成果要求：报告及相关图册，加盖公章/技术成果章，图面字体清晰，一式六份。</w:t>
            </w:r>
          </w:p>
          <w:p>
            <w:pPr>
              <w:pStyle w:val="null3"/>
              <w:ind w:firstLine="480"/>
            </w:pPr>
            <w:r>
              <w:rPr>
                <w:rFonts w:ascii="仿宋_GB2312" w:hAnsi="仿宋_GB2312" w:cs="仿宋_GB2312" w:eastAsia="仿宋_GB2312"/>
                <w:sz w:val="24"/>
              </w:rPr>
              <w:t>电子成果要求：数据库文件采用gdb 格式。最终成果提供U盘2个，U盘贴标签：注明项目名 称、完成时间。电子成果与上述纸质成果相对应，文本文件采用word 和pdf 格式。</w:t>
            </w:r>
          </w:p>
          <w:p>
            <w:pPr>
              <w:pStyle w:val="null3"/>
              <w:ind w:firstLine="480"/>
            </w:pPr>
            <w:r>
              <w:rPr>
                <w:rFonts w:ascii="仿宋_GB2312" w:hAnsi="仿宋_GB2312" w:cs="仿宋_GB2312" w:eastAsia="仿宋_GB2312"/>
                <w:sz w:val="24"/>
              </w:rPr>
              <w:t>四、</w:t>
            </w:r>
            <w:r>
              <w:rPr>
                <w:rFonts w:ascii="仿宋_GB2312" w:hAnsi="仿宋_GB2312" w:cs="仿宋_GB2312" w:eastAsia="仿宋_GB2312"/>
                <w:sz w:val="24"/>
                <w:b/>
              </w:rPr>
              <w:t>服务要求</w:t>
            </w:r>
          </w:p>
          <w:p>
            <w:pPr>
              <w:pStyle w:val="null3"/>
              <w:ind w:firstLine="480"/>
            </w:pPr>
            <w:r>
              <w:rPr>
                <w:rFonts w:ascii="仿宋_GB2312" w:hAnsi="仿宋_GB2312" w:cs="仿宋_GB2312" w:eastAsia="仿宋_GB2312"/>
                <w:sz w:val="24"/>
              </w:rPr>
              <w:t>（一）服务商须精心组建项目团队，确定项目负责人，并对项目团队的政治素质和业务素质负责。</w:t>
            </w:r>
          </w:p>
          <w:p>
            <w:pPr>
              <w:pStyle w:val="null3"/>
              <w:ind w:firstLine="480"/>
            </w:pPr>
            <w:r>
              <w:rPr>
                <w:rFonts w:ascii="仿宋_GB2312" w:hAnsi="仿宋_GB2312" w:cs="仿宋_GB2312" w:eastAsia="仿宋_GB2312"/>
                <w:sz w:val="24"/>
              </w:rPr>
              <w:t>（二）项目组成员须有较强的组织和协调能力，具有较高的理论素养和分析解决问题的能力。</w:t>
            </w:r>
          </w:p>
          <w:p>
            <w:pPr>
              <w:pStyle w:val="null3"/>
              <w:ind w:firstLine="480"/>
            </w:pPr>
            <w:r>
              <w:rPr>
                <w:rFonts w:ascii="仿宋_GB2312" w:hAnsi="仿宋_GB2312" w:cs="仿宋_GB2312" w:eastAsia="仿宋_GB2312"/>
                <w:sz w:val="24"/>
              </w:rPr>
              <w:t>(三)项目负责人必须是该项目实施全过程的真正组织者和指导者，并担负项目成果审查工 作。挂名或不担负成果审查工作的，不得作为项目负责人。</w:t>
            </w:r>
          </w:p>
          <w:p>
            <w:pPr>
              <w:pStyle w:val="null3"/>
              <w:ind w:firstLine="480"/>
            </w:pPr>
            <w:r>
              <w:rPr>
                <w:rFonts w:ascii="仿宋_GB2312" w:hAnsi="仿宋_GB2312" w:cs="仿宋_GB2312" w:eastAsia="仿宋_GB2312"/>
                <w:sz w:val="24"/>
              </w:rPr>
              <w:t>(四)项目团队成员应当熟悉动态维护的相关内容，项目实施应紧贴上位政策要求。</w:t>
            </w:r>
          </w:p>
          <w:p>
            <w:pPr>
              <w:pStyle w:val="null3"/>
              <w:ind w:firstLine="480"/>
            </w:pPr>
            <w:r>
              <w:rPr>
                <w:rFonts w:ascii="仿宋_GB2312" w:hAnsi="仿宋_GB2312" w:cs="仿宋_GB2312" w:eastAsia="仿宋_GB2312"/>
                <w:sz w:val="24"/>
              </w:rPr>
              <w:t>(五)项目团队成员及其主要成员履约过程中不得随意更换，确需调整时，须书面提请采购 人同意。</w:t>
            </w:r>
          </w:p>
          <w:p>
            <w:pPr>
              <w:pStyle w:val="null3"/>
              <w:ind w:firstLine="480"/>
            </w:pPr>
            <w:r>
              <w:rPr>
                <w:rFonts w:ascii="仿宋_GB2312" w:hAnsi="仿宋_GB2312" w:cs="仿宋_GB2312" w:eastAsia="仿宋_GB2312"/>
                <w:sz w:val="24"/>
              </w:rPr>
              <w:t>(六)项目团队需对项目全过程涉密资料及数据进行保密。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按采购人要求，据项目情况配置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按采购人要求，据项目情况配置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成果质量符合西安市自然资源和规划局的相关要求，并通过采购人组织的验收会。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进度款，形成2026年度“一村一策”方案资金平衡用地补充优化方案，经验收矢量入库后，达到付款条件起15个工作日内，支付合同总金额的20.0%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进度款，形成2027年度“一村一策”方案资金平衡用地补充优化方案，经验收矢量入库后，达到付款条件起15个工作日内，支付合同总金额的20.0%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进度款，形成2028年度“一村一策”方案资金平衡用地补充优化方案，经验收矢量入库后，达到付款条件起15个工作日内，支付合同总金额的20.0%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 华人民共和国民法典》中的相关条款执行。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(一)技术服务单位需配合完成采购人安排的与本项目有关的其他事项。 (二)进度要求 1.合同签订10个工作日内形成工作方案。 2.合同签订4个月内形成阶段性成果。 3.技术服务单位应定期(周、月)向采购人提供项目工作进度。 4.采购人根据实际需要，对项目进展情况不定期听取汇报。 5.受不可抗力(规划编制完成时间延后、提前；上位要求变化等)因素影响，采购人可适当调整进度要求。 6.技术单位应接受采购人与此项目有关的其他工作安排。 （三)质量验收标准或规范 成果质量符合西安市自然资源和规划局的相关要求，并通过采购人组织的验收会。 （四）为保证项目顺利备案，成交供应商在领取纸质版成交通知书时，需提供纸质版响应文件一正两副，电子版二份。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主体证明文件</w:t>
            </w:r>
          </w:p>
        </w:tc>
        <w:tc>
          <w:tcPr>
            <w:tcW w:type="dxa" w:w="3322"/>
          </w:tcPr>
          <w:p>
            <w:pPr>
              <w:pStyle w:val="null3"/>
            </w:pPr>
            <w:r>
              <w:rPr>
                <w:rFonts w:ascii="仿宋_GB2312" w:hAnsi="仿宋_GB2312" w:cs="仿宋_GB2312" w:eastAsia="仿宋_GB2312"/>
              </w:rPr>
              <w:t>供应商需提供有效合格的具有统一社会信用代码的营业执照，其他组织经营的须提供合法凭证，自然人提供身份证明文件。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供应商须具有乙级及以上城乡规划（国土空间规划）资质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经审计的2024年度或2025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w:t>
            </w:r>
          </w:p>
        </w:tc>
        <w:tc>
          <w:tcPr>
            <w:tcW w:type="dxa" w:w="3322"/>
          </w:tcPr>
          <w:p>
            <w:pPr>
              <w:pStyle w:val="null3"/>
            </w:pPr>
            <w:r>
              <w:rPr>
                <w:rFonts w:ascii="仿宋_GB2312" w:hAnsi="仿宋_GB2312" w:cs="仿宋_GB2312" w:eastAsia="仿宋_GB2312"/>
              </w:rPr>
              <w:t>提供供应商2025年7月1日以来任意一个月已缴纳的纳税证明或完税证明（至少包含增值税或企业所得税），依法免税的供应商应提供加盖公章的相关证明文件。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依法缴纳社保的证明</w:t>
            </w:r>
          </w:p>
        </w:tc>
        <w:tc>
          <w:tcPr>
            <w:tcW w:type="dxa" w:w="3322"/>
          </w:tcPr>
          <w:p>
            <w:pPr>
              <w:pStyle w:val="null3"/>
            </w:pPr>
            <w:r>
              <w:rPr>
                <w:rFonts w:ascii="仿宋_GB2312" w:hAnsi="仿宋_GB2312" w:cs="仿宋_GB2312" w:eastAsia="仿宋_GB2312"/>
              </w:rPr>
              <w:t>提供供应商2025年7月1日以来任意一个月已缴纳的社会保障资金缴存单据或社保机构开具的社会保险参保缴费情况证明；依法不需要缴纳社会保障资金的供应商应提供加盖公章的相关证明文件。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供应商需在项目电子化交易系统中提供具备履行合同所必需的设备和专业技术能力的承诺并进行电子签章。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提供供应商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 （提供书面承诺，加盖供应商公章）。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控股管理关系及其他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投标文件上法定代表人或被授权人的签字齐全并加盖公章</w:t>
            </w:r>
          </w:p>
        </w:tc>
        <w:tc>
          <w:tcPr>
            <w:tcW w:type="dxa" w:w="1661"/>
          </w:tcPr>
          <w:p>
            <w:pPr>
              <w:pStyle w:val="null3"/>
            </w:pPr>
            <w:r>
              <w:rPr>
                <w:rFonts w:ascii="仿宋_GB2312" w:hAnsi="仿宋_GB2312" w:cs="仿宋_GB2312" w:eastAsia="仿宋_GB2312"/>
              </w:rPr>
              <w:t>开标一览表 中小企业声明函 类似业绩一览表.docx 商务、技术偏离表.docx 资格证明文件.docx 其他相关资料.docx 分项报价表.docx 投标函 拟在本项目投入设备、仪器情况一览表.docx 残疾人福利性单位声明函 服务方案 标的清单 项目实施人员情况表.docx 供应商拒绝政府采购领域商业贿赂承诺书.docx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类似业绩一览表.docx 商务、技术偏离表.docx 资格证明文件.docx 其他相关资料.docx 分项报价表.docx 投标函 拟在本项目投入设备、仪器情况一览表.docx 残疾人福利性单位声明函 服务方案 标的清单 项目实施人员情况表.docx 供应商拒绝政府采购领域商业贿赂承诺书.docx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投标文件封面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类似业绩一览表.docx 商务、技术偏离表.docx 资格证明文件.docx 其他相关资料.docx 分项报价表.docx 投标函 拟在本项目投入设备、仪器情况一览表.docx 残疾人福利性单位声明函 服务方案 标的清单 项目实施人员情况表.docx 供应商拒绝政府采购领域商业贿赂承诺书.docx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完全响应，且不能有采购人不能接受的附加条件</w:t>
            </w:r>
          </w:p>
        </w:tc>
        <w:tc>
          <w:tcPr>
            <w:tcW w:type="dxa" w:w="1661"/>
          </w:tcPr>
          <w:p>
            <w:pPr>
              <w:pStyle w:val="null3"/>
            </w:pPr>
            <w:r>
              <w:rPr>
                <w:rFonts w:ascii="仿宋_GB2312" w:hAnsi="仿宋_GB2312" w:cs="仿宋_GB2312" w:eastAsia="仿宋_GB2312"/>
              </w:rPr>
              <w:t>开标一览表 中小企业声明函 类似业绩一览表.docx 商务、技术偏离表.docx 资格证明文件.docx 其他相关资料.docx 分项报价表.docx 投标函 拟在本项目投入设备、仪器情况一览表.docx 残疾人福利性单位声明函 服务方案 标的清单 项目实施人员情况表.docx 供应商拒绝政府采购领域商业贿赂承诺书.docx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应满足招标件中要求</w:t>
            </w:r>
          </w:p>
        </w:tc>
        <w:tc>
          <w:tcPr>
            <w:tcW w:type="dxa" w:w="1661"/>
          </w:tcPr>
          <w:p>
            <w:pPr>
              <w:pStyle w:val="null3"/>
            </w:pPr>
            <w:r>
              <w:rPr>
                <w:rFonts w:ascii="仿宋_GB2312" w:hAnsi="仿宋_GB2312" w:cs="仿宋_GB2312" w:eastAsia="仿宋_GB2312"/>
              </w:rPr>
              <w:t>投标函 服务方案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提出针对本项目的总体方案，内容包括①项目内容分析及目标②项目工作范围及工作方法③重难点分析及解决方案 二、评审标准 1、完整性：方案须全面，对评审内容中的各项要求有详细描述及说明； 2、可实施性：切合本项目实际情况，实施步骤清晰、合理； 3、针对性：方案能够紧扣项目实际情况，内容科学合理。 三、赋分标准（满分9分） ①服务内容分析及目标：每完全满足一项评审标准得1分，存在瑕疵得0.5分，满分3分； ②服务工作范围及工作方法：每完全满足一项评审标准得1分，存在瑕疵得0.5分，满分3分； ③重难点分析及解决方案：每完全满足一项评审标准得1分，存在瑕疵得0.5分，满分3分；瑕疵是指存在不完全满足评分标准，但项目仍可实施。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提出针对本项目的服务方案，包含①“一村一策”方案校核工作②资金平衡地块增补③“一村一策”规划建设方案动态更新及数据图层动态维护④将平衡地块锁定与征储供计划衔接 二、评审标准 1、完整性：方案须全面，对评审内容中的各项要求有详细描述及说明； 2、可实施性：切合本项目实际情况，实施步骤清晰、合理； 3、针对性：方案能够紧扣项目实际情况，内容科学合理。 三、赋分标准（满分12分） ①“一村一策”方案校核工作：每完全满足一项评审标准得1分，存在瑕疵得0.5分，满分3分； ②资金平衡地块增补：每完全满足一项评审标准得1分，存在瑕疵得0.5分，满分3分； ③“一村一策”规划建设方案动态更新及数据图层动态维护：每完全满足一项评审标准得1分，存在瑕疵得0.5分，满分3分；④将平衡地块锁定与征储供计划衔接：每完全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安全、保密、质量管理方案</w:t>
            </w:r>
          </w:p>
        </w:tc>
        <w:tc>
          <w:tcPr>
            <w:tcW w:type="dxa" w:w="2492"/>
          </w:tcPr>
          <w:p>
            <w:pPr>
              <w:pStyle w:val="null3"/>
            </w:pPr>
            <w:r>
              <w:rPr>
                <w:rFonts w:ascii="仿宋_GB2312" w:hAnsi="仿宋_GB2312" w:cs="仿宋_GB2312" w:eastAsia="仿宋_GB2312"/>
              </w:rPr>
              <w:t>一、评审内容 提出针对本项目的安全、保密、质量管理方案，包含①安全管理方案②保密管理方案③质量管理方案 二、评审标准 1、完整性：方案须全面，对评审内容中的各项要求有详细描述及说明； 2、可实施性：切合本项目实际情况，实施步骤清晰、合理； 3、针对性：方案能够紧扣项目实际情况，内容科学合理。 三、赋分标准（满分9分） ①安全管理方案：每完全满足一项评审标准得1分，存在瑕疵得0.5分，满分3分； ②保密管理方案：每完全满足一项评审标准得1分，存在瑕疵得0.5分，满分3分； ③质量管理方案：每完全满足一项评审标准得1分，存在瑕疵得0.5分，满分3分。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项目进度计划及保障</w:t>
            </w:r>
          </w:p>
        </w:tc>
        <w:tc>
          <w:tcPr>
            <w:tcW w:type="dxa" w:w="2492"/>
          </w:tcPr>
          <w:p>
            <w:pPr>
              <w:pStyle w:val="null3"/>
            </w:pPr>
            <w:r>
              <w:rPr>
                <w:rFonts w:ascii="仿宋_GB2312" w:hAnsi="仿宋_GB2312" w:cs="仿宋_GB2312" w:eastAsia="仿宋_GB2312"/>
              </w:rPr>
              <w:t>提出针对本项目的进度计划安排及保障措施，根据供应商所描述计划的完整性、可实施性、针对性进行评审。 项目进度计划及保障同时满足完整性、可实施性、针对性三项评审标准的，得5分； 项目进度计划及保障的完整性、可实施性、针对性其中有一项评审标准有瑕疵，得4分； 项目进度计划及保障的完整性、可实施性、针对性其中有两项评审标准有瑕疵，得3分； 项目进度计划及保障的完整性、可实施性、针对性其中有三项评审标准均有瑕疵，得2分； 其他或未提供得不得分。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提出针对本项目的应急保障服务方案，包含①安全事件应急预案②数据故障应急预案 二、赋分标准（满分5分）：针对本项目的应急保障服务方案同时满足完整性、可实施性、针对性三项评审标准的，得5分，针对本项目的应急保障服务方案的完整性、可实施性、针对性其中有一项评审标准有瑕疵，得4分； 针对本项目的应急保障服务方案的完整性、可实施性、针对性其中有两项评审标准有瑕疵，得3分； 针对本项目的应急保障服务方案的完整性、可实施性、针对性其中有三项评审标准均有瑕疵，得2分； 其他或未提供得不得分。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提出针对本项目的人员管理方案： ①工作标准：具有岗位工作标准、服务质量标准得1分； ②内控制度：具有问责机制、监督机制、自查制度得1分； ③人员管理制度：具有员工日常管理办法、请销假制度、奖惩措施、激励机制得1分。 未提供得不得分。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针对本项目提供①档案资料管理方案;②资料移交工作制度，每提供一项得0.5分，满分1分。不提供不得分。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1.项目负责人:具有注册城乡规划师证、本项目相关高级工程师，得3分；具有注册城乡规划师证、本项目相关正高级（教授级）工程师，得5分; 2.除项目负责人外，每提供一个城乡规划或城市规划相关专业高级职称得2分，最高得8分； 3.除项目负责人外，每具备一个在本单位注册的城乡规划师证书得2分，最高得8分； 4.除项目负责人及其他得分人员外，项目团队人员15人及以上，且分工明确，得3分;项目团队人员15人以下，10人及以上，且分工明确，得2分，项目团队人员10人以下，8人及以上，且分工明确，得1分，项目团队人员8人以下不得分，此项最高可得3分； 注：高级职称和注册城乡规划师可重复计分。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供应商制定针对本项目的设备配备情况，包括但不限于设备数量、设备种类、设备先进性及可靠性等。 1.设备数量能满足采购需求，设备种类齐全且先进可靠，计5分； 2.设备数量能满足采购需求，设备种类有缺失，计3分； 3.设备数量不能满足采购需求，计1分； 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拟在本项目投入设备、仪器情况一览表.docx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针对本项目服务工作中的常见问题进行梳理，具有良好的解决方案并及时向采购人提出合理化建议，每提供一条有效的建议得0.5分，满分2分。不提供不得分。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供应商承诺</w:t>
            </w:r>
          </w:p>
        </w:tc>
        <w:tc>
          <w:tcPr>
            <w:tcW w:type="dxa" w:w="2492"/>
          </w:tcPr>
          <w:p>
            <w:pPr>
              <w:pStyle w:val="null3"/>
            </w:pPr>
            <w:r>
              <w:rPr>
                <w:rFonts w:ascii="仿宋_GB2312" w:hAnsi="仿宋_GB2312" w:cs="仿宋_GB2312" w:eastAsia="仿宋_GB2312"/>
              </w:rPr>
              <w:t>1、承诺接受采购人对本项目服务的考核、监督及管理、对全过程涉密资料及数据进行保密，定期调研采购人对服务质量的满意度并加以改进，确保服务工作的优质高效，得1分。无承诺不得分。 2、承诺上岗人员固定，不随意更换，若出现服务人员因事、病等 不能工作的，能及时调整其他服务人员补充，可保障临时性工作 需要及突发事件处置，确保服务工作的正常进行，得1分。无承诺不得分。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交付成果</w:t>
            </w:r>
          </w:p>
        </w:tc>
        <w:tc>
          <w:tcPr>
            <w:tcW w:type="dxa" w:w="2492"/>
          </w:tcPr>
          <w:p>
            <w:pPr>
              <w:pStyle w:val="null3"/>
            </w:pPr>
            <w:r>
              <w:rPr>
                <w:rFonts w:ascii="仿宋_GB2312" w:hAnsi="仿宋_GB2312" w:cs="仿宋_GB2312" w:eastAsia="仿宋_GB2312"/>
              </w:rPr>
              <w:t>工作成果内容、报告处理及送达，报告内容全面，评审委员会根据响应情况打分，每满足一项得1分，满分3分。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供应商提供2023年1月1日至今类似项目业绩；每提供一个业绩得2分，最高得10分。 备注： 1.须提供完整合同复印件并加盖公章；2.时间以合同签订时间为准。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详见附件：拟在本项目投入设备、仪器情况一览表.docx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详见附件：其他相关资料.docx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