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9C36E3">
      <w:pPr>
        <w:pStyle w:val="16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4F1E9A13">
      <w:pPr>
        <w:pStyle w:val="16"/>
      </w:pPr>
      <w:r>
        <w:rPr>
          <w:rFonts w:ascii="仿宋_GB2312" w:hAnsi="仿宋_GB2312" w:eastAsia="仿宋_GB2312" w:cs="仿宋_GB2312"/>
        </w:rPr>
        <w:t>采购包1：</w:t>
      </w:r>
    </w:p>
    <w:p w14:paraId="79FCE8CD">
      <w:pPr>
        <w:pStyle w:val="16"/>
      </w:pPr>
      <w:r>
        <w:rPr>
          <w:rFonts w:ascii="仿宋_GB2312" w:hAnsi="仿宋_GB2312" w:eastAsia="仿宋_GB2312" w:cs="仿宋_GB2312"/>
        </w:rPr>
        <w:t>标的名称：多功能PVD镀膜系统等设备</w:t>
      </w:r>
    </w:p>
    <w:tbl>
      <w:tblPr>
        <w:tblStyle w:val="1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0"/>
        <w:gridCol w:w="1821"/>
        <w:gridCol w:w="4881"/>
      </w:tblGrid>
      <w:tr w14:paraId="6A75CE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339FF00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535342EC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339AA0E4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11C2B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61F1710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6E5EEF85"/>
        </w:tc>
        <w:tc>
          <w:tcPr>
            <w:tcW w:w="2769" w:type="dxa"/>
          </w:tcPr>
          <w:tbl>
            <w:tblPr>
              <w:tblStyle w:val="1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00"/>
              <w:gridCol w:w="590"/>
              <w:gridCol w:w="2110"/>
              <w:gridCol w:w="400"/>
              <w:gridCol w:w="1160"/>
            </w:tblGrid>
            <w:tr w14:paraId="544060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7B09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序号</w:t>
                  </w:r>
                </w:p>
              </w:tc>
              <w:tc>
                <w:tcPr>
                  <w:tcW w:w="30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892A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设备名称</w:t>
                  </w:r>
                </w:p>
              </w:tc>
              <w:tc>
                <w:tcPr>
                  <w:tcW w:w="150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D116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技术指标要求</w:t>
                  </w:r>
                </w:p>
              </w:tc>
              <w:tc>
                <w:tcPr>
                  <w:tcW w:w="15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06C2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数量</w:t>
                  </w:r>
                </w:p>
              </w:tc>
              <w:tc>
                <w:tcPr>
                  <w:tcW w:w="40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2651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单价限价（元）</w:t>
                  </w:r>
                </w:p>
              </w:tc>
            </w:tr>
            <w:tr w14:paraId="580C4F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7409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</w:t>
                  </w:r>
                </w:p>
              </w:tc>
              <w:tc>
                <w:tcPr>
                  <w:tcW w:w="3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780F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多功能PVD 镀膜系统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（核心产品）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E3AE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1.真空腔室</w:t>
                  </w:r>
                </w:p>
                <w:p w14:paraId="3C2BC4D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1）八角型腔体结构，材质SUS304不锈钢，内、外表面抛光处理，真空室侧壁厚≥30mm，真空炉体上下盖板厚≥30mm，体框厚≥30mm（加工后）；</w:t>
                  </w:r>
                </w:p>
                <w:p w14:paraId="52381284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2）真空腔室等效尺寸≥φ1000mm× 1000mm，镀膜有效区≥650mm(H)×650mm；</w:t>
                  </w:r>
                </w:p>
                <w:p w14:paraId="316904F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3）炉体具备水冷功能，炉体各个法兰面均有独立冷却水道，焊缝与水隔离设计确保镀膜机可在500℃温度下稳定工作；</w:t>
                  </w:r>
                </w:p>
                <w:p w14:paraId="063F972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）配备公自转三维行星转架系统2套，公自转结构，带三维旋转接口，带转盘旋转实时监控功能，异常情况报警，转架驱动为磁流体结构；三维结构拨片采用哈C276材质（可耐高温），可实现膜厚均匀性误差≤±5%。</w:t>
                  </w:r>
                </w:p>
                <w:p w14:paraId="0B648D0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5）配套公自转三维行星转架系统设备：电动液压升降移动车1台，可移动转盘周转平台1台，移出转盘部分2套。</w:t>
                  </w:r>
                </w:p>
                <w:p w14:paraId="4E01246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6）配备公自转三维行星转架系统刀片挂具1套，杆状刀具挂具1套；</w:t>
                  </w:r>
                </w:p>
                <w:p w14:paraId="08DC42A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7）炉门为立式前开门，炉体八个功能面分别安装溅射阴极、电弧靶、离子源、加热系统等，并布置真空测量规管、反应气体接入、加热管等接口；</w:t>
                  </w:r>
                </w:p>
                <w:p w14:paraId="60FD219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8）配套挡板2套，拆卸方便，SUS304不锈钢，表面喷砂，厚度≥3.0mm；</w:t>
                  </w:r>
                </w:p>
                <w:p w14:paraId="62CB371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9）反应气体接入系统采用不锈钢管路，外卡套安装，方便调整及拆装，卡套接头采用镀银螺母接头；</w:t>
                  </w:r>
                </w:p>
                <w:p w14:paraId="1CDAFCF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10）加热系统包含温控表、控温偶2根、测温偶2根等，加热范围：室温-500℃，升温速率≥3℃/min，测温精度±0.5℃；</w:t>
                  </w:r>
                </w:p>
                <w:p w14:paraId="14ECAAE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11）装配后整体为框架带护板结构，表面喷塑防腐，炉体支架、气管、水管、电线、电缆桥架等合理布局，可实现拆卸分体运输，具体尺寸组合根据实验室大小布局。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2.真空系统</w:t>
                  </w:r>
                </w:p>
                <w:p w14:paraId="28921C0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1）极限压强：≤5×10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-4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Pa；</w:t>
                  </w:r>
                </w:p>
                <w:p w14:paraId="408D75E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2）▲抽速：大气到6×10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-3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Pa，抽气时间≤20分钟；大气到3×10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-3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Pa，抽气时间≤60分钟；</w:t>
                  </w:r>
                </w:p>
                <w:p w14:paraId="1AFF554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3）▲压升率：≤0.3Pa/h；</w:t>
                  </w:r>
                </w:p>
                <w:p w14:paraId="2C04C2C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4）配备真空计：测量范围大气到5×10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-5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Pa，精度为±20%；</w:t>
                  </w:r>
                </w:p>
                <w:p w14:paraId="39D2C9E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5）真空系统配备气动抽速调节机构，减少工艺气体消耗；</w:t>
                  </w:r>
                </w:p>
                <w:p w14:paraId="6B3A763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6）干泵机组：</w:t>
                  </w:r>
                </w:p>
                <w:p w14:paraId="0C8992A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①▲最大抽气速度≥1600m³/h；</w:t>
                  </w:r>
                </w:p>
                <w:p w14:paraId="0DE809F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②极限压力≤0.1Pa；</w:t>
                  </w:r>
                </w:p>
                <w:p w14:paraId="5982ACF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③▲噪音值＜70dB。</w:t>
                  </w:r>
                </w:p>
                <w:p w14:paraId="3EE36B5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7）分子泵：</w:t>
                  </w:r>
                </w:p>
                <w:p w14:paraId="6F7D0C9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①▲转速≥30000r/min；</w:t>
                  </w:r>
                </w:p>
                <w:p w14:paraId="630C484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②▲氮气抽速≥3000L/min；</w:t>
                  </w:r>
                </w:p>
                <w:p w14:paraId="49C0650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③▲氮气载气量≤2600Pa.L/s。</w:t>
                  </w:r>
                </w:p>
                <w:p w14:paraId="3A38E94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8）插板阀：</w:t>
                  </w:r>
                </w:p>
                <w:p w14:paraId="2481BF6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①ISO320接口；</w:t>
                  </w:r>
                </w:p>
                <w:p w14:paraId="6D1D3AF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②使用寿命≥100000次；</w:t>
                  </w:r>
                </w:p>
                <w:p w14:paraId="673DB5B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③压力范围5×10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-5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Pa-1.2×10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5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Pa；</w:t>
                  </w:r>
                </w:p>
                <w:p w14:paraId="10E921A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9）流量计：</w:t>
                  </w:r>
                </w:p>
                <w:p w14:paraId="0F530C4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①氩气流量计1台，≥1000 SCCM；</w:t>
                  </w:r>
                </w:p>
                <w:p w14:paraId="610BEE5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②氮气流量计1台，≥2000 SCCM；</w:t>
                  </w:r>
                </w:p>
                <w:p w14:paraId="3353543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③乙炔流量计1台，≥500 SCCM；</w:t>
                  </w:r>
                </w:p>
                <w:p w14:paraId="4AC738F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④氧气流量计1台，≥500 SCCM；</w:t>
                  </w:r>
                </w:p>
                <w:p w14:paraId="73A2329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⑤测量精度：± 0.3 % F.S.，重复精度：± 0.1 % F.S.。</w:t>
                  </w:r>
                </w:p>
                <w:p w14:paraId="684668B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10）配备有前级阀、预抽阀、防湍流预抽阀、放气阀，配备粉尘过滤器；</w:t>
                  </w:r>
                </w:p>
                <w:p w14:paraId="0D6423E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11）密封圈均使用氟橡胶，提供备用密封圈2套，多弧检漏盲板2件、平面磁控检漏盲板1件、离子源检漏盲板1件。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3.冷却系统</w:t>
                  </w:r>
                </w:p>
                <w:p w14:paraId="74DADD5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1）配备专用冷却水分配器，阴极、离子源采用水流量计检测冷却水流量；</w:t>
                  </w:r>
                </w:p>
                <w:p w14:paraId="50531B6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2）报警点信号接入PLC，PLC读取水流量信号；</w:t>
                  </w:r>
                </w:p>
                <w:p w14:paraId="152DBD6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3）所有异常均可根据各测量点的敏感程度进行分级处理，充分保证冷却安全；</w:t>
                  </w:r>
                </w:p>
                <w:p w14:paraId="264F85B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4）预留8路冷却水，设备左右两侧各4路，配置1/2球阀，配置水流检测。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4.控制系统</w:t>
                  </w:r>
                </w:p>
                <w:p w14:paraId="6517094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1）主控PLC，配足够数量的I/O模块；</w:t>
                  </w:r>
                </w:p>
                <w:p w14:paraId="5D5D0ED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2）上位机：MIC-770H-PNS主板/I5-9500处理器/ AD 16G DDR4内存/SG2.5 1T 机械硬盘，预留接口：2*232/422/485+2*232/ 4*USB2.0/4*USB2 3.0。适配器可远程操作及监控；</w:t>
                  </w:r>
                </w:p>
                <w:p w14:paraId="55FD028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3）主控单元可设置参数及工作点，并可根据需求预设工艺流程，实现对整机全自动、半自动及手动控制；</w:t>
                  </w:r>
                </w:p>
                <w:p w14:paraId="71CA6A4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4）可设置并存储多种工艺，用户可根据不同产品需求选择调用；</w:t>
                  </w:r>
                </w:p>
                <w:p w14:paraId="1685216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5）程序带密码功能，可设置多级使用权限，监控各泵、阀门工作状态，故障发生时报警并做出相应处理；</w:t>
                  </w:r>
                </w:p>
                <w:p w14:paraId="0D4CEE4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6）监控进水管路及各靶(弧)回水管路水流，及时处理并发出警示；</w:t>
                  </w:r>
                </w:p>
                <w:p w14:paraId="67CB573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7）监控冷却水压力变化，在压力不足或过压情况下报警，以便系统故障处理；</w:t>
                  </w:r>
                </w:p>
                <w:p w14:paraId="16C1986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8）监控偏压电源、溅射电源、弧电源等的电压、电流，采集真空室内真空度，监控气体流量；</w:t>
                  </w:r>
                </w:p>
                <w:p w14:paraId="43A1211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9）专业电磁兼容性设计，抗电磁干扰，无死机现象；</w:t>
                  </w:r>
                </w:p>
                <w:p w14:paraId="064BD74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10）可与温控表通讯，实现分段控温，可任意设计控制温度，带实时曲线、历史曲线查询功能，温度均匀性±10℃。</w:t>
                  </w:r>
                </w:p>
                <w:p w14:paraId="76F7DAD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5.弧源9个</w:t>
                  </w:r>
                </w:p>
                <w:p w14:paraId="3045573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1）弧源采用永磁+电磁复合磁场驱动；</w:t>
                  </w:r>
                </w:p>
                <w:p w14:paraId="03E27C4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2）弧源配置水流及水温传感器，水流传感器流量范围：2~8L/min，水温传感器测量范围：10~80℃。</w:t>
                  </w:r>
                </w:p>
                <w:p w14:paraId="724AA1C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3）靶材直径≥160mm。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6.平面阴极2个</w:t>
                  </w:r>
                </w:p>
                <w:p w14:paraId="63F3E5C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1）平面溅射阴极安装在炉体侧壁法兰；</w:t>
                  </w:r>
                </w:p>
                <w:p w14:paraId="3A2F8E2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2）支持射频、HIPIMS电源溅射，系统内预置操作系统，使用时用户可自行更换电源线使用，带热防护气动翻转式防溅射挡板（挡板采用310S耐热不锈钢）；</w:t>
                  </w:r>
                </w:p>
                <w:p w14:paraId="4BE4C87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3）靶材尺寸≥140mm×800mm×10mm，预装钛靶材；</w:t>
                  </w:r>
                </w:p>
                <w:p w14:paraId="17F5CC84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4）溅射阴极采用间接水冷结构，配置水流及水温传感器。</w:t>
                  </w:r>
                </w:p>
                <w:p w14:paraId="47D01CD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 IET离子清洗系统1套</w:t>
                  </w:r>
                </w:p>
                <w:p w14:paraId="4B705E7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1）IET 组件安装在炉门法兰处，配阴、阳极、屏蔽罩板及刻蚀电源。</w:t>
                  </w:r>
                </w:p>
                <w:p w14:paraId="193E792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8.电源</w:t>
                  </w:r>
                </w:p>
                <w:p w14:paraId="3AAEDBB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1）弧电源9台：</w:t>
                  </w:r>
                </w:p>
                <w:p w14:paraId="01D389A4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①额定输出电流：至少覆盖0-200A，连续可调，精度±1A；</w:t>
                  </w:r>
                </w:p>
                <w:p w14:paraId="3AC87A2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②外控：RS485通讯方式控制；</w:t>
                  </w:r>
                </w:p>
                <w:p w14:paraId="13A14F4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③冷却方式：风冷。</w:t>
                  </w:r>
                </w:p>
                <w:p w14:paraId="1F88FE8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2）射频电源1台：</w:t>
                  </w:r>
                </w:p>
                <w:p w14:paraId="2555D55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①输出功率：30-6000W，连续可调，控制精度≤±5W；</w:t>
                  </w:r>
                </w:p>
                <w:p w14:paraId="0894609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②输出频率13.56MHz，精度≤0.5%；</w:t>
                  </w:r>
                </w:p>
                <w:p w14:paraId="446E037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3）IET刻蚀电源1套；</w:t>
                  </w:r>
                </w:p>
                <w:p w14:paraId="31B6A2B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①额定输出电流：至少覆盖40-180A，连续可调，精度≤±1A；</w:t>
                  </w:r>
                </w:p>
                <w:p w14:paraId="05FC0F7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②外控：RS485通讯方式控制；</w:t>
                  </w:r>
                </w:p>
                <w:p w14:paraId="5AFA337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③冷却方式：水冷。</w:t>
                  </w:r>
                </w:p>
                <w:p w14:paraId="34ABD1F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4）偏压电源1台：</w:t>
                  </w:r>
                </w:p>
                <w:p w14:paraId="5CDDF05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①额定功率≥20KW；电压0-1000V连续可调；</w:t>
                  </w:r>
                </w:p>
                <w:p w14:paraId="138B044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②最高频率：≥200KHz;输出占空比：10%-99%</w:t>
                  </w:r>
                </w:p>
                <w:p w14:paraId="2384CD9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③外控：Profibus总线方式控制；</w:t>
                  </w:r>
                </w:p>
                <w:p w14:paraId="17131714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5）双极HiPIMS电源1台：</w:t>
                  </w:r>
                </w:p>
                <w:p w14:paraId="4E8DE70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①额定功率≥30kW；</w:t>
                  </w:r>
                </w:p>
                <w:p w14:paraId="2C20B3E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②频率2kHz,可拓展；</w:t>
                  </w:r>
                </w:p>
                <w:p w14:paraId="3D7D27C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③具备显示功能。</w:t>
                  </w:r>
                </w:p>
                <w:p w14:paraId="5F4B144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9.检漏仪1个</w:t>
                  </w:r>
                </w:p>
                <w:p w14:paraId="51C0B73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1）可检测最小漏率≤5×10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-10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Pa·L/s；</w:t>
                  </w:r>
                </w:p>
                <w:p w14:paraId="5B82599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2）进气抽速≥32m</w:t>
                  </w:r>
                  <w:r>
                    <w:rPr>
                      <w:rFonts w:ascii="仿宋_GB2312" w:hAnsi="仿宋_GB2312" w:eastAsia="仿宋_GB2312" w:cs="仿宋_GB2312"/>
                      <w:sz w:val="19"/>
                      <w:vertAlign w:val="superscript"/>
                    </w:rPr>
                    <w:t>3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/h；</w:t>
                  </w:r>
                </w:p>
                <w:p w14:paraId="0E75F34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3）响应时间≤1s，加速时间≤3min。</w:t>
                  </w:r>
                </w:p>
              </w:tc>
              <w:tc>
                <w:tcPr>
                  <w:tcW w:w="15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B9BC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1套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1B19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2400000.00</w:t>
                  </w:r>
                </w:p>
              </w:tc>
            </w:tr>
            <w:tr w14:paraId="71B431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1C3B4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</w:t>
                  </w:r>
                </w:p>
              </w:tc>
              <w:tc>
                <w:tcPr>
                  <w:tcW w:w="3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B8A8E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环境箱金属能量沉积设备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1D2C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1.▲工作空间为充满氩气的不锈钢密封舱，可形成水、氧控制在≤50ppm 的高纯净工作环境，配备真空过渡舱及真空泵，过渡舱尺寸：直径≥150mm,长度≥300mm，安装惰性气体净化系统，单净化柱。</w:t>
                  </w:r>
                </w:p>
                <w:p w14:paraId="13829EA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 激光熔覆头光路同轴X-Y方向可精确调节，具备手动调焦模式，准直调焦范围≥±5mm。</w:t>
                  </w:r>
                </w:p>
                <w:p w14:paraId="1C5B721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 喷嘴为同轴环形，粉斑大小0.8-1.5mm，可调，粉末流量：至少覆盖1-45g/min；粉末粒度：至少覆盖25-150μm。</w:t>
                  </w:r>
                </w:p>
                <w:p w14:paraId="5A587CC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4.▲送粉器送粉方式为气动刮板式，粉筒数量5个（可各自单独送粉可同时送粉），送粉量0.4-300g/min，连续可调，重复送粉精度≤±1%，单筒容积≥1.5L。</w:t>
                  </w:r>
                </w:p>
                <w:p w14:paraId="5159E23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 激光功率≥4000W，光斑直径1-5mm，可调；熔覆效率：0.1~0.6m2/h。</w:t>
                  </w:r>
                </w:p>
                <w:p w14:paraId="032DB36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 运动机构为三轴运动系统，有效加工范围为 500×500×300mm，重复定位精度≤±0.02mm。</w:t>
                  </w:r>
                </w:p>
                <w:p w14:paraId="1F1F2AFF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 运动控制功能：支持点位运动、速度运动、插补运动、G 代码编程等。</w:t>
                  </w:r>
                </w:p>
              </w:tc>
              <w:tc>
                <w:tcPr>
                  <w:tcW w:w="15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6C6C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1套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D01CB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600000.00</w:t>
                  </w:r>
                </w:p>
              </w:tc>
            </w:tr>
            <w:tr w14:paraId="2214A9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62441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</w:t>
                  </w:r>
                </w:p>
              </w:tc>
              <w:tc>
                <w:tcPr>
                  <w:tcW w:w="3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98F3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超高温大容量非自耗型真空电弧炉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77DC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 最高熔炼温度≥3500oC（以熔化W为准）</w:t>
                  </w:r>
                </w:p>
                <w:p w14:paraId="2D27AEB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 极限真空度≤6×10-5Pa，压升率≤0.7Pa/h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 坩埚单次最大熔炼量WMoFeNi≥3kg，WMoTaNb≥3kg，熔炼坩埚≥1kg Fe</w:t>
                  </w:r>
                </w:p>
                <w:p w14:paraId="45CB387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 分瓣水冷铜坩埚尺寸：约为内径40mm和内径60mm两种,坩埚高度需能满足得到高度≥120mm金属锭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 感应电源，超音频，输出功率≥400KW，连续可调；</w:t>
                  </w:r>
                </w:p>
                <w:p w14:paraId="1ED942B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 工作气氛：氩气保护气氛；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 坩埚倾转采用电机驱动方式，角度和速度可调，满足浇铸需求，配备浇铸模具，直径≥65mm；</w:t>
                  </w:r>
                </w:p>
                <w:p w14:paraId="0FA35B0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 真空阀门为电控气动阀；</w:t>
                  </w:r>
                </w:p>
                <w:p w14:paraId="264684D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9. 控制模式：PLC+触摸屏，电控柜显示屏≥15.6寸，炉前触摸屏≥10寸；</w:t>
                  </w:r>
                </w:p>
                <w:p w14:paraId="6E2583C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10.设备自带闭路循环冷水机，能满足熔炼需求。能检测水压、水温和流量，水压采用压力传感器（带通讯）量程为0-0.6MPa，精度为0.5%，压力表量程0-1.6MPa，并有应急水泵。</w:t>
                  </w:r>
                </w:p>
              </w:tc>
              <w:tc>
                <w:tcPr>
                  <w:tcW w:w="15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F409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1套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ED80A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520000.00</w:t>
                  </w:r>
                </w:p>
              </w:tc>
            </w:tr>
            <w:tr w14:paraId="61988A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9CE06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</w:t>
                  </w:r>
                </w:p>
              </w:tc>
              <w:tc>
                <w:tcPr>
                  <w:tcW w:w="3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6903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超高温真空/气氛烧结炉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FEA292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1.▲ 长期工作温度：≥1900℃(极限2400℃)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 温度均匀性≤±5℃，温度精度≤±1℃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 升温速率1-15℃/min，连续可调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 炉膛空间≥Φ200mm×250mm</w:t>
                  </w:r>
                </w:p>
                <w:p w14:paraId="4AC6600C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5.▲ 最高工作压力≥11MPa，连续可调；控压精度≤±0.5Pa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6.▲ 脱脂率≥97.5%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7.▲ 冷态极限真空度≤7×10-3Pa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8. 压升率≤0.7Pa/h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9. 气氛Ar/N2</w:t>
                  </w:r>
                </w:p>
                <w:p w14:paraId="40987F6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10．设备自带闭路循环冷水机，能完全满足烧结需求。能检测水压、水温和流量，并有应急水泵。</w:t>
                  </w:r>
                </w:p>
                <w:p w14:paraId="5C42864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11．设备为Ⅱ类压力容器，全生命周期（设计、制造、安装、使用、维护、检修、试验）须符合 TSG 21、GB/T 150、TSG 08 等国家现行标准及当地监管要求。需提供：设计文件鉴定报告、产品质量证明书、监督检验证书、竣工图、强度计算书、使用维护说明书。</w:t>
                  </w:r>
                </w:p>
              </w:tc>
              <w:tc>
                <w:tcPr>
                  <w:tcW w:w="15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7B8920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1套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7A577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550000.00</w:t>
                  </w:r>
                </w:p>
              </w:tc>
            </w:tr>
            <w:tr w14:paraId="056C55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27E6C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</w:t>
                  </w:r>
                </w:p>
              </w:tc>
              <w:tc>
                <w:tcPr>
                  <w:tcW w:w="3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BF8DE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立式增材制造系统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D9B1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1.▲内壁激光熔覆头可加工筒形零件，最小内径：≤Φ30 mm，单侧可加工深度≥1300mm。</w:t>
                  </w:r>
                </w:p>
                <w:p w14:paraId="60E33EF5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 配置专用于盲孔底端内壁激光熔覆的送粉喷嘴。粉末流输出数量：≥2束流。可适用于加工最小内径：≤Φ30mm。</w:t>
                  </w:r>
                </w:p>
                <w:p w14:paraId="603D137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3.▲激光焦距定位精度≤0.05mm，装置定心精度≤0.05mm，装置行走精度≤0.05mm；外圆夹装定位精度≤ 0.05mm。熔覆层：≥1mm（单边有效厚度）,任意断面熔覆层厚度差≤ 0.05mm。</w:t>
                  </w:r>
                </w:p>
                <w:p w14:paraId="38B468B8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4.▲立式机床满足内孔熔覆工件尺寸：总长≥3m、最小内径≤Φ30mm、最大外径≥Φ190mm的工件熔覆加工，最大载重：≥500kg，主轴转速：0.5-50rpm，连续可调。</w:t>
                  </w:r>
                </w:p>
                <w:p w14:paraId="411EE549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5. 双筒气动刮板式送粉器，配备≥7英寸触摸屏及PLC；单筒容积：≥5 L，粉末载气流量通过数字气体流量计调节控制。粉筒内粉末存量低于一定限值时自动报警；送粉量控制精度：≤±1%。</w:t>
                  </w:r>
                </w:p>
                <w:p w14:paraId="0A4BBA1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6. 激光器最大输出功率：≥4kW，10%～100%连续可调，激光功率精度和稳定性：≤±1%，波长范围：1080±5nm。</w:t>
                  </w:r>
                </w:p>
                <w:p w14:paraId="74D303ED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7. 水冷系统制冷量适配激光器及外光路制冷需求，控温精度±1℃。</w:t>
                  </w:r>
                </w:p>
              </w:tc>
              <w:tc>
                <w:tcPr>
                  <w:tcW w:w="15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C0E4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1套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3A573">
                  <w:pPr>
                    <w:pStyle w:val="16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1686000.00</w:t>
                  </w:r>
                </w:p>
              </w:tc>
            </w:tr>
          </w:tbl>
          <w:p w14:paraId="71EBFE5E"/>
        </w:tc>
      </w:tr>
      <w:tr w14:paraId="47DE13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AEE3F10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122CA169"/>
        </w:tc>
        <w:tc>
          <w:tcPr>
            <w:tcW w:w="2769" w:type="dxa"/>
          </w:tcPr>
          <w:p w14:paraId="42234F86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质保即备品备件要求：</w:t>
            </w:r>
          </w:p>
          <w:p w14:paraId="0C895F73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本项目整体质保期：验收合格后5年；质保期满后，中标（成交）供应商仍需提供专业维修服务。</w:t>
            </w:r>
          </w:p>
          <w:p w14:paraId="72291ACD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质保期内免费提供正常使用的易损件和备件；软件系统提供终身免费升级服务。</w:t>
            </w:r>
          </w:p>
          <w:p w14:paraId="49320A8A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设备经过双方检验认可后，签署验收报告，产品保修期自验收合格之日起计算，由中标（成交）供应商提供产品保修文件。</w:t>
            </w:r>
          </w:p>
          <w:p w14:paraId="1748A1E7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质保期内所有维修服务均由中标（成交）供应商免费上门取、送、修。安装调试1个月内，如有质量问题，设备整机无条件退换货并提供备件以保证教学正常开展。在保修期内，任何质量问题，中标（成交）供应商负责免费维修。</w:t>
            </w:r>
          </w:p>
          <w:p w14:paraId="0478F55C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质保期过后需换件时，原则上应提供原装器件，并按成本价收费。</w:t>
            </w:r>
          </w:p>
          <w:p w14:paraId="0B24BEDE">
            <w:pPr>
              <w:pStyle w:val="16"/>
            </w:pPr>
            <w:r>
              <w:rPr>
                <w:rFonts w:ascii="仿宋_GB2312" w:hAnsi="仿宋_GB2312" w:eastAsia="仿宋_GB2312" w:cs="仿宋_GB2312"/>
                <w:sz w:val="20"/>
              </w:rPr>
              <w:t>服务响应时间：中标（成交）供应商接到维修电话后2小时内给予明确答复，4小时内到达现场维修。维修人员到现场后若问题特殊无法现场修复的，中标（成交）供应商需在24小时内给出合理解决方案。</w:t>
            </w:r>
          </w:p>
        </w:tc>
      </w:tr>
      <w:tr w14:paraId="08C166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8C25359">
            <w:pPr>
              <w:pStyle w:val="16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769" w:type="dxa"/>
          </w:tcPr>
          <w:p w14:paraId="0A6A7242"/>
        </w:tc>
        <w:tc>
          <w:tcPr>
            <w:tcW w:w="2769" w:type="dxa"/>
          </w:tcPr>
          <w:p w14:paraId="7DDD0A5B">
            <w:pPr>
              <w:pStyle w:val="16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培训要求：</w:t>
            </w:r>
          </w:p>
          <w:p w14:paraId="5C955BDF">
            <w:pPr>
              <w:pStyle w:val="16"/>
            </w:pPr>
            <w:r>
              <w:rPr>
                <w:rFonts w:ascii="仿宋_GB2312" w:hAnsi="仿宋_GB2312" w:eastAsia="仿宋_GB2312" w:cs="仿宋_GB2312"/>
                <w:sz w:val="20"/>
              </w:rPr>
              <w:t>设备到货安装后，由厂家派工程师对使用设备的师生进行培训，并留存培训资料。</w:t>
            </w:r>
          </w:p>
        </w:tc>
      </w:tr>
    </w:tbl>
    <w:p w14:paraId="023DBF00">
      <w:pPr>
        <w:pStyle w:val="16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9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0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51150C7F"/>
    <w:rsid w:val="550A1873"/>
    <w:rsid w:val="56A4373E"/>
    <w:rsid w:val="5A612985"/>
    <w:rsid w:val="5D2E4085"/>
    <w:rsid w:val="672226E7"/>
    <w:rsid w:val="68993E8A"/>
    <w:rsid w:val="68FB4800"/>
    <w:rsid w:val="6CCC3552"/>
    <w:rsid w:val="6D415667"/>
    <w:rsid w:val="723956D2"/>
    <w:rsid w:val="728B13DD"/>
    <w:rsid w:val="765F6058"/>
    <w:rsid w:val="76D17E0A"/>
    <w:rsid w:val="79DB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next w:val="7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7">
    <w:name w:val="Body Text First Indent 2"/>
    <w:basedOn w:val="6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8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6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7">
    <w:name w:val="List Paragraph"/>
    <w:basedOn w:val="1"/>
    <w:autoRedefine/>
    <w:qFormat/>
    <w:uiPriority w:val="34"/>
    <w:pPr>
      <w:ind w:firstLine="420"/>
    </w:pPr>
  </w:style>
  <w:style w:type="character" w:customStyle="1" w:styleId="18">
    <w:name w:val="font7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91"/>
    <w:basedOn w:val="14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0">
    <w:name w:val="font2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1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2">
    <w:name w:val="font1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3">
    <w:name w:val="标题 1 Char"/>
    <w:link w:val="2"/>
    <w:qFormat/>
    <w:uiPriority w:val="0"/>
    <w:rPr>
      <w:b/>
      <w:kern w:val="44"/>
      <w:sz w:val="44"/>
    </w:r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7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7977</Words>
  <Characters>8214</Characters>
  <Lines>0</Lines>
  <Paragraphs>0</Paragraphs>
  <TotalTime>0</TotalTime>
  <ScaleCrop>false</ScaleCrop>
  <LinksUpToDate>false</LinksUpToDate>
  <CharactersWithSpaces>8254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2026-06-04T09:02:12Z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