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2530D">
      <w:pPr>
        <w:snapToGrid w:val="0"/>
        <w:spacing w:line="360" w:lineRule="auto"/>
        <w:jc w:val="center"/>
        <w:rPr>
          <w:rStyle w:val="6"/>
          <w:rFonts w:hint="default"/>
          <w:sz w:val="44"/>
          <w:szCs w:val="44"/>
          <w:highlight w:val="none"/>
          <w:lang w:eastAsia="zh-CN"/>
        </w:rPr>
      </w:pPr>
    </w:p>
    <w:p w14:paraId="645ABA68">
      <w:pPr>
        <w:snapToGrid w:val="0"/>
        <w:spacing w:line="360" w:lineRule="auto"/>
        <w:jc w:val="center"/>
        <w:rPr>
          <w:rStyle w:val="6"/>
          <w:rFonts w:hint="default"/>
          <w:sz w:val="44"/>
          <w:szCs w:val="44"/>
          <w:highlight w:val="none"/>
          <w:lang w:eastAsia="zh-CN"/>
        </w:rPr>
      </w:pPr>
    </w:p>
    <w:p w14:paraId="3266307F">
      <w:pPr>
        <w:snapToGrid w:val="0"/>
        <w:spacing w:line="360" w:lineRule="auto"/>
        <w:jc w:val="center"/>
        <w:rPr>
          <w:rStyle w:val="6"/>
          <w:rFonts w:hint="default"/>
          <w:sz w:val="44"/>
          <w:szCs w:val="44"/>
          <w:highlight w:val="none"/>
          <w:lang w:eastAsia="zh-CN"/>
        </w:rPr>
      </w:pPr>
    </w:p>
    <w:p w14:paraId="21623F32">
      <w:pPr>
        <w:snapToGrid w:val="0"/>
        <w:spacing w:line="360" w:lineRule="auto"/>
        <w:jc w:val="center"/>
        <w:rPr>
          <w:rStyle w:val="6"/>
          <w:rFonts w:hint="eastAsia"/>
          <w:sz w:val="44"/>
          <w:szCs w:val="44"/>
          <w:highlight w:val="none"/>
          <w:lang w:eastAsia="zh-CN"/>
        </w:rPr>
      </w:pPr>
      <w:bookmarkStart w:id="2" w:name="_GoBack"/>
      <w:bookmarkEnd w:id="2"/>
      <w:r>
        <w:rPr>
          <w:rStyle w:val="6"/>
          <w:rFonts w:hint="default"/>
          <w:sz w:val="44"/>
          <w:szCs w:val="44"/>
          <w:highlight w:val="none"/>
          <w:lang w:eastAsia="zh-CN"/>
        </w:rPr>
        <w:t>西安戏剧学院</w:t>
      </w:r>
      <w:r>
        <w:rPr>
          <w:rStyle w:val="6"/>
          <w:rFonts w:hint="eastAsia"/>
          <w:sz w:val="44"/>
          <w:szCs w:val="44"/>
          <w:highlight w:val="none"/>
          <w:lang w:eastAsia="zh-CN"/>
        </w:rPr>
        <w:t>图书馆图书采购项目</w:t>
      </w:r>
    </w:p>
    <w:p w14:paraId="42204B7E">
      <w:pPr>
        <w:snapToGrid w:val="0"/>
        <w:spacing w:line="360" w:lineRule="auto"/>
        <w:jc w:val="center"/>
        <w:rPr>
          <w:rFonts w:ascii="宋体" w:hAnsi="宋体" w:cs="宋体"/>
          <w:b/>
          <w:sz w:val="72"/>
          <w:szCs w:val="72"/>
          <w:highlight w:val="none"/>
        </w:rPr>
      </w:pPr>
      <w:r>
        <w:rPr>
          <w:rStyle w:val="6"/>
          <w:rFonts w:hint="eastAsia"/>
          <w:sz w:val="44"/>
          <w:szCs w:val="44"/>
          <w:highlight w:val="none"/>
          <w:lang w:eastAsia="zh-CN"/>
        </w:rPr>
        <w:t>—电子图书及其他资源采购</w:t>
      </w:r>
    </w:p>
    <w:p w14:paraId="37FBD415">
      <w:pPr>
        <w:jc w:val="center"/>
        <w:rPr>
          <w:rFonts w:hint="eastAsia" w:ascii="宋体" w:hAnsi="宋体" w:cs="宋体"/>
          <w:b/>
          <w:sz w:val="72"/>
          <w:szCs w:val="72"/>
          <w:highlight w:val="none"/>
        </w:rPr>
      </w:pPr>
    </w:p>
    <w:p w14:paraId="2D8092FC">
      <w:pPr>
        <w:jc w:val="center"/>
        <w:rPr>
          <w:rFonts w:ascii="宋体" w:hAnsi="宋体" w:cs="宋体"/>
          <w:b/>
          <w:sz w:val="72"/>
          <w:szCs w:val="72"/>
          <w:highlight w:val="none"/>
        </w:rPr>
      </w:pPr>
      <w:r>
        <w:rPr>
          <w:rFonts w:hint="eastAsia" w:ascii="宋体" w:hAnsi="宋体" w:cs="宋体"/>
          <w:b/>
          <w:sz w:val="72"/>
          <w:szCs w:val="72"/>
          <w:highlight w:val="none"/>
        </w:rPr>
        <w:t>采购供货合同</w:t>
      </w:r>
    </w:p>
    <w:p w14:paraId="3E4055A8">
      <w:pPr>
        <w:jc w:val="center"/>
        <w:rPr>
          <w:rFonts w:ascii="黑体" w:eastAsia="黑体"/>
          <w:sz w:val="30"/>
          <w:szCs w:val="30"/>
          <w:highlight w:val="none"/>
        </w:rPr>
      </w:pPr>
    </w:p>
    <w:p w14:paraId="41150DA4">
      <w:pPr>
        <w:jc w:val="center"/>
        <w:rPr>
          <w:rFonts w:ascii="黑体" w:eastAsia="黑体"/>
          <w:sz w:val="30"/>
          <w:szCs w:val="30"/>
          <w:highlight w:val="none"/>
        </w:rPr>
      </w:pPr>
    </w:p>
    <w:p w14:paraId="15924E28">
      <w:pPr>
        <w:pStyle w:val="2"/>
        <w:rPr>
          <w:highlight w:val="none"/>
        </w:rPr>
      </w:pPr>
    </w:p>
    <w:p w14:paraId="7F3AB8D3">
      <w:pPr>
        <w:ind w:firstLine="2570" w:firstLineChars="800"/>
        <w:rPr>
          <w:rFonts w:ascii="宋体" w:hAnsi="宋体" w:cs="宋体"/>
          <w:b/>
          <w:bCs/>
          <w:sz w:val="32"/>
          <w:szCs w:val="32"/>
          <w:highlight w:val="none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甲  方：</w:t>
      </w:r>
      <w:r>
        <w:rPr>
          <w:rFonts w:hint="eastAsia" w:ascii="宋体" w:hAnsi="宋体" w:cs="宋体"/>
          <w:b/>
          <w:bCs/>
          <w:sz w:val="32"/>
          <w:szCs w:val="32"/>
          <w:highlight w:val="none"/>
          <w:u w:val="single"/>
          <w:lang w:eastAsia="zh-CN"/>
        </w:rPr>
        <w:t>西安戏剧学院</w:t>
      </w:r>
    </w:p>
    <w:p w14:paraId="638B947F">
      <w:pPr>
        <w:ind w:firstLine="2570" w:firstLineChars="800"/>
        <w:rPr>
          <w:rFonts w:ascii="宋体" w:hAnsi="宋体" w:cs="宋体"/>
          <w:b/>
          <w:bCs/>
          <w:sz w:val="32"/>
          <w:szCs w:val="32"/>
          <w:highlight w:val="none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乙  方：</w:t>
      </w:r>
      <w:r>
        <w:rPr>
          <w:rFonts w:hint="eastAsia" w:ascii="宋体" w:hAnsi="宋体" w:cs="宋体"/>
          <w:b/>
          <w:bCs/>
          <w:sz w:val="32"/>
          <w:szCs w:val="32"/>
          <w:highlight w:val="none"/>
          <w:u w:val="single"/>
        </w:rPr>
        <w:t xml:space="preserve">            </w:t>
      </w:r>
    </w:p>
    <w:p w14:paraId="6B80755C">
      <w:pPr>
        <w:ind w:firstLine="1928" w:firstLineChars="600"/>
        <w:rPr>
          <w:rFonts w:ascii="黑体" w:eastAsia="黑体"/>
          <w:b/>
          <w:bCs/>
          <w:sz w:val="32"/>
          <w:szCs w:val="32"/>
          <w:highlight w:val="none"/>
        </w:rPr>
      </w:pPr>
    </w:p>
    <w:p w14:paraId="3B047CC3">
      <w:pPr>
        <w:ind w:firstLine="1928" w:firstLineChars="600"/>
        <w:rPr>
          <w:rFonts w:ascii="黑体" w:eastAsia="黑体"/>
          <w:b/>
          <w:bCs/>
          <w:sz w:val="32"/>
          <w:szCs w:val="32"/>
          <w:highlight w:val="none"/>
        </w:rPr>
      </w:pPr>
    </w:p>
    <w:p w14:paraId="2084FBF3">
      <w:pPr>
        <w:pStyle w:val="8"/>
        <w:rPr>
          <w:b/>
          <w:bCs/>
          <w:highlight w:val="none"/>
        </w:rPr>
      </w:pPr>
    </w:p>
    <w:p w14:paraId="5E685837">
      <w:pPr>
        <w:jc w:val="center"/>
        <w:rPr>
          <w:b/>
          <w:bCs/>
          <w:sz w:val="24"/>
          <w:highlight w:val="none"/>
        </w:rPr>
      </w:pPr>
    </w:p>
    <w:p w14:paraId="07E986CB">
      <w:pPr>
        <w:jc w:val="center"/>
        <w:rPr>
          <w:b/>
          <w:bCs/>
          <w:sz w:val="24"/>
          <w:highlight w:val="none"/>
        </w:rPr>
      </w:pPr>
    </w:p>
    <w:p w14:paraId="2F8982CB">
      <w:pPr>
        <w:jc w:val="center"/>
        <w:rPr>
          <w:b/>
          <w:bCs/>
          <w:highlight w:val="none"/>
        </w:rPr>
      </w:pPr>
      <w:r>
        <w:rPr>
          <w:rFonts w:hint="eastAsia"/>
          <w:b/>
          <w:bCs/>
          <w:sz w:val="24"/>
          <w:highlight w:val="none"/>
        </w:rPr>
        <w:t>合同签订地：西安市</w:t>
      </w:r>
    </w:p>
    <w:p w14:paraId="62499141">
      <w:pPr>
        <w:snapToGrid w:val="0"/>
        <w:spacing w:line="360" w:lineRule="auto"/>
        <w:jc w:val="center"/>
        <w:rPr>
          <w:rFonts w:ascii="宋体" w:hAnsi="宋体" w:cs="宋体"/>
          <w:b/>
          <w:bCs/>
          <w:sz w:val="24"/>
          <w:highlight w:val="none"/>
        </w:rPr>
      </w:pPr>
      <w:r>
        <w:rPr>
          <w:rFonts w:hint="eastAsia" w:hAnsi="宋体"/>
          <w:b/>
          <w:bCs/>
          <w:sz w:val="36"/>
          <w:szCs w:val="36"/>
          <w:highlight w:val="none"/>
        </w:rPr>
        <w:br w:type="page"/>
      </w:r>
    </w:p>
    <w:p w14:paraId="2EA50AE3">
      <w:pPr>
        <w:kinsoku w:val="0"/>
        <w:spacing w:line="360" w:lineRule="auto"/>
        <w:jc w:val="center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采购供货合同</w:t>
      </w:r>
    </w:p>
    <w:p w14:paraId="4B4BF6DF">
      <w:pPr>
        <w:kinsoku w:val="0"/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highlight w:val="none"/>
        </w:rPr>
        <w:t>甲方：</w:t>
      </w:r>
      <w:r>
        <w:rPr>
          <w:rFonts w:hint="eastAsia" w:ascii="宋体" w:hAnsi="宋体" w:cs="宋体"/>
          <w:sz w:val="24"/>
          <w:highlight w:val="none"/>
          <w:lang w:eastAsia="zh-CN"/>
        </w:rPr>
        <w:t>西安戏剧学院</w:t>
      </w:r>
    </w:p>
    <w:p w14:paraId="79FA7E67">
      <w:pPr>
        <w:kinsoku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乙方：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p w14:paraId="32A0F1B0"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根据《中华人民共和国政府采购法》、《中华人民共和国民法典》等法律法规，甲方通过公开招标，选定乙方为中标单位。甲、乙双方在平等基础上协商一致，达成如下合同条款：</w:t>
      </w:r>
    </w:p>
    <w:p w14:paraId="7F683367">
      <w:pPr>
        <w:kinsoku w:val="0"/>
        <w:spacing w:line="360" w:lineRule="auto"/>
        <w:ind w:left="251" w:leftChars="114" w:hanging="12" w:hangingChars="5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.</w:t>
      </w:r>
      <w:r>
        <w:rPr>
          <w:rFonts w:hint="eastAsia" w:ascii="宋体" w:hAnsi="宋体" w:cs="宋体"/>
          <w:b/>
          <w:sz w:val="24"/>
          <w:highlight w:val="none"/>
        </w:rPr>
        <w:t>合同内容                        包号：         单位：元</w:t>
      </w:r>
    </w:p>
    <w:tbl>
      <w:tblPr>
        <w:tblStyle w:val="4"/>
        <w:tblW w:w="53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821"/>
        <w:gridCol w:w="1416"/>
        <w:gridCol w:w="1241"/>
        <w:gridCol w:w="782"/>
        <w:gridCol w:w="1013"/>
        <w:gridCol w:w="1004"/>
        <w:gridCol w:w="951"/>
      </w:tblGrid>
      <w:tr w14:paraId="0AB80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483" w:type="pct"/>
            <w:vAlign w:val="center"/>
          </w:tcPr>
          <w:p w14:paraId="667315BF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999" w:type="pct"/>
            <w:vAlign w:val="center"/>
          </w:tcPr>
          <w:p w14:paraId="3B999AD5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模块名称</w:t>
            </w:r>
          </w:p>
        </w:tc>
        <w:tc>
          <w:tcPr>
            <w:tcW w:w="777" w:type="pct"/>
            <w:vAlign w:val="center"/>
          </w:tcPr>
          <w:p w14:paraId="2DCC2BA7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型号</w:t>
            </w:r>
          </w:p>
        </w:tc>
        <w:tc>
          <w:tcPr>
            <w:tcW w:w="681" w:type="pct"/>
            <w:vAlign w:val="center"/>
          </w:tcPr>
          <w:p w14:paraId="3276DEF0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生产厂家</w:t>
            </w:r>
          </w:p>
        </w:tc>
        <w:tc>
          <w:tcPr>
            <w:tcW w:w="429" w:type="pct"/>
            <w:vAlign w:val="center"/>
          </w:tcPr>
          <w:p w14:paraId="26F3D1EB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数量</w:t>
            </w:r>
          </w:p>
        </w:tc>
        <w:tc>
          <w:tcPr>
            <w:tcW w:w="556" w:type="pct"/>
            <w:vAlign w:val="center"/>
          </w:tcPr>
          <w:p w14:paraId="405A3890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单价</w:t>
            </w:r>
          </w:p>
        </w:tc>
        <w:tc>
          <w:tcPr>
            <w:tcW w:w="551" w:type="pct"/>
            <w:vAlign w:val="center"/>
          </w:tcPr>
          <w:p w14:paraId="63CC6527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总价</w:t>
            </w:r>
          </w:p>
        </w:tc>
        <w:tc>
          <w:tcPr>
            <w:tcW w:w="521" w:type="pct"/>
            <w:vAlign w:val="center"/>
          </w:tcPr>
          <w:p w14:paraId="39CF9FB1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备注</w:t>
            </w:r>
          </w:p>
        </w:tc>
      </w:tr>
      <w:tr w14:paraId="1E733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7" w:hRule="exact"/>
          <w:jc w:val="center"/>
        </w:trPr>
        <w:tc>
          <w:tcPr>
            <w:tcW w:w="483" w:type="pct"/>
            <w:vAlign w:val="center"/>
          </w:tcPr>
          <w:p w14:paraId="6694464C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1.</w:t>
            </w:r>
          </w:p>
        </w:tc>
        <w:tc>
          <w:tcPr>
            <w:tcW w:w="999" w:type="pct"/>
            <w:vAlign w:val="center"/>
          </w:tcPr>
          <w:p w14:paraId="35AA560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图书馆图书采购项目——电子图书及其他资源采购</w:t>
            </w:r>
          </w:p>
        </w:tc>
        <w:tc>
          <w:tcPr>
            <w:tcW w:w="777" w:type="pct"/>
            <w:vAlign w:val="center"/>
          </w:tcPr>
          <w:p w14:paraId="681D79C9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70B3D4AD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429" w:type="pct"/>
            <w:vAlign w:val="center"/>
          </w:tcPr>
          <w:p w14:paraId="6F8B209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56" w:type="pct"/>
            <w:vAlign w:val="center"/>
          </w:tcPr>
          <w:p w14:paraId="5FF50AD5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51" w:type="pct"/>
            <w:vAlign w:val="center"/>
          </w:tcPr>
          <w:p w14:paraId="6F56D713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21" w:type="pct"/>
            <w:vAlign w:val="center"/>
          </w:tcPr>
          <w:p w14:paraId="162C40DE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33351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1483" w:type="pct"/>
            <w:gridSpan w:val="2"/>
            <w:vAlign w:val="center"/>
          </w:tcPr>
          <w:p w14:paraId="593E846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总计（人民币/元）</w:t>
            </w:r>
          </w:p>
        </w:tc>
        <w:tc>
          <w:tcPr>
            <w:tcW w:w="3516" w:type="pct"/>
            <w:gridSpan w:val="6"/>
            <w:vAlign w:val="center"/>
          </w:tcPr>
          <w:p w14:paraId="53006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￥：       （大写）</w:t>
            </w:r>
          </w:p>
        </w:tc>
      </w:tr>
    </w:tbl>
    <w:p w14:paraId="10821291">
      <w:pPr>
        <w:kinsoku w:val="0"/>
        <w:spacing w:line="360" w:lineRule="auto"/>
        <w:ind w:firstLine="600" w:firstLineChars="25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（参数附件说明）</w:t>
      </w:r>
    </w:p>
    <w:p w14:paraId="0CAF8D20">
      <w:pPr>
        <w:kinsoku w:val="0"/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乙方负责按以上确定的设备规格、型号及配套内容进行供货，及时运到甲方指定交货地点安装调试，确保所有设备达到最佳运行状态，负责对甲方操作、维护人员进行培训，指导操作、使用和维修保养，做好售后服务工作。</w:t>
      </w:r>
    </w:p>
    <w:p w14:paraId="2CAE9647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二、合同价格</w:t>
      </w:r>
    </w:p>
    <w:p w14:paraId="1D829D9B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合同总价：人民币大写：</w:t>
      </w:r>
      <w:r>
        <w:rPr>
          <w:rFonts w:hint="eastAsia" w:ascii="宋体" w:hAnsi="宋体" w:cs="宋体"/>
          <w:b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b/>
          <w:sz w:val="24"/>
          <w:highlight w:val="none"/>
        </w:rPr>
        <w:t>元整；</w:t>
      </w:r>
      <w:r>
        <w:rPr>
          <w:rFonts w:hint="eastAsia" w:ascii="宋体" w:hAnsi="宋体" w:cs="宋体"/>
          <w:sz w:val="24"/>
          <w:highlight w:val="none"/>
        </w:rPr>
        <w:t xml:space="preserve">￥ </w:t>
      </w:r>
      <w:r>
        <w:rPr>
          <w:rFonts w:hint="eastAsia" w:ascii="宋体" w:hAnsi="宋体" w:cs="宋体"/>
          <w:b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sz w:val="24"/>
          <w:highlight w:val="none"/>
        </w:rPr>
        <w:t>元。</w:t>
      </w:r>
    </w:p>
    <w:p w14:paraId="33E1F770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合同总价包括：设备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3DA0E380"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82" w:firstLineChars="200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款项支付</w:t>
      </w:r>
    </w:p>
    <w:p w14:paraId="463E6D04">
      <w:pPr>
        <w:adjustRightInd w:val="0"/>
        <w:snapToGrid w:val="0"/>
        <w:spacing w:line="360" w:lineRule="auto"/>
        <w:ind w:firstLine="482" w:firstLineChars="200"/>
        <w:rPr>
          <w:rFonts w:hint="default" w:ascii="宋体" w:hAnsi="宋体" w:eastAsia="宋体" w:cs="宋体"/>
          <w:b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/>
          <w:sz w:val="24"/>
          <w:highlight w:val="none"/>
          <w:u w:val="single"/>
          <w:lang w:val="en-US" w:eastAsia="zh-CN"/>
        </w:rPr>
        <w:t xml:space="preserve">                        </w:t>
      </w:r>
    </w:p>
    <w:p w14:paraId="4243F118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四、交货条件</w:t>
      </w:r>
    </w:p>
    <w:p w14:paraId="4DDB4F75">
      <w:pPr>
        <w:kinsoku w:val="0"/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1.交货地点：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甲方</w:t>
      </w:r>
      <w:r>
        <w:rPr>
          <w:rFonts w:hint="eastAsia" w:ascii="宋体" w:hAnsi="宋体" w:cs="宋体"/>
          <w:sz w:val="24"/>
          <w:highlight w:val="none"/>
        </w:rPr>
        <w:t>指定地点。</w:t>
      </w:r>
    </w:p>
    <w:p w14:paraId="4D1B8FD0">
      <w:pPr>
        <w:kinsoku w:val="0"/>
        <w:adjustRightInd w:val="0"/>
        <w:snapToGrid w:val="0"/>
        <w:spacing w:line="360" w:lineRule="auto"/>
        <w:ind w:firstLine="600" w:firstLineChars="25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2.交货日期：</w:t>
      </w:r>
      <w:r>
        <w:rPr>
          <w:rFonts w:hint="eastAsia" w:ascii="宋体" w:hAnsi="宋体" w:cs="宋体"/>
          <w:sz w:val="24"/>
          <w:highlight w:val="none"/>
          <w:shd w:val="clear"/>
        </w:rPr>
        <w:t>自合同签订之日起</w:t>
      </w:r>
      <w:r>
        <w:rPr>
          <w:rFonts w:hint="eastAsia" w:ascii="宋体" w:hAnsi="宋体" w:cs="宋体"/>
          <w:sz w:val="24"/>
          <w:highlight w:val="none"/>
          <w:u w:val="single"/>
          <w:shd w:val="clear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highlight w:val="none"/>
          <w:shd w:val="clear"/>
        </w:rPr>
        <w:t>个日历日内到货、安装调试并交付使用</w:t>
      </w:r>
    </w:p>
    <w:p w14:paraId="3A7D99A5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五、运输方式</w:t>
      </w:r>
    </w:p>
    <w:p w14:paraId="0B51B8B2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3DAA4BAB">
      <w:pPr>
        <w:adjustRightInd w:val="0"/>
        <w:snapToGrid w:val="0"/>
        <w:spacing w:line="360" w:lineRule="auto"/>
        <w:ind w:firstLine="480"/>
        <w:rPr>
          <w:rFonts w:hint="eastAsia" w:ascii="宋体" w:hAnsi="宋体" w:cs="宋体"/>
          <w:b w:val="0"/>
          <w:bCs/>
          <w:sz w:val="24"/>
          <w:highlight w:val="none"/>
        </w:rPr>
      </w:pPr>
      <w:r>
        <w:rPr>
          <w:rFonts w:hint="eastAsia" w:ascii="宋体" w:hAnsi="宋体" w:cs="宋体"/>
          <w:bCs/>
          <w:sz w:val="24"/>
          <w:highlight w:val="none"/>
          <w:shd w:val="clear"/>
        </w:rPr>
        <w:t>涉及的商品包装和快递包装，均应符合《商品包装政府采购需求标准（试行）》《快递包装政府采购需求标准（试行）》等要求，包装应适应于远距离运输、防潮、防震、防锈和防野蛮装卸，以确保货物安全无损运抵指定地点。</w:t>
      </w:r>
    </w:p>
    <w:p w14:paraId="3101044B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六、质量保证</w:t>
      </w:r>
    </w:p>
    <w:p w14:paraId="3978CA9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1.乙方提供的产品必须满足招标文件及合同的技术参数要求。</w:t>
      </w:r>
    </w:p>
    <w:p w14:paraId="7710E113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sz w:val="24"/>
          <w:highlight w:val="none"/>
        </w:rPr>
      </w:pPr>
      <w:r>
        <w:rPr>
          <w:rFonts w:hint="eastAsia" w:ascii="宋体" w:hAnsi="宋体" w:cs="宋体"/>
          <w:bCs/>
          <w:sz w:val="24"/>
          <w:highlight w:val="none"/>
        </w:rPr>
        <w:t>2.乙方保证货物应是全新、未曾使用过的、优质工艺及材料制造的产品，并保证所供设备的完整性（包括满足设备完整运行的附件、备件、配套件、技术手册等）。</w:t>
      </w:r>
    </w:p>
    <w:p w14:paraId="4FF9E8C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3.乙方保证所提供的设备质量可靠、进货渠道正规、配置合理、技术性能完全满足招标文件要求。</w:t>
      </w:r>
    </w:p>
    <w:p w14:paraId="3BF247B3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4.乙方应随产品提供检验报告等相关材料。</w:t>
      </w:r>
    </w:p>
    <w:p w14:paraId="26F3916D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5.设备</w:t>
      </w:r>
      <w:r>
        <w:rPr>
          <w:rFonts w:hint="eastAsia" w:ascii="宋体" w:hAnsi="宋体" w:cs="宋体"/>
          <w:bCs/>
          <w:sz w:val="24"/>
          <w:highlight w:val="none"/>
        </w:rPr>
        <w:t>性能未达到招标文件技术参数要求的，甲方有权拒收产品或拒绝验收，乙方可进行限期整改；整改后仍达不到要求的，甲方有权解除合同，保留依法索赔的权利。</w:t>
      </w:r>
    </w:p>
    <w:p w14:paraId="088E900D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七、质保期与承诺</w:t>
      </w:r>
    </w:p>
    <w:p w14:paraId="05246207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>1.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自验收合格之日起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年。</w:t>
      </w:r>
    </w:p>
    <w:p w14:paraId="31DD47AD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sz w:val="24"/>
          <w:highlight w:val="none"/>
        </w:rPr>
      </w:pPr>
      <w:r>
        <w:rPr>
          <w:rFonts w:hint="eastAsia" w:ascii="宋体" w:hAnsi="宋体" w:cs="宋体"/>
          <w:bCs/>
          <w:sz w:val="24"/>
          <w:highlight w:val="none"/>
        </w:rPr>
        <w:t>2.</w:t>
      </w:r>
      <w:r>
        <w:rPr>
          <w:rFonts w:hint="eastAsia" w:ascii="宋体" w:hAnsi="宋体" w:cs="宋体"/>
          <w:bCs/>
          <w:sz w:val="24"/>
          <w:highlight w:val="none"/>
          <w:lang w:val="en-US" w:eastAsia="zh-CN"/>
        </w:rPr>
        <w:t>质量保证期</w:t>
      </w:r>
      <w:r>
        <w:rPr>
          <w:rFonts w:hint="eastAsia" w:ascii="宋体" w:hAnsi="宋体" w:cs="宋体"/>
          <w:bCs/>
          <w:sz w:val="24"/>
          <w:highlight w:val="none"/>
        </w:rPr>
        <w:t>内，若发生产品质量问题，乙方应免费解决；否则，甲方将乙方列入“政府采购联合惩戒黑名单”，并追究法律责任。</w:t>
      </w:r>
    </w:p>
    <w:p w14:paraId="6E72E9F0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八、安装、调试及技术服务</w:t>
      </w:r>
    </w:p>
    <w:p w14:paraId="4765ACB6">
      <w:pPr>
        <w:adjustRightInd w:val="0"/>
        <w:snapToGrid w:val="0"/>
        <w:spacing w:line="360" w:lineRule="auto"/>
        <w:ind w:firstLine="496" w:firstLineChars="207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1.技术资料包括：出厂检测报告、产品使用说明书、合格证等其它相关资料。</w:t>
      </w:r>
    </w:p>
    <w:p w14:paraId="4CE8599E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在质保期内（保修起始日为货到验收合格之日起），乙方在接到用户对所购设备进行维修的要求后，24小时内到用户现场进行维修服务，全部费用由乙方支付，若需将产品送回生产厂，由乙方支付维修设备所需的往返费用。</w:t>
      </w:r>
    </w:p>
    <w:p w14:paraId="753E5F25">
      <w:pPr>
        <w:adjustRightInd w:val="0"/>
        <w:snapToGrid w:val="0"/>
        <w:spacing w:line="360" w:lineRule="auto"/>
        <w:ind w:firstLine="360" w:firstLineChars="15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3.乙方保证设备完全按招标要求提供，若达不到要求，乙方须及时跟甲方沟通协商更换设备，并按照再次验收合格时间相应延长该产品保修期。</w:t>
      </w:r>
    </w:p>
    <w:p w14:paraId="5A56B0B3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九、违约责任：</w:t>
      </w:r>
    </w:p>
    <w:p w14:paraId="14138EDF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1.按《中华人民共和国民法典》中的相关条款执行。</w:t>
      </w:r>
    </w:p>
    <w:p w14:paraId="33B86182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2.若乙方出现不能供货等违约情况，甲方将不退合同金额5%的履约保证金。</w:t>
      </w:r>
    </w:p>
    <w:p w14:paraId="1A7B8E8E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3.未按合同要求提供产品或设备质量不能满足招标的技术要求，甲方有权终止合同，并保留追究乙方违约责任的权利。</w:t>
      </w:r>
    </w:p>
    <w:p w14:paraId="63C58EA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4.因供货期迟延的，乙方按照每天1‰向甲方承担违约责任。</w:t>
      </w:r>
    </w:p>
    <w:p w14:paraId="5A984B87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5.因产品质量问题违约的，除了按照迟延时间计算违约金外，另可以采取退货、换货等方式，由乙方承担一切费用。</w:t>
      </w:r>
    </w:p>
    <w:p w14:paraId="133F913A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十、设备验收</w:t>
      </w:r>
    </w:p>
    <w:p w14:paraId="1125995F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1.设备到货后，乙方负责安装调试，达到正常运行条件后书面通知甲方验收。</w:t>
      </w:r>
    </w:p>
    <w:p w14:paraId="255E407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2.安装完成后应提供详细的安装报告，并详细记录各种指示的实测数据。</w:t>
      </w:r>
    </w:p>
    <w:p w14:paraId="0882B3B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3.提供完整的操作手册和安装、调试、维修手册；提供制造厂家的检验测试报告或设备出厂检测报告。</w:t>
      </w:r>
    </w:p>
    <w:p w14:paraId="4510759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4.甲方根据合同要求对设备进行验收、确认设备的产地、规格、型号和数量。验收依据为</w:t>
      </w:r>
      <w:bookmarkStart w:id="0" w:name="_Toc337393760"/>
      <w:r>
        <w:rPr>
          <w:rFonts w:hint="eastAsia" w:ascii="宋体" w:hAnsi="宋体" w:cs="宋体"/>
          <w:sz w:val="24"/>
          <w:highlight w:val="none"/>
        </w:rPr>
        <w:t>本合同文本、招投标文件和国内相应的标准、规范</w:t>
      </w:r>
      <w:bookmarkEnd w:id="0"/>
      <w:bookmarkStart w:id="1" w:name="_Toc337393761"/>
      <w:r>
        <w:rPr>
          <w:rFonts w:hint="eastAsia" w:ascii="宋体" w:hAnsi="宋体" w:cs="宋体"/>
          <w:sz w:val="24"/>
          <w:highlight w:val="none"/>
        </w:rPr>
        <w:t>。</w:t>
      </w:r>
      <w:bookmarkEnd w:id="1"/>
    </w:p>
    <w:p w14:paraId="725A642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5.验收合格后，填写设备验收单，并向甲方提交设备所包含的所有资料，以便使用单位日后管理和维护。</w:t>
      </w:r>
    </w:p>
    <w:p w14:paraId="3372A1A6"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6.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                </w:t>
      </w:r>
    </w:p>
    <w:p w14:paraId="08CD93C1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十一、合同争议的解决</w:t>
      </w:r>
    </w:p>
    <w:p w14:paraId="534E05F6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37800562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合同执行中发生争议的，甲、乙双方应协商解决，协商达不成一致时，可向甲方所在地人民法院提请诉讼。</w:t>
      </w:r>
    </w:p>
    <w:p w14:paraId="5CF2AAFD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十二、其它事项</w:t>
      </w:r>
    </w:p>
    <w:p w14:paraId="1458EC5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1.甲、乙双方做为合同执行的主体，有义务及时完全履行合同。招标代理机构开瑞项目管理有限公司监督履行。</w:t>
      </w:r>
    </w:p>
    <w:p w14:paraId="3295ABB2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2.甲方使用部门代表学校签署合同，并随时监督合同履行情况。</w:t>
      </w:r>
    </w:p>
    <w:p w14:paraId="4053A4F2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3.合同未尽事宜，由甲、乙双方协商，协商方案作为本合同不可分割的组成部分，与本合同具有同等法律效力。</w:t>
      </w:r>
    </w:p>
    <w:p w14:paraId="50725EB3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4.招标文件和乙方的投标文件以及合同附件均为合同不可分割的部分。</w:t>
      </w:r>
    </w:p>
    <w:p w14:paraId="4AAE603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5.合同一式柒份，甲方持伍份、乙方执壹份。双方签字盖章后生效，合同执行完毕自动失效。（合同的服务承诺长期有效）。</w:t>
      </w:r>
    </w:p>
    <w:p w14:paraId="66C751F4">
      <w:pPr>
        <w:adjustRightInd w:val="0"/>
        <w:snapToGrid w:val="0"/>
        <w:spacing w:line="360" w:lineRule="auto"/>
        <w:ind w:left="479" w:leftChars="228" w:firstLine="0" w:firstLineChars="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highlight w:val="none"/>
        </w:rPr>
        <w:t>6.使用单位收货、验货人员：____________  电话：_______________</w:t>
      </w:r>
      <w:r>
        <w:rPr>
          <w:rFonts w:hint="eastAsia" w:ascii="宋体" w:hAnsi="宋体" w:cs="宋体"/>
          <w:sz w:val="24"/>
          <w:highlight w:val="none"/>
        </w:rPr>
        <w:br w:type="textWrapping"/>
      </w:r>
      <w:r>
        <w:rPr>
          <w:rFonts w:hint="eastAsia" w:ascii="宋体" w:hAnsi="宋体" w:cs="宋体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以下无正文</w:t>
      </w:r>
      <w:r>
        <w:rPr>
          <w:rFonts w:hint="eastAsia" w:ascii="宋体" w:hAnsi="宋体" w:cs="宋体"/>
          <w:sz w:val="24"/>
          <w:highlight w:val="none"/>
          <w:lang w:eastAsia="zh-CN"/>
        </w:rPr>
        <w:t>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3"/>
        <w:gridCol w:w="4857"/>
      </w:tblGrid>
      <w:tr w14:paraId="25678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83AA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甲方：</w:t>
            </w: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西安戏剧学院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15E3D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 xml:space="preserve">乙方： </w:t>
            </w:r>
          </w:p>
        </w:tc>
      </w:tr>
      <w:tr w14:paraId="366AC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04275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地址：</w:t>
            </w: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西安市西咸新区秦汉新城兰池大道369号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D6691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地址：</w:t>
            </w:r>
          </w:p>
        </w:tc>
      </w:tr>
      <w:tr w14:paraId="0AE5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AD8F2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代理人（签字或盖章）：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18A8E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代理人（签字或盖章）：</w:t>
            </w:r>
          </w:p>
        </w:tc>
      </w:tr>
      <w:tr w14:paraId="7133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32C8B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技术确认：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1554B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技术确认：</w:t>
            </w:r>
          </w:p>
        </w:tc>
      </w:tr>
      <w:tr w14:paraId="6D49F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CF028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 xml:space="preserve">联系电话：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9F60E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联系电话：</w:t>
            </w:r>
          </w:p>
        </w:tc>
      </w:tr>
      <w:tr w14:paraId="6BDDC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87C32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开户行：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7B45C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 xml:space="preserve">开户行： </w:t>
            </w:r>
          </w:p>
        </w:tc>
      </w:tr>
      <w:tr w14:paraId="4D2A6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17628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账号：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22EE6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账号：</w:t>
            </w:r>
          </w:p>
        </w:tc>
      </w:tr>
      <w:tr w14:paraId="09D0B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90779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税号：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EA4B3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税号：</w:t>
            </w:r>
          </w:p>
        </w:tc>
      </w:tr>
      <w:tr w14:paraId="5FB0A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6DDC1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日期：     年       月       日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948CC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日期：    年       月       日</w:t>
            </w:r>
          </w:p>
        </w:tc>
      </w:tr>
    </w:tbl>
    <w:p w14:paraId="2F303ADE">
      <w:pPr>
        <w:snapToGrid w:val="0"/>
        <w:spacing w:line="360" w:lineRule="auto"/>
        <w:rPr>
          <w:highlight w:val="none"/>
        </w:rPr>
      </w:pPr>
    </w:p>
    <w:p w14:paraId="4DD28C78">
      <w:pPr>
        <w:rPr>
          <w:highlight w:val="none"/>
        </w:rPr>
      </w:pPr>
    </w:p>
    <w:p w14:paraId="4A5D911A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9A286">
    <w:pPr>
      <w:pStyle w:val="9"/>
      <w:tabs>
        <w:tab w:val="clear" w:pos="4153"/>
        <w:tab w:val="clear" w:pos="8306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937FCE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937FCE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20C311"/>
    <w:multiLevelType w:val="singleLevel"/>
    <w:tmpl w:val="7C20C3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AC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cs="宋体"/>
      <w:sz w:val="24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标题 1 字符"/>
    <w:link w:val="7"/>
    <w:qFormat/>
    <w:uiPriority w:val="0"/>
    <w:rPr>
      <w:rFonts w:hint="eastAsia" w:ascii="宋体" w:hAnsi="宋体"/>
      <w:b/>
      <w:bCs/>
      <w:kern w:val="44"/>
      <w:sz w:val="48"/>
      <w:szCs w:val="48"/>
    </w:rPr>
  </w:style>
  <w:style w:type="paragraph" w:customStyle="1" w:styleId="7">
    <w:name w:val="标题 11"/>
    <w:basedOn w:val="1"/>
    <w:link w:val="6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9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2026-06-26T02:58:54Z</dcterms:created>
  <dc:creator>Administrator</dc:creator>
  <cp:lastModifiedBy>开瑞</cp:lastModifiedBy>
  <dcterms:modified xsi:type="dcterms:W3CDTF">2026-06-26T02:59:12Z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99C0B6FCDBB243A38CB02AF220E5ED5A_12</vt:lpwstr>
  </property>
</Properties>
</file>