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D2D75">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52"/>
          <w:szCs w:val="52"/>
        </w:rPr>
      </w:pPr>
    </w:p>
    <w:p w14:paraId="6EF9B85A">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52"/>
          <w:szCs w:val="52"/>
        </w:rPr>
      </w:pPr>
    </w:p>
    <w:p w14:paraId="1D8DE905">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52"/>
          <w:szCs w:val="52"/>
        </w:rPr>
      </w:pPr>
    </w:p>
    <w:p w14:paraId="1AB0458F">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52"/>
          <w:szCs w:val="52"/>
        </w:rPr>
      </w:pPr>
      <w:r>
        <w:rPr>
          <w:rFonts w:hint="eastAsia" w:ascii="宋体" w:hAnsi="宋体" w:eastAsia="宋体" w:cs="宋体"/>
          <w:b/>
          <w:sz w:val="52"/>
          <w:szCs w:val="52"/>
        </w:rPr>
        <w:t>拟签订采购合同</w:t>
      </w:r>
    </w:p>
    <w:p w14:paraId="1383E806">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6234FF50">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3233DDBF">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2F087EFC">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40BB96CC">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676ABE6B">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64060EE2">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6FE8F291">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59F15243">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1E77C696">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003BCB74">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2078C627">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300C91BF">
      <w:pPr>
        <w:spacing w:line="800" w:lineRule="exact"/>
        <w:outlineLvl w:val="0"/>
        <w:rPr>
          <w:rFonts w:hint="default" w:ascii="宋体" w:hAnsi="宋体" w:eastAsia="Times New Roman" w:cs="宋体"/>
          <w:b/>
          <w:color w:val="auto"/>
          <w:sz w:val="24"/>
          <w:szCs w:val="24"/>
          <w:highlight w:val="none"/>
          <w:u w:val="single"/>
          <w:lang w:val="en-US" w:eastAsia="zh-CN"/>
        </w:rPr>
      </w:pPr>
      <w:bookmarkStart w:id="0" w:name="_Toc25330"/>
      <w:bookmarkStart w:id="1" w:name="_Toc9593"/>
      <w:bookmarkStart w:id="2" w:name="_Toc14129"/>
      <w:r>
        <w:rPr>
          <w:rFonts w:hint="eastAsia" w:ascii="宋体" w:hAnsi="宋体" w:cs="宋体"/>
          <w:b/>
          <w:color w:val="auto"/>
          <w:sz w:val="24"/>
          <w:szCs w:val="24"/>
          <w:highlight w:val="none"/>
          <w:lang w:val="en-US" w:eastAsia="zh-CN"/>
        </w:rPr>
        <w:t>项目</w:t>
      </w:r>
      <w:r>
        <w:rPr>
          <w:rFonts w:hint="eastAsia" w:ascii="宋体" w:hAnsi="宋体" w:cs="宋体"/>
          <w:b/>
          <w:color w:val="auto"/>
          <w:sz w:val="24"/>
          <w:szCs w:val="24"/>
          <w:highlight w:val="none"/>
        </w:rPr>
        <w:t>名称</w:t>
      </w:r>
      <w:r>
        <w:rPr>
          <w:rFonts w:hint="eastAsia" w:ascii="宋体" w:hAnsi="宋体" w:cs="宋体"/>
          <w:b/>
          <w:color w:val="auto"/>
          <w:sz w:val="24"/>
          <w:szCs w:val="24"/>
          <w:highlight w:val="none"/>
          <w:u w:val="single"/>
        </w:rPr>
        <w:t>：</w:t>
      </w:r>
      <w:bookmarkEnd w:id="0"/>
      <w:bookmarkEnd w:id="1"/>
      <w:bookmarkEnd w:id="2"/>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p>
    <w:p w14:paraId="756F900C">
      <w:pPr>
        <w:spacing w:line="800" w:lineRule="exact"/>
        <w:outlineLvl w:val="0"/>
        <w:rPr>
          <w:rFonts w:hint="eastAsia" w:ascii="宋体" w:hAnsi="宋体" w:cs="宋体"/>
          <w:b/>
          <w:color w:val="auto"/>
          <w:sz w:val="24"/>
          <w:szCs w:val="24"/>
          <w:highlight w:val="none"/>
          <w:u w:val="single"/>
          <w:lang w:val="en-US" w:eastAsia="zh-CN"/>
        </w:rPr>
      </w:pPr>
      <w:bookmarkStart w:id="3" w:name="_Toc7189"/>
      <w:bookmarkStart w:id="4" w:name="_Toc13983"/>
      <w:bookmarkStart w:id="5" w:name="_Toc2170"/>
      <w:r>
        <w:rPr>
          <w:rFonts w:hint="eastAsia" w:ascii="宋体" w:hAnsi="宋体" w:cs="宋体"/>
          <w:b/>
          <w:color w:val="auto"/>
          <w:sz w:val="24"/>
          <w:szCs w:val="24"/>
          <w:highlight w:val="none"/>
        </w:rPr>
        <w:t>采购地点：</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3"/>
      <w:bookmarkEnd w:id="4"/>
      <w:bookmarkEnd w:id="5"/>
      <w:bookmarkStart w:id="6" w:name="_Toc27205"/>
      <w:bookmarkStart w:id="7" w:name="_Toc31983"/>
      <w:bookmarkStart w:id="8" w:name="_Toc7460"/>
      <w:r>
        <w:rPr>
          <w:rFonts w:hint="eastAsia" w:ascii="宋体" w:hAnsi="宋体" w:cs="宋体"/>
          <w:b/>
          <w:color w:val="auto"/>
          <w:sz w:val="24"/>
          <w:szCs w:val="24"/>
          <w:highlight w:val="none"/>
          <w:u w:val="single"/>
          <w:lang w:val="en-US" w:eastAsia="zh-CN"/>
        </w:rPr>
        <w:t xml:space="preserve"> </w:t>
      </w:r>
    </w:p>
    <w:p w14:paraId="4787365C">
      <w:pPr>
        <w:spacing w:line="800" w:lineRule="exact"/>
        <w:outlineLvl w:val="0"/>
        <w:rPr>
          <w:rFonts w:hint="eastAsia" w:ascii="宋体" w:hAnsi="宋体" w:cs="宋体"/>
          <w:b/>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项目</w:t>
      </w:r>
      <w:r>
        <w:rPr>
          <w:rFonts w:hint="eastAsia" w:ascii="宋体" w:hAnsi="宋体" w:cs="宋体"/>
          <w:b/>
          <w:color w:val="auto"/>
          <w:sz w:val="24"/>
          <w:szCs w:val="24"/>
          <w:highlight w:val="none"/>
        </w:rPr>
        <w:t>编号：</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6"/>
      <w:bookmarkEnd w:id="7"/>
      <w:bookmarkEnd w:id="8"/>
      <w:bookmarkStart w:id="9" w:name="_Toc30208"/>
      <w:bookmarkStart w:id="10" w:name="_Toc21747"/>
      <w:bookmarkStart w:id="11" w:name="_Toc11669"/>
      <w:r>
        <w:rPr>
          <w:rFonts w:hint="eastAsia" w:ascii="宋体" w:hAnsi="宋体" w:cs="宋体"/>
          <w:b/>
          <w:color w:val="auto"/>
          <w:sz w:val="24"/>
          <w:szCs w:val="24"/>
          <w:highlight w:val="none"/>
          <w:u w:val="single"/>
          <w:lang w:val="en-US" w:eastAsia="zh-CN"/>
        </w:rPr>
        <w:t xml:space="preserve"> </w:t>
      </w:r>
    </w:p>
    <w:p w14:paraId="3F6EF9EE">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eastAsia="Times New Roman" w:cs="宋体"/>
          <w:b/>
          <w:color w:val="auto"/>
          <w:sz w:val="24"/>
          <w:szCs w:val="24"/>
          <w:highlight w:val="none"/>
          <w:u w:val="single"/>
        </w:rPr>
      </w:pPr>
      <w:r>
        <w:rPr>
          <w:rFonts w:hint="eastAsia" w:ascii="宋体" w:hAnsi="宋体" w:eastAsia="宋体" w:cs="宋体"/>
          <w:b/>
          <w:color w:val="auto"/>
          <w:sz w:val="24"/>
          <w:szCs w:val="24"/>
          <w:highlight w:val="none"/>
          <w:lang w:val="en-US" w:eastAsia="zh-CN"/>
        </w:rPr>
        <w:t>采购人</w:t>
      </w:r>
      <w:r>
        <w:rPr>
          <w:rFonts w:hint="eastAsia" w:ascii="宋体" w:hAnsi="宋体" w:cs="宋体"/>
          <w:b/>
          <w:color w:val="auto"/>
          <w:sz w:val="24"/>
          <w:szCs w:val="24"/>
          <w:highlight w:val="none"/>
        </w:rPr>
        <w:t>（以下简称甲方）：</w:t>
      </w:r>
      <w:r>
        <w:rPr>
          <w:rFonts w:hint="eastAsia" w:ascii="宋体" w:hAnsi="宋体" w:eastAsia="Times New Roman" w:cs="宋体"/>
          <w:b/>
          <w:color w:val="auto"/>
          <w:sz w:val="24"/>
          <w:szCs w:val="24"/>
          <w:highlight w:val="none"/>
          <w:u w:val="single"/>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rPr>
        <w:t xml:space="preserve"> </w:t>
      </w:r>
      <w:bookmarkEnd w:id="9"/>
      <w:bookmarkEnd w:id="10"/>
      <w:bookmarkEnd w:id="11"/>
      <w:bookmarkStart w:id="12" w:name="_Toc29112"/>
      <w:bookmarkStart w:id="13" w:name="_Toc31229"/>
      <w:bookmarkStart w:id="14" w:name="_Toc30535"/>
    </w:p>
    <w:p w14:paraId="03A2F7AD">
      <w:pPr>
        <w:spacing w:line="800" w:lineRule="exact"/>
        <w:outlineLvl w:val="0"/>
        <w:rPr>
          <w:rFonts w:hint="eastAsia"/>
          <w:color w:val="auto"/>
        </w:rPr>
      </w:pPr>
      <w:r>
        <w:rPr>
          <w:rFonts w:hint="eastAsia" w:ascii="宋体" w:hAnsi="宋体" w:eastAsia="宋体" w:cs="宋体"/>
          <w:b/>
          <w:color w:val="auto"/>
          <w:sz w:val="24"/>
          <w:szCs w:val="24"/>
          <w:highlight w:val="none"/>
          <w:lang w:val="en-US" w:eastAsia="zh-CN"/>
        </w:rPr>
        <w:t>供应商</w:t>
      </w:r>
      <w:r>
        <w:rPr>
          <w:rFonts w:hint="eastAsia" w:ascii="宋体" w:hAnsi="宋体" w:cs="宋体"/>
          <w:b/>
          <w:color w:val="auto"/>
          <w:sz w:val="24"/>
          <w:szCs w:val="24"/>
          <w:highlight w:val="none"/>
        </w:rPr>
        <w:t>（以下简称乙方）：</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2"/>
      <w:bookmarkEnd w:id="13"/>
      <w:bookmarkEnd w:id="14"/>
    </w:p>
    <w:p w14:paraId="2D6520D6">
      <w:pPr>
        <w:spacing w:line="800" w:lineRule="exact"/>
        <w:outlineLvl w:val="0"/>
        <w:rPr>
          <w:rFonts w:hint="eastAsia" w:ascii="宋体" w:hAnsi="宋体" w:eastAsia="宋体" w:cs="宋体"/>
          <w:b/>
          <w:color w:val="auto"/>
          <w:sz w:val="24"/>
          <w:szCs w:val="24"/>
          <w:highlight w:val="none"/>
          <w:u w:val="single"/>
          <w:lang w:val="en-US" w:eastAsia="zh-CN"/>
        </w:rPr>
      </w:pPr>
      <w:bookmarkStart w:id="15" w:name="_Toc12306"/>
      <w:bookmarkStart w:id="16" w:name="_Toc8296"/>
      <w:bookmarkStart w:id="17" w:name="_Toc31718"/>
      <w:r>
        <w:rPr>
          <w:rFonts w:hint="eastAsia" w:ascii="宋体" w:hAnsi="宋体" w:cs="宋体"/>
          <w:b/>
          <w:color w:val="auto"/>
          <w:sz w:val="24"/>
          <w:szCs w:val="24"/>
          <w:highlight w:val="none"/>
        </w:rPr>
        <w:t>签订日期：</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5"/>
      <w:bookmarkEnd w:id="16"/>
      <w:bookmarkEnd w:id="17"/>
      <w:r>
        <w:rPr>
          <w:rFonts w:hint="eastAsia" w:ascii="宋体" w:hAnsi="宋体" w:cs="宋体"/>
          <w:b/>
          <w:color w:val="auto"/>
          <w:sz w:val="24"/>
          <w:szCs w:val="24"/>
          <w:highlight w:val="none"/>
          <w:u w:val="single"/>
          <w:lang w:val="en-US" w:eastAsia="zh-CN"/>
        </w:rPr>
        <w:t xml:space="preserve"> </w:t>
      </w:r>
    </w:p>
    <w:p w14:paraId="4D416B69">
      <w:pPr>
        <w:pStyle w:val="11"/>
        <w:keepNext w:val="0"/>
        <w:keepLines w:val="0"/>
        <w:pageBreakBefore w:val="0"/>
        <w:widowControl/>
        <w:wordWrap/>
        <w:overflowPunct/>
        <w:topLinePunct w:val="0"/>
        <w:bidi w:val="0"/>
        <w:spacing w:line="520" w:lineRule="exact"/>
        <w:jc w:val="center"/>
        <w:outlineLvl w:val="1"/>
        <w:rPr>
          <w:rFonts w:hint="eastAsia" w:ascii="宋体" w:hAnsi="宋体" w:eastAsia="宋体" w:cs="宋体"/>
          <w:b/>
          <w:sz w:val="28"/>
          <w:szCs w:val="28"/>
        </w:rPr>
      </w:pPr>
    </w:p>
    <w:p w14:paraId="65CB26BA">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kern w:val="0"/>
          <w:sz w:val="28"/>
          <w:szCs w:val="28"/>
          <w:lang w:val="en-US" w:eastAsia="zh-CN" w:bidi="ar"/>
        </w:rPr>
      </w:pPr>
    </w:p>
    <w:p w14:paraId="43C3597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委托方（甲方）： </w:t>
      </w:r>
    </w:p>
    <w:p w14:paraId="5ED52905">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服务方（乙方）：</w:t>
      </w:r>
    </w:p>
    <w:p w14:paraId="440CEC6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依据《中华人民共和国民法典》及相关法律法规，甲乙双方本着平等自愿、公平诚信、等价有偿的原则，就健康管理中心运营服务事宜经充分协商，达成一致意见，订立本合同，以资共同信守。</w:t>
      </w:r>
    </w:p>
    <w:p w14:paraId="72B274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一、项目名称</w:t>
      </w:r>
      <w:r>
        <w:rPr>
          <w:rFonts w:hint="eastAsia" w:ascii="宋体" w:hAnsi="宋体" w:eastAsia="宋体" w:cs="宋体"/>
          <w:color w:val="000000"/>
          <w:sz w:val="28"/>
          <w:szCs w:val="28"/>
          <w:lang w:eastAsia="zh-CN"/>
        </w:rPr>
        <w:t>：</w:t>
      </w:r>
      <w:r>
        <w:rPr>
          <w:rFonts w:hint="eastAsia" w:ascii="宋体" w:hAnsi="宋体" w:eastAsia="宋体" w:cs="宋体"/>
          <w:b w:val="0"/>
          <w:bCs w:val="0"/>
          <w:color w:val="000000"/>
          <w:kern w:val="0"/>
          <w:sz w:val="28"/>
          <w:szCs w:val="28"/>
          <w:u w:val="single"/>
          <w:lang w:val="en-US" w:eastAsia="zh-CN" w:bidi="ar"/>
        </w:rPr>
        <w:t>健康管理中心运营服务项目</w:t>
      </w:r>
    </w:p>
    <w:p w14:paraId="7927C1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二、服务地点</w:t>
      </w:r>
      <w:r>
        <w:rPr>
          <w:rFonts w:hint="eastAsia" w:ascii="宋体" w:hAnsi="宋体" w:eastAsia="宋体" w:cs="宋体"/>
          <w:color w:val="000000"/>
          <w:sz w:val="28"/>
          <w:szCs w:val="28"/>
          <w:lang w:eastAsia="zh-CN"/>
        </w:rPr>
        <w:t>：</w:t>
      </w:r>
      <w:r>
        <w:rPr>
          <w:rFonts w:hint="eastAsia" w:ascii="宋体" w:hAnsi="宋体" w:eastAsia="宋体" w:cs="宋体"/>
          <w:b w:val="0"/>
          <w:bCs w:val="0"/>
          <w:color w:val="000000"/>
          <w:kern w:val="0"/>
          <w:sz w:val="28"/>
          <w:szCs w:val="28"/>
          <w:u w:val="single"/>
          <w:lang w:val="en-US" w:eastAsia="zh-CN" w:bidi="ar"/>
        </w:rPr>
        <w:t>甲方指定地点（健康管理中心及甲方指定的其他工作场所）</w:t>
      </w:r>
    </w:p>
    <w:p w14:paraId="565D57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b w:val="0"/>
          <w:bCs w:val="0"/>
          <w:snapToGrid w:val="0"/>
          <w:color w:val="000000"/>
          <w:kern w:val="0"/>
          <w:sz w:val="28"/>
          <w:szCs w:val="28"/>
          <w:lang w:val="en-US" w:eastAsia="zh-CN" w:bidi="ar"/>
        </w:rPr>
      </w:pPr>
      <w:r>
        <w:rPr>
          <w:rFonts w:hint="eastAsia" w:ascii="宋体" w:hAnsi="宋体" w:eastAsia="宋体" w:cs="宋体"/>
          <w:color w:val="000000"/>
          <w:sz w:val="28"/>
          <w:szCs w:val="28"/>
        </w:rPr>
        <w:t>三、服务期限</w:t>
      </w:r>
      <w:r>
        <w:rPr>
          <w:rFonts w:hint="eastAsia" w:ascii="宋体" w:hAnsi="宋体" w:eastAsia="宋体" w:cs="宋体"/>
          <w:color w:val="000000"/>
          <w:sz w:val="28"/>
          <w:szCs w:val="28"/>
          <w:lang w:eastAsia="zh-CN"/>
        </w:rPr>
        <w:t>：</w:t>
      </w:r>
      <w:r>
        <w:rPr>
          <w:rFonts w:hint="eastAsia" w:ascii="宋体" w:hAnsi="宋体" w:eastAsia="宋体" w:cs="宋体"/>
          <w:b w:val="0"/>
          <w:bCs w:val="0"/>
          <w:snapToGrid w:val="0"/>
          <w:color w:val="000000"/>
          <w:kern w:val="0"/>
          <w:sz w:val="28"/>
          <w:szCs w:val="28"/>
          <w:lang w:val="en-US" w:eastAsia="zh-CN" w:bidi="ar"/>
        </w:rPr>
        <w:t>自</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年</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月</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日起至</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年</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月</w:t>
      </w:r>
      <w:r>
        <w:rPr>
          <w:rFonts w:hint="eastAsia" w:ascii="宋体" w:hAnsi="宋体" w:eastAsia="宋体" w:cs="宋体"/>
          <w:b w:val="0"/>
          <w:bCs w:val="0"/>
          <w:snapToGrid w:val="0"/>
          <w:color w:val="000000"/>
          <w:kern w:val="0"/>
          <w:sz w:val="28"/>
          <w:szCs w:val="28"/>
          <w:u w:val="single"/>
          <w:lang w:val="en-US" w:eastAsia="zh-CN" w:bidi="ar"/>
        </w:rPr>
        <w:t xml:space="preserve">    </w:t>
      </w:r>
      <w:r>
        <w:rPr>
          <w:rFonts w:hint="eastAsia" w:ascii="宋体" w:hAnsi="宋体" w:eastAsia="宋体" w:cs="宋体"/>
          <w:b w:val="0"/>
          <w:bCs w:val="0"/>
          <w:snapToGrid w:val="0"/>
          <w:color w:val="000000"/>
          <w:kern w:val="0"/>
          <w:sz w:val="28"/>
          <w:szCs w:val="28"/>
          <w:lang w:val="en-US" w:eastAsia="zh-CN" w:bidi="ar"/>
        </w:rPr>
        <w:t>日止；服务期限共计</w:t>
      </w:r>
      <w:r>
        <w:rPr>
          <w:rFonts w:hint="eastAsia" w:ascii="宋体" w:hAnsi="宋体" w:eastAsia="宋体" w:cs="宋体"/>
          <w:b w:val="0"/>
          <w:bCs w:val="0"/>
          <w:snapToGrid w:val="0"/>
          <w:color w:val="000000"/>
          <w:kern w:val="0"/>
          <w:sz w:val="28"/>
          <w:szCs w:val="28"/>
          <w:u w:val="single"/>
          <w:lang w:val="en-US" w:eastAsia="zh-CN" w:bidi="ar"/>
        </w:rPr>
        <w:t>壹</w:t>
      </w:r>
      <w:r>
        <w:rPr>
          <w:rFonts w:hint="eastAsia" w:ascii="宋体" w:hAnsi="宋体" w:eastAsia="宋体" w:cs="宋体"/>
          <w:b w:val="0"/>
          <w:bCs w:val="0"/>
          <w:snapToGrid w:val="0"/>
          <w:color w:val="000000"/>
          <w:kern w:val="0"/>
          <w:sz w:val="28"/>
          <w:szCs w:val="28"/>
          <w:lang w:val="en-US" w:eastAsia="zh-CN" w:bidi="ar"/>
        </w:rPr>
        <w:t>年。乙方未征得甲方书面同意和谅解，单方面停止提供本合同约定服务的，视为违约终止合同，甲方有权追究乙方违约责任。乙方遇到不可抗力或其他可能妨碍正常提供服务的情况，应当在 24 小时内以书面形式通知甲方，详细说明事由、预计延误的期限等相关信息；甲方在收到通知后 3 个工作日内完成情况评估，并与乙方协商确定是否修改合同、酌情延长服务期限或加收误期赔偿金。</w:t>
      </w:r>
    </w:p>
    <w:p w14:paraId="63A5F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四、合同价款</w:t>
      </w:r>
    </w:p>
    <w:p w14:paraId="31F2354F">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合同总价（含税）：人民币</w:t>
      </w:r>
      <w:r>
        <w:rPr>
          <w:rStyle w:val="8"/>
          <w:rFonts w:hint="eastAsia" w:ascii="宋体" w:hAnsi="宋体" w:eastAsia="宋体" w:cs="宋体"/>
          <w:b/>
          <w:bCs/>
          <w:color w:val="000000"/>
          <w:kern w:val="0"/>
          <w:sz w:val="28"/>
          <w:szCs w:val="28"/>
          <w:u w:val="single"/>
          <w:lang w:val="en-US" w:eastAsia="zh-CN" w:bidi="ar"/>
        </w:rPr>
        <w:t xml:space="preserve">     </w:t>
      </w:r>
      <w:r>
        <w:rPr>
          <w:rStyle w:val="8"/>
          <w:rFonts w:hint="eastAsia" w:ascii="宋体" w:hAnsi="宋体" w:eastAsia="宋体" w:cs="宋体"/>
          <w:b/>
          <w:bCs/>
          <w:color w:val="000000"/>
          <w:kern w:val="0"/>
          <w:sz w:val="28"/>
          <w:szCs w:val="28"/>
          <w:lang w:val="en-US" w:eastAsia="zh-CN" w:bidi="ar"/>
        </w:rPr>
        <w:t>元整（¥</w:t>
      </w:r>
      <w:r>
        <w:rPr>
          <w:rStyle w:val="8"/>
          <w:rFonts w:hint="eastAsia" w:ascii="宋体" w:hAnsi="宋体" w:eastAsia="宋体" w:cs="宋体"/>
          <w:b/>
          <w:bCs/>
          <w:color w:val="000000"/>
          <w:kern w:val="0"/>
          <w:sz w:val="28"/>
          <w:szCs w:val="28"/>
          <w:u w:val="single"/>
          <w:lang w:val="en-US" w:eastAsia="zh-CN" w:bidi="ar"/>
        </w:rPr>
        <w:t xml:space="preserve">       </w:t>
      </w:r>
      <w:r>
        <w:rPr>
          <w:rStyle w:val="8"/>
          <w:rFonts w:hint="eastAsia" w:ascii="宋体" w:hAnsi="宋体" w:eastAsia="宋体" w:cs="宋体"/>
          <w:b/>
          <w:bCs/>
          <w:color w:val="000000"/>
          <w:kern w:val="0"/>
          <w:sz w:val="28"/>
          <w:szCs w:val="28"/>
          <w:lang w:val="en-US" w:eastAsia="zh-CN" w:bidi="ar"/>
        </w:rPr>
        <w:t>元）</w:t>
      </w:r>
      <w:r>
        <w:rPr>
          <w:rFonts w:hint="eastAsia" w:ascii="宋体" w:hAnsi="宋体" w:eastAsia="宋体" w:cs="宋体"/>
          <w:color w:val="000000"/>
          <w:kern w:val="0"/>
          <w:sz w:val="28"/>
          <w:szCs w:val="28"/>
          <w:lang w:val="en-US" w:eastAsia="zh-CN" w:bidi="ar"/>
        </w:rPr>
        <w:t>。本合同价款为固定总价，包含服务期内的策划费、设计费、制作费、人工费、物料费、运输费、修改费、维护费、税费及其他所有相关费用，在合同执行过程中固定不变，不受市场价格变化等任何因素影响。</w:t>
      </w:r>
    </w:p>
    <w:p w14:paraId="0A8A5A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五、结算方式</w:t>
      </w:r>
    </w:p>
    <w:p w14:paraId="6B4CDA8E">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1.结算与发票：</w:t>
      </w:r>
      <w:r>
        <w:rPr>
          <w:rFonts w:hint="eastAsia" w:ascii="宋体" w:hAnsi="宋体" w:eastAsia="宋体" w:cs="宋体"/>
          <w:color w:val="000000"/>
          <w:kern w:val="0"/>
          <w:sz w:val="28"/>
          <w:szCs w:val="28"/>
          <w:lang w:val="en-US" w:eastAsia="zh-CN" w:bidi="ar"/>
        </w:rPr>
        <w:t>甲方自行完成结算工作，乙方每次申请付款前，必须向甲方开具等额、合法、有效的增值税正式发票，发票开具信息需严格按照甲方要求执行。若因乙方未及时开票或开票信息有误导致付款延迟，甲方不承担违约责任。</w:t>
      </w:r>
    </w:p>
    <w:p w14:paraId="2A0906C5">
      <w:pPr>
        <w:keepNext w:val="0"/>
        <w:keepLines w:val="0"/>
        <w:pageBreakBefore w:val="0"/>
        <w:widowControl/>
        <w:suppressLineNumbers w:val="0"/>
        <w:wordWrap/>
        <w:overflowPunct/>
        <w:topLinePunct w:val="0"/>
        <w:bidi w:val="0"/>
        <w:spacing w:line="520" w:lineRule="exact"/>
        <w:ind w:firstLine="562" w:firstLineChars="200"/>
        <w:jc w:val="left"/>
        <w:rPr>
          <w:rFonts w:hint="eastAsia" w:ascii="宋体" w:hAnsi="宋体" w:eastAsia="宋体" w:cs="宋体"/>
          <w:b w:val="0"/>
          <w:bCs w:val="0"/>
          <w:snapToGrid w:val="0"/>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2.付款方式</w:t>
      </w:r>
      <w:r>
        <w:rPr>
          <w:rFonts w:hint="eastAsia" w:ascii="宋体" w:hAnsi="宋体" w:eastAsia="宋体" w:cs="宋体"/>
          <w:color w:val="000000"/>
          <w:kern w:val="0"/>
          <w:sz w:val="28"/>
          <w:szCs w:val="28"/>
          <w:lang w:val="en-US" w:eastAsia="zh-CN" w:bidi="ar"/>
        </w:rPr>
        <w:t>：</w:t>
      </w:r>
      <w:r>
        <w:rPr>
          <w:rFonts w:hint="eastAsia" w:ascii="宋体" w:hAnsi="宋体" w:eastAsia="宋体" w:cs="宋体"/>
          <w:b w:val="0"/>
          <w:bCs w:val="0"/>
          <w:snapToGrid w:val="0"/>
          <w:color w:val="000000"/>
          <w:kern w:val="0"/>
          <w:sz w:val="28"/>
          <w:szCs w:val="28"/>
          <w:lang w:val="en-US" w:eastAsia="zh-CN" w:bidi="ar"/>
        </w:rPr>
        <w:t>合同签订后且乙方提交完整的项目整体服务方案并经甲方验收通过后 ，达到付款条件起30日内，支付合同总金额的20.00%。 服务期满6个月且甲方完成中期服务质量考核，考核结果为合格 ，达到付款条件起30日内，支付合同总金额的30.00%； 本合同服务期限届满，甲方完成整体服务验收且验收合格后 ，达到付款条件起30日内，支付合同总金额的50.00% 。</w:t>
      </w:r>
    </w:p>
    <w:p w14:paraId="265A70F9">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3.乙方收款账户</w:t>
      </w:r>
    </w:p>
    <w:p w14:paraId="48B14433">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账户名称： </w:t>
      </w:r>
    </w:p>
    <w:p w14:paraId="538C6A6D">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开户银行： </w:t>
      </w:r>
    </w:p>
    <w:p w14:paraId="3017421B">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银行账号： </w:t>
      </w:r>
    </w:p>
    <w:p w14:paraId="157478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六、服务质量保证</w:t>
      </w:r>
    </w:p>
    <w:p w14:paraId="48CA541B">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乙方应严格按照本合同约定、甲方采购需求及双方书面确认的各类方案开展服务工作，甲方在服务过程中履行配合、监督、管理及验收的职责。</w:t>
      </w:r>
    </w:p>
    <w:p w14:paraId="41F1F6D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在服务期内，若甲方发现乙方提供的服务内容、服务质量、成果交付等任何一项与合同约定不符，有权在发现问题后以书面形式向乙方提出整改、返工或索赔要求，乙方须在甲方要求的时限内完成整改或返工，相关费用由乙方自行承担。</w:t>
      </w:r>
    </w:p>
    <w:p w14:paraId="7B7DC5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七、服务内容</w:t>
      </w:r>
    </w:p>
    <w:p w14:paraId="3209F04D">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乙方在本合同服务期内，为甲方提供宣传册策划设计制作、新媒体宣传策划设计制作、宣传片策划拍摄制作及配套运营服务，且必须完成各项量化指标，具体服务内容如下：</w:t>
      </w:r>
    </w:p>
    <w:p w14:paraId="21FFDD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（一）宣传册策划、设计、制作服务</w:t>
      </w:r>
    </w:p>
    <w:p w14:paraId="58F90F14">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策划周期：合同签订后 15 个工作日内，乙方完成宣传册整体策划方案（含内容框架、核心卖点提炼、受众定位等）并提交甲方审核；若方案审核未通过，乙方需在 3 个工作日内修改完善，直至通过甲方审核。</w:t>
      </w:r>
    </w:p>
    <w:p w14:paraId="1CE96288">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设计要求：宣传册常规按 A4 规格（210mm×285mm）设计，确需调整尺寸的，需提前征得甲方书面同意；设计稿分辨率不低于 300dpi，色彩模式为 CMYK；正文字号不低于 8pt，推荐使用黑体；页边距≥10mm，使用 8px 基线网格系统，保证多页版面对齐统一。</w:t>
      </w:r>
    </w:p>
    <w:p w14:paraId="250A8FAF">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制作要求：制作数量为 1500 册；封面采用不低于 250g 纸张，内页采用不低于 180g 铜版纸，双面印刷，纸张质量符合国家相关标准，无异味、无破损、无脱页；印刷清晰、字迹工整、色彩均匀，无漏印、重印、错印现象，封面特殊工艺选择需征得甲方书面同意。</w:t>
      </w:r>
    </w:p>
    <w:p w14:paraId="770C917A">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交付要求：宣传册印刷制作完成后，乙方在 3 个工作日内将成品送达甲方指定地点，确保每册无质量问题；若存在质量问题，乙方需在 2 个工作日内无条件更换。</w:t>
      </w:r>
    </w:p>
    <w:p w14:paraId="4F7FBA53">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更新维护：服务期内，若甲方团检业务、套餐内容等发生变更，乙方免费提供宣传册内容更新设计服务，更新后的制作费用包含在合同总价款内，无需额外支付。</w:t>
      </w:r>
    </w:p>
    <w:p w14:paraId="1FA38AF1">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交付成果：乙方需向甲方提交宣传册可编辑的源文件（PSD/AI 格式）及高清印刷用 PDF 文件。</w:t>
      </w:r>
    </w:p>
    <w:p w14:paraId="37FADB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（二）新媒体宣传策划、设计、制作服务</w:t>
      </w:r>
    </w:p>
    <w:p w14:paraId="3D95ED64">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策划周期：合同签订后 10 个工作日内，乙方完成抖音、小红书、今日头条各平台年度宣传策划方案（含年度宣传主题、月度宣传重点、内容矩阵、推广策略、目标指标等）并提交甲方审核；若方案审核未通过，乙方需在 3 个工作日内修改完善，直至通过甲方审核后执行。</w:t>
      </w:r>
    </w:p>
    <w:p w14:paraId="5D9ABA22">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量化指标要求：（1）抖音：年度发布作品不少于 144 条（每月不少于 12 条），账号粉丝年度增长不少于 5000 人，单条作品平均播放量不低于 1000 次，年度累计播放量不低于 150 万次；（2）小红书：年度发布作品不少于 120 条（每月不少于 10 条），账号粉丝年度增长不少于 3000 人，单条作品平均曝光量不低于 800 次，年度累计曝光量不低于 100 万次，收藏 + 点赞量累计不低于 1 万次；（3）今日头条：年度发布文章 / 视频不少于 120 篇（每月不少于 10 篇），账号粉丝年度增长不少于 2000 人，单篇平均阅读量不低于 500 次，年度累计阅读量不低于 60 万次。</w:t>
      </w:r>
    </w:p>
    <w:p w14:paraId="49B8800A">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内容要求：围绕甲方团检业务展开，内容包括但不限于团检套餐解读、体检知识科普、专家介绍、服务流程展示、客户案例分享等，内容真实、合规，符合医疗行业宣传规范，无虚假宣传、夸大宣传等情形。</w:t>
      </w:r>
    </w:p>
    <w:p w14:paraId="0786B00C">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制作要求：（1）抖音作品：以短视频为主，时长 15-60 秒，重点内容可制作 1-3 分钟长视频；分辨率不低于 1080P，帧率 25fps，画面清晰稳定、无抖动模糊、无杂音，色彩还原准确；封面简洁明了、突出核心内容，搭配醒目文字；剪辑流畅、转场自然，添加无版权纠纷的背景音乐，字幕清晰准确。（2）小红书作品：形式为图文（图片 + 文字）或短视频，图文作品图片不少于 3 张，短视频时长 15-30 秒；图片分辨率不低于 300dpi，画面清晰美观、贴合主题、无水印，色彩搭配协调；文字简洁精炼、重点突出，字数控制在 50-300 字，每次发布搭配不少于 3 个与内容相关的话题标签。（3）今日头条作品：形式为图文文章或视频，图文文章字数不少于 500 字，逻辑清晰、层次分明；视频制作标准同抖音长视频要求；图文文章排版美观、段落清晰，重点内容可加粗标注。</w:t>
      </w:r>
    </w:p>
    <w:p w14:paraId="388D4B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（三）宣传片策划、拍摄、制作服务</w:t>
      </w:r>
    </w:p>
    <w:p w14:paraId="291BE856">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内容要求：策划、拍摄、制作一部反映甲方健康管理中心实力的综合宣传片，围绕团检业务核心优势，展现科室实力、体检设备、专家团队、服务流程、客户体验等内容，主题鲜明、逻辑清晰、富有感染力，有效提升科室品牌形象和市场影响力；宣传片时长控制在 3-5 分钟，确需调整的，需征得甲方书面同意。</w:t>
      </w:r>
    </w:p>
    <w:p w14:paraId="4F2BBD29">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脚本策划：乙方需向甲方提供详细的宣传片创意策划方案及分镜头脚本，经甲方审核通过后开展拍摄工作。</w:t>
      </w:r>
    </w:p>
    <w:p w14:paraId="22E31C2E">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拍摄要求：使用 4K 及以上电影级设备拍摄，配备专业灯光、收音团队；拍摄内容需包含航拍镜头、微距镜头（设备细节），确保画面清晰、声音清晰，无杂音、无抖动。</w:t>
      </w:r>
    </w:p>
    <w:p w14:paraId="303C05A2">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人员要求：配备专业拍摄团队，至少包含导演 1 名、摄影师 1 名、灯光师 1 名；可根据甲方需求安排演员，演员费用包含在合同总价款内，演员形象需贴合医院专业形象。</w:t>
      </w:r>
    </w:p>
    <w:p w14:paraId="64ABAC31">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配音与配乐：聘请省级以上电视台专业播音员进行配音，使用原创或正版授权的背景音乐，无版权纠纷。</w:t>
      </w:r>
    </w:p>
    <w:p w14:paraId="1C90941D">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交付成果：向甲方提交无水印成片（MP4/MOV 格式，提供 4K 及 1080P 双版本），并提交所有拍摄的 4K 原始素材（精选版）。</w:t>
      </w:r>
    </w:p>
    <w:p w14:paraId="0EDA731B">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后续维护：服务期内，若甲方健康管理中心业务发生重大变更，乙方免费提供宣传片简单修改服务（如字幕更新、片段调整等）；若需重大修改，双方另行协商。</w:t>
      </w:r>
    </w:p>
    <w:p w14:paraId="38E43C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（四）配套运营服务</w:t>
      </w:r>
    </w:p>
    <w:p w14:paraId="57AB9FB8">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为甲方团检业务提供品牌推广、市场拓展相关支持，配合甲方开展团检客户开发工作；</w:t>
      </w:r>
    </w:p>
    <w:p w14:paraId="76006959">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及时响应团检客户的咨询需求，提供专业的解答服务；</w:t>
      </w:r>
    </w:p>
    <w:p w14:paraId="0AAE4847">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按甲方要求，定期统计各新媒体平台运营数据、宣传物料使用效果，形成月度数据分析报告提交甲方；</w:t>
      </w:r>
    </w:p>
    <w:p w14:paraId="60EA81B2">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配合甲方完成各类宣传物料的使用、线下活动执行及宣传效果复盘工作。</w:t>
      </w:r>
    </w:p>
    <w:p w14:paraId="370A83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八、服务质量要求</w:t>
      </w:r>
    </w:p>
    <w:p w14:paraId="34C9C8E2">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乙方提供的所有服务成果（宣传册、新媒体作品、宣传片等）均需符合国家相关标准、医疗行业宣传规范及本合同约定要求，确保质量合格，无违规、虚假、侵权等内容。</w:t>
      </w:r>
    </w:p>
    <w:p w14:paraId="0E67A351">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响应时效要求：工作日内，甲方以书面或口头形式提出服务需求后，乙方需在 2 小时内响应，24 小时内给出初步解决方案；若为复杂需求，乙方可适当延长解决方案提供时间，但需提前书面告知甲方并说明理由。</w:t>
      </w:r>
    </w:p>
    <w:p w14:paraId="062DAFA0">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质量整改要求：若甲方对服务成果提出质量异议，乙方需无条件进行修改、重制，直至达到甲方满意标准，相关修改、重制费用由乙方自行承担，且不得因此延误服务期限。</w:t>
      </w:r>
    </w:p>
    <w:p w14:paraId="3BE891FF">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制度建立要求：乙方需建立完善的服务管理制度，包括工作报告制度、工作流程规范、成果归档制度、保密管理制度、舆情应对预案等，确保服务规范化开展。</w:t>
      </w:r>
    </w:p>
    <w:p w14:paraId="4F929F01">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舆情防控要求：服务期内，乙方需确保所有宣传内容、发布作品合规，无舆情风险；若因乙方原因引发舆情，乙方需第一时间配合甲方处理，承担全部责任及相关费用。</w:t>
      </w:r>
    </w:p>
    <w:p w14:paraId="54DA0C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九、服务团队要求</w:t>
      </w:r>
    </w:p>
    <w:p w14:paraId="51BA085B">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乙方需成立本项目专项服务团队，专人专岗负责本合同约定服务，团队人员最低配置要求：项目负责人 1 名（全程对接甲方，处理项目日常事宜）、驻场设计人员 1 名（在甲方指定地点驻场工作）、策划人员不少于 2 名、设计人员不少于 2 名、制作人员不少于 3 名。</w:t>
      </w:r>
    </w:p>
    <w:p w14:paraId="3388B72E">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团队核心成员（项目负责人、策划骨干、设计骨干、制作骨干）需具备不低于 2 年的相关行业工作经验，优先配备具有医疗宣传、健康管理相关服务经验的人员。</w:t>
      </w:r>
    </w:p>
    <w:p w14:paraId="0949741A">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乙方需向甲方提供服务团队所有成员的简历、从业资格证明或工作经验证明，经甲方确认后备案。</w:t>
      </w:r>
    </w:p>
    <w:p w14:paraId="6D0B7E18">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服务期内，乙方需保持服务团队稳定性，不得擅自更换团队核心成员；若确需更换，需提前 7 个工作日以书面形式通知甲方，说明更换原因及新成员资质情况，经甲方书面同意后方可更换，并完成工作交接，确保服务不受影响。</w:t>
      </w:r>
    </w:p>
    <w:p w14:paraId="4D24F4FD">
      <w:pPr>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驻场设计人员需严格遵守甲方的工作纪律、管理制度，按时到岗，配合甲方完成现场设计、对接等工作。</w:t>
      </w:r>
    </w:p>
    <w:p w14:paraId="7D21C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十、服务流程要求</w:t>
      </w:r>
    </w:p>
    <w:p w14:paraId="46DFC431">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甲方根据工作需要，以《服务需求单》或《工作任务单》的形式向乙方下达具体工作要求，明确工作内容、完成时限、质量标准等。</w:t>
      </w:r>
    </w:p>
    <w:p w14:paraId="3B0F7D65">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在收到甲方的《服务需求单》或《工作任务单》后，需在半小时内予以确认；若对完成时间、工作内容等有异议，需在半小时内与甲方沟通协商；逾期未确认且未提出异议的，视为认可单据内容，需严格按照单据要求在规定时限内完成工作。</w:t>
      </w:r>
    </w:p>
    <w:p w14:paraId="666592FA">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乙方完成工作后，需及时向甲方提交成果验收申请及相关成果资料，甲方按照合同约定及单据要求进行验收。</w:t>
      </w:r>
    </w:p>
    <w:p w14:paraId="50D3809A">
      <w:pPr>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若验收不合格，乙方需按照甲方的书面整改意见在规定时限内完成整改，整改后重新提交验收；若验收合格，双方签署验收单，相关成果资料归档。</w:t>
      </w:r>
    </w:p>
    <w:p w14:paraId="0E5024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十一、档案归档要求</w:t>
      </w:r>
    </w:p>
    <w:p w14:paraId="3FEEFD59">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需建立完整的本项目服务档案，对服务过程中的所有资料进行整理、留存，档案内容包括但不限于：各类策划方案、设计稿（源文件及定稿）、作品发布记录、运营数据报表、《服务需求单》《工作任务单》《验收单》、整改记录、双方沟通纪要、宣传物料制作及交付记录等。</w:t>
      </w:r>
    </w:p>
    <w:p w14:paraId="127C62B4">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服务过程中，乙方需按月对服务档案进行整理，甲方可随时查阅、调取相关档案资料，乙方需予以配合。</w:t>
      </w:r>
    </w:p>
    <w:p w14:paraId="1A289E50">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本合同服务期限届满后，乙方需在 15 个工作日内将全套服务档案（电子版及纸质版）移交甲方，由甲方归档留存。</w:t>
      </w:r>
    </w:p>
    <w:p w14:paraId="10D8E2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十二、服务管理与监督</w:t>
      </w:r>
    </w:p>
    <w:p w14:paraId="6496980B">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制度监督</w:t>
      </w:r>
      <w:r>
        <w:rPr>
          <w:rFonts w:hint="eastAsia" w:ascii="宋体" w:hAnsi="宋体" w:eastAsia="宋体" w:cs="宋体"/>
          <w:color w:val="000000"/>
          <w:sz w:val="28"/>
          <w:szCs w:val="28"/>
        </w:rPr>
        <w:t>：甲方监督乙方建立并严格执行本合同第八条第 4 款约定的各项服务管理制度，确保乙方服务规范化、标准化开展；若乙方未按制度执行，甲方有权要求乙方整改，整改不合格的，按本合同第十二条第 3 款进行考核扣分。</w:t>
      </w:r>
    </w:p>
    <w:p w14:paraId="5A8E15B9">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考核方式</w:t>
      </w:r>
      <w:r>
        <w:rPr>
          <w:rFonts w:hint="eastAsia" w:ascii="宋体" w:hAnsi="宋体" w:eastAsia="宋体" w:cs="宋体"/>
          <w:color w:val="000000"/>
          <w:sz w:val="28"/>
          <w:szCs w:val="28"/>
        </w:rPr>
        <w:t>：甲方对乙方的服务质量进行</w:t>
      </w:r>
      <w:r>
        <w:rPr>
          <w:rStyle w:val="8"/>
          <w:rFonts w:hint="eastAsia" w:ascii="宋体" w:hAnsi="宋体" w:eastAsia="宋体" w:cs="宋体"/>
          <w:b/>
          <w:bCs/>
          <w:color w:val="000000"/>
          <w:sz w:val="28"/>
          <w:szCs w:val="28"/>
        </w:rPr>
        <w:t>月度考核、中期考核（服务期满 6 个月）及期末整体验收（服务期满）</w:t>
      </w:r>
      <w:r>
        <w:rPr>
          <w:rFonts w:hint="eastAsia" w:ascii="宋体" w:hAnsi="宋体" w:eastAsia="宋体" w:cs="宋体"/>
          <w:color w:val="000000"/>
          <w:sz w:val="28"/>
          <w:szCs w:val="28"/>
        </w:rPr>
        <w:t>，考核采用</w:t>
      </w:r>
      <w:r>
        <w:rPr>
          <w:rStyle w:val="8"/>
          <w:rFonts w:hint="eastAsia" w:ascii="宋体" w:hAnsi="宋体" w:eastAsia="宋体" w:cs="宋体"/>
          <w:b/>
          <w:bCs/>
          <w:color w:val="000000"/>
          <w:sz w:val="28"/>
          <w:szCs w:val="28"/>
        </w:rPr>
        <w:t>扣分制</w:t>
      </w:r>
      <w:r>
        <w:rPr>
          <w:rFonts w:hint="eastAsia" w:ascii="宋体" w:hAnsi="宋体" w:eastAsia="宋体" w:cs="宋体"/>
          <w:color w:val="000000"/>
          <w:sz w:val="28"/>
          <w:szCs w:val="28"/>
        </w:rPr>
        <w:t>，考核总分 100 分，考核标准以本合同约定及双方确认的要求为准；甲方根据服务情况及工作记录进行考核，月度考核结果在次月 5 个工作日内汇总并书面通报乙方，考核分数逐月累计，作为中期考核及期末验收的重要依据。</w:t>
      </w:r>
    </w:p>
    <w:p w14:paraId="5982C33C">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考核内容及扣分标准</w:t>
      </w:r>
      <w:r>
        <w:rPr>
          <w:rFonts w:hint="eastAsia" w:ascii="宋体" w:hAnsi="宋体" w:eastAsia="宋体" w:cs="宋体"/>
          <w:color w:val="000000"/>
          <w:sz w:val="28"/>
          <w:szCs w:val="28"/>
        </w:rPr>
        <w:t>（1）《服务需求单》/《工作任务单》考核：未按规定时间完成工作的，每延误 1 个工作日扣 0.5 分（1 个工作日内视具体情况酌情扣 0-0.4 分），延误超过 3 个工作日（含 3 个工作日）的，每延误 1 个工作日扣 1 分；因成果质量问题造成返工的，每个单据每返工 1 次扣 0.5 分。（2）量化指标考核：新媒体各平台、宣传册、宣传片等各项量化指标未完成的，每项扣 2-5 分（根据未完成程度酌情扣分）。（3）日常服务考核：日常宣传、客户咨询、数据统计、驻场服务等常态化工作未按要求完成的，每次扣 2-3 分；乙方服务响应超时的，每次扣 1-2 分。（4）团队管理考核：乙方擅自更换团队核心成员、驻场人员未按要求到岗的，每次扣 2-5 分。（5）成果质量考核：服务成果存在质量问题、违规内容、版权纠纷的，每次扣 5-10 分；因乙方原因引发舆情的，每次扣 10 分。（6）档案管理考核：乙方未按要求建立、整理、移交服务档案的，每次扣 2-3 分。</w:t>
      </w:r>
    </w:p>
    <w:p w14:paraId="1418F0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十三、双方责任</w:t>
      </w:r>
    </w:p>
    <w:p w14:paraId="43216C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（一）甲方责任</w:t>
      </w:r>
    </w:p>
    <w:p w14:paraId="54D78B7D">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按本合同第五条约定的付款期限、方式及时向乙方支付服务费用。</w:t>
      </w:r>
    </w:p>
    <w:p w14:paraId="1A7692EF">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向乙方提供本项目服务所需的相关资料（如科室业务资料、团检套餐信息、专家资料、设备资料等）及必要的工作配合（如提供拍摄场地、协调相关人员等），确保乙方正常开展服务工作。</w:t>
      </w:r>
    </w:p>
    <w:p w14:paraId="399EE772">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及时对乙方提交的策划方案、设计稿、服务成果等进行审核、验收，若甲方逾期未审核、验收且未提出异议的，视为默认通过。</w:t>
      </w:r>
    </w:p>
    <w:p w14:paraId="180295CA">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对乙方的服务工作进行监督、考核、指导，及时指出乙方服务过程中的问题，并提出整改要求。</w:t>
      </w:r>
    </w:p>
    <w:p w14:paraId="58C2AF12">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尊重乙方的专业服务成果，对乙方提出的合理建议予以参考、采纳。</w:t>
      </w:r>
    </w:p>
    <w:p w14:paraId="7ADBB6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（二）乙方责任</w:t>
      </w:r>
    </w:p>
    <w:p w14:paraId="2C16033B">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严格按照本合同约定全面、按时、保质完成各项服务内容及量化指标，确保服务质量。</w:t>
      </w:r>
    </w:p>
    <w:p w14:paraId="2E55C75F">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乙方团队人员在甲方工作场所提供服务时，严格遵守甲方的工作纪律、安全管理等各项规章制度；关键性操作需征得甲方相关负责人同意，不得擅自操作。</w:t>
      </w:r>
    </w:p>
    <w:p w14:paraId="35072F68">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不得将本合同项下的任何服务义务转让给第三方，亦不得将本项目进行转包、分包；若确需与第三方合作完成部分非核心工作，需提前书面告知甲方并经甲方书面同意，且乙方对第三方的工作成果承担全部责任。</w:t>
      </w:r>
    </w:p>
    <w:p w14:paraId="6DC6E83E">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负责对所有服务成果的版权、合规性负责，确保无侵权、无违规；若因成果版权、合规性问题引发纠纷，由乙方承担全部责任及相关费用，赔偿甲方因此造成的一切损失。</w:t>
      </w:r>
    </w:p>
    <w:p w14:paraId="025834F8">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主动向甲方汇报服务进展情况，按要求提交各类工作报告、数据报表等资料，配合甲方的考核、验收工作。</w:t>
      </w:r>
    </w:p>
    <w:p w14:paraId="5EEB7BD1">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因乙方原因导致服务延误、成果质量不合格、指标未完成、引发舆情或造成甲方其他损失的，由乙方承担全部责任，甲方有权扣减相应服务费用，并要求乙方赔偿损失。</w:t>
      </w:r>
    </w:p>
    <w:p w14:paraId="784A0A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十四、保密义务</w:t>
      </w:r>
    </w:p>
    <w:p w14:paraId="5F1739EE">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对在为甲方提供服务过程中知悉的一切甲方商业秘密、内部资料、业务数据、客户信息、未公开的医疗信息等，均负有严格的保密义务，不得以任何途径、任何方式泄露给第三方或向社会公开，亦不得将上述信息用于本合同服务以外的任何其他用途。</w:t>
      </w:r>
    </w:p>
    <w:p w14:paraId="1694D6FB">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本合同所述的保密信息包括但不限于：甲方提供的各类资料、数据，双方在合作过程中形成的策划方案、设计稿、运营数据，以及甲方的经营策略、管理模式、团检客户资源等。</w:t>
      </w:r>
    </w:p>
    <w:p w14:paraId="51796110">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保密期限为本合同履行期及合同终止后 2 年；保密期限届满，本条款的保密义务依然有效，直至保密信息成为公开信息。</w:t>
      </w:r>
    </w:p>
    <w:p w14:paraId="3C3E21F2">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甲乙双方均需对本方工作人员进行保密教育，确保相关人员遵守保密义务；若一方工作人员违反保密义务，由该人员所属方承担全部法律责任及赔偿责任。</w:t>
      </w:r>
    </w:p>
    <w:p w14:paraId="32BC9AA3">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本合同履行完毕后，乙方需按照甲方要求，及时归还所有甲方提供的资料、原件及复印件，不得留存；对电子版保密信息，需按甲方要求进行删除、销毁。</w:t>
      </w:r>
    </w:p>
    <w:p w14:paraId="0AA1DDC4">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若乙方违反本保密义务，甲方有权追究乙方违约责任，乙方需赔偿甲方因此造成的一切损失（包括直接损失、间接损失、律师费、诉讼费等）。</w:t>
      </w:r>
    </w:p>
    <w:p w14:paraId="174322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十五、验收</w:t>
      </w:r>
    </w:p>
    <w:p w14:paraId="685E40F0">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分项验收</w:t>
      </w:r>
      <w:r>
        <w:rPr>
          <w:rFonts w:hint="eastAsia" w:ascii="宋体" w:hAnsi="宋体" w:eastAsia="宋体" w:cs="宋体"/>
          <w:color w:val="000000"/>
          <w:sz w:val="28"/>
          <w:szCs w:val="28"/>
        </w:rPr>
        <w:t>：乙方完成每项服务成果（如宣传册策划方案、新媒体单条作品、宣传片分镜头脚本等）后，向甲方提交验收申请，甲方在收到申请后 3 个工作日内完成验收，并出具验收意见；验收合格的，双方签署《验收单》；验收不合格的，甲方书面告知乙方整改意见，乙方在规定时限内整改后重新提交验收。</w:t>
      </w:r>
    </w:p>
    <w:p w14:paraId="386F76CC">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月度验收</w:t>
      </w:r>
      <w:r>
        <w:rPr>
          <w:rFonts w:hint="eastAsia" w:ascii="宋体" w:hAnsi="宋体" w:eastAsia="宋体" w:cs="宋体"/>
          <w:color w:val="000000"/>
          <w:sz w:val="28"/>
          <w:szCs w:val="28"/>
        </w:rPr>
        <w:t>：甲方结合月度考核结果，对乙方当月完成的所有服务工作进行整体验收，考核合格即为月度验收通过；考核不合格的，乙方需在 5 个工作日内完成全面整改，整改后重新验收。</w:t>
      </w:r>
    </w:p>
    <w:p w14:paraId="1F3AFE70">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中期考核</w:t>
      </w:r>
      <w:r>
        <w:rPr>
          <w:rFonts w:hint="eastAsia" w:ascii="宋体" w:hAnsi="宋体" w:eastAsia="宋体" w:cs="宋体"/>
          <w:color w:val="000000"/>
          <w:sz w:val="28"/>
          <w:szCs w:val="28"/>
        </w:rPr>
        <w:t>：服务期满 6 个月，甲方根据前 6 个月的月度考核累计结果进行中期考核，考核总分≥60 分为合格，考核合格后方可支付第二期服务费用；考核不合格的，乙方需在 10 个工作日内完成整改，整改后重新考核，考核仍不合格的，甲方有权终止合同，追究乙方违约责任。</w:t>
      </w:r>
    </w:p>
    <w:p w14:paraId="2FAFD2D0">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2" w:firstLineChars="200"/>
        <w:jc w:val="left"/>
        <w:rPr>
          <w:rFonts w:hint="eastAsia" w:ascii="宋体" w:hAnsi="宋体" w:eastAsia="宋体" w:cs="宋体"/>
          <w:color w:val="000000"/>
          <w:sz w:val="28"/>
          <w:szCs w:val="28"/>
        </w:rPr>
      </w:pPr>
      <w:r>
        <w:rPr>
          <w:rStyle w:val="8"/>
          <w:rFonts w:hint="eastAsia" w:ascii="宋体" w:hAnsi="宋体" w:eastAsia="宋体" w:cs="宋体"/>
          <w:b/>
          <w:bCs/>
          <w:color w:val="000000"/>
          <w:sz w:val="28"/>
          <w:szCs w:val="28"/>
        </w:rPr>
        <w:t>期末整体验收</w:t>
      </w:r>
      <w:r>
        <w:rPr>
          <w:rFonts w:hint="eastAsia" w:ascii="宋体" w:hAnsi="宋体" w:eastAsia="宋体" w:cs="宋体"/>
          <w:color w:val="000000"/>
          <w:sz w:val="28"/>
          <w:szCs w:val="28"/>
        </w:rPr>
        <w:t>：本合同服务期限届满，甲方根据全年月度考核累计结果、各项量化指标完成情况及服务成果交付情况进行整体验收，考核总分≥60 分为验收合格；若验收不合格（考核总分低于 60 分），每低 1 分扣减合同总费用的 1%，最高扣减至合同总费用的 40%；乙方需在甲方要求的时限内完成整改，直至验收合格，整改费用由乙方自行承担。</w:t>
      </w:r>
    </w:p>
    <w:p w14:paraId="7D9809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十六、违约责任</w:t>
      </w:r>
    </w:p>
    <w:p w14:paraId="53B45572">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生效后，甲乙双方均应全面履行合同义务；任何一方违反本合同约定，均应按照本条款约定承担违约责任，并赔偿对方因此造成的一切损失（包括直接损失、间接损失、律师费、诉讼费、差旅费、鉴定费等）。</w:t>
      </w:r>
    </w:p>
    <w:p w14:paraId="39639787">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乙方未按本合同约定的时限、质量完成服务内容，或未完成各项量化指标的，每次向甲方支付合同总价款 1%-3% 的违约金（根据违约程度酌情确定）；违约金不足以弥补甲方损失的，乙方还需赔偿差额部分。</w:t>
      </w:r>
    </w:p>
    <w:p w14:paraId="47979162">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乙方违反本合同第十三条第 3 款约定，将本项目转包、分包或擅自转让服务义务的，需向甲方支付合同总价款 20% 的违约金，甲方有权单方面解除本合同，乙方需赔偿甲方因此造成的一切损失。</w:t>
      </w:r>
    </w:p>
    <w:p w14:paraId="65F6448B">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乙方违反本合同第十四条保密义务的，需向甲方支付合同总价款 10% 的违约金；若甲方实际损失（包括利润在内）超过违约金的，甲方有权要求乙方赔偿超过部分。</w:t>
      </w:r>
    </w:p>
    <w:p w14:paraId="28A41DF2">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乙方提供的服务成果存在版权侵权、内容违规等问题，或因乙方原因引发舆情的，需向甲方支付合同总价款 30% 的违约金，并承担全部侵权责任、舆情处理费用，赔偿甲方因此造成的一切损失。</w:t>
      </w:r>
    </w:p>
    <w:p w14:paraId="4E285DA8">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任何一方单方面无故终止本合同的，需向另一方支付合同总价款 20% 的违约金；若违约金不足以弥补对方损失的，还需赔偿差额部分。</w:t>
      </w:r>
    </w:p>
    <w:p w14:paraId="42203626">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甲方未按本合同第五条约定的付款期限支付服务费用的，每逾期 1 日，按逾期支付金额的万分之五向乙方支付违约金；若甲方逾期付款超过 90 日，乙方有权暂停提供服务，直至甲方付清款项；若逾期付款超过 120 日，乙方有权单方面解除本合同，甲方需支付乙方已完成服务的费用，并承担违约责任。</w:t>
      </w:r>
    </w:p>
    <w:p w14:paraId="62A18C72">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因乙方原因导致甲方健康管理中心品牌形象受损、团检业务受影响的，乙方需承担全部赔偿责任，具体赔偿金额由双方协商确定；协商不成的，甲方可向人民法院提起诉讼。</w:t>
      </w:r>
    </w:p>
    <w:p w14:paraId="23A31C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十七、不可抗力</w:t>
      </w:r>
    </w:p>
    <w:p w14:paraId="7931CF22">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本合同所述的不可抗力，是指不能预见、不能避免并不能克服的客观情况，包括但不限于自然灾害、战争、政府行为、疫情等。</w:t>
      </w:r>
    </w:p>
    <w:p w14:paraId="555C1988">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一方当事人因不可抗力不能按照本合同约定履行义务的，根据不可抗力的影响，可部分或全部免除责任，但应当在不可抗力发生后及时通知对方，并在不可抗力结束之日起 15 日内向对方提供有效的证明文件（如政府部门公告、相关机构证明等）。</w:t>
      </w:r>
    </w:p>
    <w:p w14:paraId="5BDEB0F0">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因不可抗力导致服务期限延误的，服务期限相应顺延；不可抗力并未导致合同无法履行的，双方应继续履行本合同约定的其他义务。</w:t>
      </w:r>
    </w:p>
    <w:p w14:paraId="338AC96C">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若不可抗力持续超过 30 日，双方可就合同的继续履行、修改或终止进行协商，达成书面协议。</w:t>
      </w:r>
    </w:p>
    <w:p w14:paraId="6DD129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十八、争议解决</w:t>
      </w:r>
    </w:p>
    <w:p w14:paraId="15D3D325">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本合同项下所发生的任何争议，由双方当事人首先友好协商解决；协商不成的，任何一方均有权依法向</w:t>
      </w:r>
      <w:r>
        <w:rPr>
          <w:rStyle w:val="8"/>
          <w:rFonts w:hint="eastAsia" w:ascii="宋体" w:hAnsi="宋体" w:eastAsia="宋体" w:cs="宋体"/>
          <w:b/>
          <w:bCs/>
          <w:color w:val="000000"/>
          <w:kern w:val="0"/>
          <w:sz w:val="28"/>
          <w:szCs w:val="28"/>
          <w:lang w:val="en-US" w:eastAsia="zh-CN" w:bidi="ar"/>
        </w:rPr>
        <w:t>甲方所在地</w:t>
      </w:r>
      <w:r>
        <w:rPr>
          <w:rFonts w:hint="eastAsia" w:ascii="宋体" w:hAnsi="宋体" w:eastAsia="宋体" w:cs="宋体"/>
          <w:color w:val="000000"/>
          <w:kern w:val="0"/>
          <w:sz w:val="28"/>
          <w:szCs w:val="28"/>
          <w:lang w:val="en-US" w:eastAsia="zh-CN" w:bidi="ar"/>
        </w:rPr>
        <w:t>有管辖权的人民法院提起诉讼。</w:t>
      </w:r>
    </w:p>
    <w:p w14:paraId="469A77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rPr>
        <w:t>十九、其他条款</w:t>
      </w:r>
    </w:p>
    <w:p w14:paraId="798BB715">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本合同自甲乙双方签字并盖章之日起生效；本合同一式肆份，甲方执贰份，乙方执壹份，相关备案部门执壹份，四份合同具有同等法律效力。</w:t>
      </w:r>
    </w:p>
    <w:p w14:paraId="351C1827">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甲方的采购文件（包括招标文件、采购需求）、乙方的投标文件、中标通知书，以及本合同履行过程中双方签署的《服务需求单》《工作任务单》《验收单》、补充协议、沟通纪要等所有书面文件，均为本合同的组成部分，与本合同具有同等法律效力。</w:t>
      </w:r>
    </w:p>
    <w:p w14:paraId="7D43519D">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本合同未尽事宜，双方可协商一致后签订书面补充协议；补充协议与本合同不一致的，以补充协议为准。</w:t>
      </w:r>
    </w:p>
    <w:p w14:paraId="3ABC2A10">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双方确认的本项目指定对接人及联系方式如下，若对接人或联系方式发生变更，变更方需提前 3 个工作日书面通知对方：</w:t>
      </w:r>
    </w:p>
    <w:p w14:paraId="256D79BE">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甲方指定对接人：</w:t>
      </w:r>
    </w:p>
    <w:p w14:paraId="59040512">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p>
    <w:p w14:paraId="2943A3DE">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电子邮箱：</w:t>
      </w:r>
    </w:p>
    <w:p w14:paraId="790304AA">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乙方指定对接人：</w:t>
      </w:r>
    </w:p>
    <w:p w14:paraId="174A9909">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p>
    <w:p w14:paraId="3F9C92AE">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Chars="200" w:right="0" w:rightChars="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电子邮箱：</w:t>
      </w:r>
    </w:p>
    <w:p w14:paraId="4AF0F32F">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wordWrap/>
        <w:overflowPunct/>
        <w:topLinePunct w:val="0"/>
        <w:bidi w:val="0"/>
        <w:spacing w:before="0" w:beforeAutospacing="0" w:after="0" w:afterAutospacing="0" w:line="520" w:lineRule="exact"/>
        <w:ind w:left="0" w:right="0" w:firstLine="560" w:firstLineChars="200"/>
        <w:jc w:val="left"/>
        <w:rPr>
          <w:rFonts w:hint="eastAsia" w:ascii="宋体" w:hAnsi="宋体" w:eastAsia="宋体" w:cs="宋体"/>
          <w:color w:val="000000"/>
          <w:sz w:val="28"/>
          <w:szCs w:val="28"/>
        </w:rPr>
      </w:pPr>
      <w:r>
        <w:rPr>
          <w:rFonts w:hint="eastAsia" w:ascii="宋体" w:hAnsi="宋体" w:eastAsia="宋体" w:cs="宋体"/>
          <w:color w:val="000000"/>
          <w:sz w:val="28"/>
          <w:szCs w:val="28"/>
        </w:rPr>
        <w:t>本合同项下的任何通知、函件等，均需以书面形式送达对方指定地址或通过指定电子邮箱发送，送达之日即为生效之日。</w:t>
      </w:r>
    </w:p>
    <w:p w14:paraId="7BA22E2F">
      <w:pPr>
        <w:pStyle w:val="11"/>
        <w:keepNext w:val="0"/>
        <w:keepLines w:val="0"/>
        <w:pageBreakBefore w:val="0"/>
        <w:widowControl/>
        <w:wordWrap/>
        <w:overflowPunct/>
        <w:topLinePunct w:val="0"/>
        <w:bidi w:val="0"/>
        <w:spacing w:line="520" w:lineRule="exact"/>
        <w:ind w:firstLine="560" w:firstLineChars="200"/>
        <w:rPr>
          <w:rFonts w:hint="eastAsia" w:ascii="宋体" w:hAnsi="宋体" w:eastAsia="宋体" w:cs="宋体"/>
          <w:sz w:val="28"/>
          <w:szCs w:val="28"/>
        </w:rPr>
      </w:pPr>
    </w:p>
    <w:p w14:paraId="40B77F3C">
      <w:pPr>
        <w:pStyle w:val="11"/>
        <w:keepNext w:val="0"/>
        <w:keepLines w:val="0"/>
        <w:pageBreakBefore w:val="0"/>
        <w:widowControl/>
        <w:wordWrap/>
        <w:overflowPunct/>
        <w:topLinePunct w:val="0"/>
        <w:bidi w:val="0"/>
        <w:spacing w:line="520" w:lineRule="exact"/>
        <w:rPr>
          <w:rFonts w:hint="eastAsia" w:ascii="宋体" w:hAnsi="宋体" w:eastAsia="宋体" w:cs="宋体"/>
          <w:sz w:val="28"/>
          <w:szCs w:val="28"/>
          <w:lang w:val="en-US" w:eastAsia="zh-Hans"/>
        </w:rPr>
      </w:pPr>
      <w:r>
        <w:rPr>
          <w:rFonts w:hint="eastAsia" w:ascii="宋体" w:hAnsi="宋体" w:eastAsia="宋体" w:cs="宋体"/>
          <w:sz w:val="28"/>
          <w:szCs w:val="28"/>
        </w:rPr>
        <w:t xml:space="preserve"> </w:t>
      </w:r>
    </w:p>
    <w:tbl>
      <w:tblPr>
        <w:tblStyle w:val="6"/>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8"/>
        <w:gridCol w:w="4501"/>
      </w:tblGrid>
      <w:tr w14:paraId="1304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FFFFFF"/>
            <w:noWrap w:val="0"/>
            <w:vAlign w:val="top"/>
          </w:tcPr>
          <w:p w14:paraId="194644BD">
            <w:pPr>
              <w:spacing w:line="360" w:lineRule="auto"/>
              <w:jc w:val="center"/>
              <w:rPr>
                <w:rFonts w:ascii="宋体" w:hAnsi="宋体" w:cs="宋体"/>
                <w:b/>
                <w:color w:val="auto"/>
                <w:sz w:val="28"/>
                <w:szCs w:val="28"/>
              </w:rPr>
            </w:pPr>
            <w:r>
              <w:rPr>
                <w:rFonts w:hint="eastAsia" w:ascii="宋体" w:hAnsi="宋体" w:cs="宋体"/>
                <w:b/>
                <w:color w:val="auto"/>
                <w:sz w:val="28"/>
                <w:szCs w:val="28"/>
              </w:rPr>
              <w:t>甲  方</w:t>
            </w:r>
          </w:p>
        </w:tc>
        <w:tc>
          <w:tcPr>
            <w:tcW w:w="4501" w:type="dxa"/>
            <w:shd w:val="clear" w:color="auto" w:fill="FFFFFF"/>
            <w:noWrap w:val="0"/>
            <w:vAlign w:val="top"/>
          </w:tcPr>
          <w:p w14:paraId="6D65E6F0">
            <w:pPr>
              <w:spacing w:line="360" w:lineRule="auto"/>
              <w:jc w:val="center"/>
              <w:rPr>
                <w:rFonts w:ascii="宋体" w:hAnsi="宋体" w:cs="宋体"/>
                <w:b/>
                <w:color w:val="auto"/>
                <w:sz w:val="28"/>
                <w:szCs w:val="28"/>
              </w:rPr>
            </w:pPr>
            <w:r>
              <w:rPr>
                <w:rFonts w:hint="eastAsia" w:ascii="宋体" w:hAnsi="宋体" w:cs="宋体"/>
                <w:b/>
                <w:color w:val="auto"/>
                <w:sz w:val="28"/>
                <w:szCs w:val="28"/>
              </w:rPr>
              <w:t>乙  方</w:t>
            </w:r>
          </w:p>
        </w:tc>
      </w:tr>
      <w:tr w14:paraId="297C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4648" w:type="dxa"/>
            <w:noWrap w:val="0"/>
            <w:vAlign w:val="center"/>
          </w:tcPr>
          <w:p w14:paraId="279DFFBD">
            <w:pPr>
              <w:spacing w:line="360" w:lineRule="auto"/>
              <w:jc w:val="both"/>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甲方</w:t>
            </w:r>
            <w:r>
              <w:rPr>
                <w:rFonts w:hint="eastAsia" w:ascii="宋体" w:hAnsi="宋体" w:cs="宋体"/>
                <w:color w:val="auto"/>
                <w:sz w:val="28"/>
                <w:szCs w:val="28"/>
              </w:rPr>
              <w:t>（公章）</w:t>
            </w:r>
            <w:r>
              <w:rPr>
                <w:rFonts w:hint="eastAsia" w:ascii="宋体" w:hAnsi="宋体" w:eastAsia="宋体" w:cs="宋体"/>
                <w:color w:val="auto"/>
                <w:sz w:val="28"/>
                <w:szCs w:val="28"/>
                <w:lang w:eastAsia="zh-CN"/>
              </w:rPr>
              <w:t>：</w:t>
            </w:r>
          </w:p>
        </w:tc>
        <w:tc>
          <w:tcPr>
            <w:tcW w:w="4501" w:type="dxa"/>
            <w:noWrap w:val="0"/>
            <w:vAlign w:val="center"/>
          </w:tcPr>
          <w:p w14:paraId="67CE0B51">
            <w:pPr>
              <w:spacing w:line="360" w:lineRule="auto"/>
              <w:jc w:val="both"/>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乙方</w:t>
            </w:r>
            <w:r>
              <w:rPr>
                <w:rFonts w:hint="eastAsia" w:ascii="宋体" w:hAnsi="宋体" w:cs="宋体"/>
                <w:color w:val="auto"/>
                <w:sz w:val="28"/>
                <w:szCs w:val="28"/>
              </w:rPr>
              <w:t>（公章）</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zh-CN"/>
              </w:rPr>
              <w:t xml:space="preserve"> </w:t>
            </w:r>
          </w:p>
        </w:tc>
      </w:tr>
      <w:tr w14:paraId="0D07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5FCACE2D">
            <w:pPr>
              <w:spacing w:line="360" w:lineRule="auto"/>
              <w:rPr>
                <w:rFonts w:ascii="宋体" w:hAnsi="宋体" w:cs="宋体"/>
                <w:color w:val="auto"/>
                <w:sz w:val="28"/>
                <w:szCs w:val="28"/>
              </w:rPr>
            </w:pPr>
            <w:r>
              <w:rPr>
                <w:rFonts w:hint="eastAsia" w:ascii="宋体" w:hAnsi="宋体" w:cs="宋体"/>
                <w:color w:val="auto"/>
                <w:sz w:val="28"/>
                <w:szCs w:val="28"/>
              </w:rPr>
              <w:t>地址：</w:t>
            </w:r>
          </w:p>
        </w:tc>
        <w:tc>
          <w:tcPr>
            <w:tcW w:w="4501" w:type="dxa"/>
            <w:noWrap w:val="0"/>
            <w:vAlign w:val="top"/>
          </w:tcPr>
          <w:p w14:paraId="55C8B835">
            <w:pPr>
              <w:spacing w:line="360" w:lineRule="auto"/>
              <w:rPr>
                <w:rFonts w:ascii="宋体" w:hAnsi="宋体" w:cs="宋体"/>
                <w:color w:val="auto"/>
                <w:sz w:val="28"/>
                <w:szCs w:val="28"/>
              </w:rPr>
            </w:pPr>
            <w:r>
              <w:rPr>
                <w:rFonts w:hint="eastAsia" w:ascii="宋体" w:hAnsi="宋体" w:cs="宋体"/>
                <w:color w:val="auto"/>
                <w:sz w:val="28"/>
                <w:szCs w:val="28"/>
              </w:rPr>
              <w:t>地址</w:t>
            </w:r>
          </w:p>
        </w:tc>
      </w:tr>
      <w:tr w14:paraId="01AF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4F65445">
            <w:pPr>
              <w:spacing w:line="360" w:lineRule="auto"/>
              <w:rPr>
                <w:rFonts w:ascii="宋体" w:hAnsi="宋体" w:cs="宋体"/>
                <w:color w:val="auto"/>
                <w:sz w:val="28"/>
                <w:szCs w:val="28"/>
              </w:rPr>
            </w:pPr>
            <w:r>
              <w:rPr>
                <w:rFonts w:hint="eastAsia" w:ascii="宋体" w:hAnsi="宋体" w:cs="宋体"/>
                <w:color w:val="auto"/>
                <w:sz w:val="28"/>
                <w:szCs w:val="28"/>
              </w:rPr>
              <w:t>法定代表人</w:t>
            </w:r>
            <w:r>
              <w:rPr>
                <w:rFonts w:hint="eastAsia" w:ascii="宋体" w:hAnsi="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cs="宋体"/>
                <w:color w:val="auto"/>
                <w:sz w:val="28"/>
                <w:szCs w:val="28"/>
              </w:rPr>
              <w:t>）</w:t>
            </w:r>
            <w:r>
              <w:rPr>
                <w:rFonts w:hint="eastAsia" w:ascii="宋体" w:hAnsi="宋体" w:cs="宋体"/>
                <w:color w:val="auto"/>
                <w:sz w:val="28"/>
                <w:szCs w:val="28"/>
              </w:rPr>
              <w:t>：</w:t>
            </w:r>
          </w:p>
        </w:tc>
        <w:tc>
          <w:tcPr>
            <w:tcW w:w="4501" w:type="dxa"/>
            <w:noWrap w:val="0"/>
            <w:vAlign w:val="top"/>
          </w:tcPr>
          <w:p w14:paraId="72085376">
            <w:pPr>
              <w:spacing w:line="360" w:lineRule="auto"/>
              <w:rPr>
                <w:rFonts w:ascii="宋体" w:hAnsi="宋体" w:cs="宋体"/>
                <w:color w:val="auto"/>
                <w:sz w:val="28"/>
                <w:szCs w:val="28"/>
              </w:rPr>
            </w:pPr>
            <w:r>
              <w:rPr>
                <w:rFonts w:hint="eastAsia" w:ascii="宋体" w:hAnsi="宋体" w:cs="宋体"/>
                <w:color w:val="auto"/>
                <w:sz w:val="28"/>
                <w:szCs w:val="28"/>
              </w:rPr>
              <w:t>法定代表人</w:t>
            </w:r>
            <w:r>
              <w:rPr>
                <w:rFonts w:hint="eastAsia" w:ascii="宋体" w:hAnsi="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cs="宋体"/>
                <w:color w:val="auto"/>
                <w:sz w:val="28"/>
                <w:szCs w:val="28"/>
              </w:rPr>
              <w:t>）</w:t>
            </w:r>
            <w:r>
              <w:rPr>
                <w:rFonts w:hint="eastAsia" w:ascii="宋体" w:hAnsi="宋体" w:cs="宋体"/>
                <w:color w:val="auto"/>
                <w:sz w:val="28"/>
                <w:szCs w:val="28"/>
              </w:rPr>
              <w:t>：</w:t>
            </w:r>
          </w:p>
        </w:tc>
      </w:tr>
      <w:tr w14:paraId="6BFE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0111C253">
            <w:pPr>
              <w:spacing w:line="360" w:lineRule="auto"/>
              <w:rPr>
                <w:rFonts w:ascii="宋体" w:hAnsi="宋体" w:cs="宋体"/>
                <w:color w:val="auto"/>
                <w:sz w:val="28"/>
                <w:szCs w:val="28"/>
              </w:rPr>
            </w:pPr>
            <w:r>
              <w:rPr>
                <w:rFonts w:hint="eastAsia" w:ascii="宋体" w:hAnsi="宋体" w:cs="宋体"/>
                <w:color w:val="auto"/>
                <w:sz w:val="28"/>
                <w:szCs w:val="28"/>
              </w:rPr>
              <w:t>授权代表</w:t>
            </w:r>
            <w:r>
              <w:rPr>
                <w:rFonts w:hint="eastAsia" w:ascii="宋体" w:hAnsi="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cs="宋体"/>
                <w:color w:val="auto"/>
                <w:sz w:val="28"/>
                <w:szCs w:val="28"/>
              </w:rPr>
              <w:t>）</w:t>
            </w:r>
            <w:r>
              <w:rPr>
                <w:rFonts w:hint="eastAsia" w:ascii="宋体" w:hAnsi="宋体" w:cs="宋体"/>
                <w:color w:val="auto"/>
                <w:sz w:val="28"/>
                <w:szCs w:val="28"/>
              </w:rPr>
              <w:t>：</w:t>
            </w:r>
          </w:p>
        </w:tc>
        <w:tc>
          <w:tcPr>
            <w:tcW w:w="4501" w:type="dxa"/>
            <w:noWrap w:val="0"/>
            <w:vAlign w:val="top"/>
          </w:tcPr>
          <w:p w14:paraId="6F4F0AA6">
            <w:pPr>
              <w:spacing w:line="360" w:lineRule="auto"/>
              <w:rPr>
                <w:rFonts w:ascii="宋体" w:hAnsi="宋体" w:cs="宋体"/>
                <w:color w:val="auto"/>
                <w:sz w:val="28"/>
                <w:szCs w:val="28"/>
              </w:rPr>
            </w:pPr>
            <w:r>
              <w:rPr>
                <w:rFonts w:hint="eastAsia" w:ascii="宋体" w:hAnsi="宋体" w:cs="宋体"/>
                <w:color w:val="auto"/>
                <w:sz w:val="28"/>
                <w:szCs w:val="28"/>
              </w:rPr>
              <w:t>授权代表</w:t>
            </w:r>
            <w:r>
              <w:rPr>
                <w:rFonts w:hint="eastAsia" w:ascii="宋体" w:hAnsi="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cs="宋体"/>
                <w:color w:val="auto"/>
                <w:sz w:val="28"/>
                <w:szCs w:val="28"/>
              </w:rPr>
              <w:t>）</w:t>
            </w:r>
            <w:r>
              <w:rPr>
                <w:rFonts w:hint="eastAsia" w:ascii="宋体" w:hAnsi="宋体" w:cs="宋体"/>
                <w:color w:val="auto"/>
                <w:sz w:val="28"/>
                <w:szCs w:val="28"/>
              </w:rPr>
              <w:t>：</w:t>
            </w:r>
            <w:bookmarkStart w:id="18" w:name="_GoBack"/>
            <w:bookmarkEnd w:id="18"/>
          </w:p>
        </w:tc>
      </w:tr>
      <w:tr w14:paraId="5D91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648" w:type="dxa"/>
            <w:noWrap w:val="0"/>
            <w:vAlign w:val="top"/>
          </w:tcPr>
          <w:p w14:paraId="0628BD03">
            <w:pPr>
              <w:spacing w:line="360" w:lineRule="auto"/>
              <w:rPr>
                <w:rFonts w:ascii="宋体" w:hAnsi="宋体" w:cs="宋体"/>
                <w:color w:val="auto"/>
                <w:sz w:val="28"/>
                <w:szCs w:val="28"/>
              </w:rPr>
            </w:pPr>
            <w:r>
              <w:rPr>
                <w:rFonts w:hint="eastAsia" w:ascii="宋体" w:hAnsi="宋体" w:cs="宋体"/>
                <w:color w:val="auto"/>
                <w:sz w:val="28"/>
                <w:szCs w:val="28"/>
              </w:rPr>
              <w:t>电话：</w:t>
            </w:r>
          </w:p>
        </w:tc>
        <w:tc>
          <w:tcPr>
            <w:tcW w:w="4501" w:type="dxa"/>
            <w:noWrap w:val="0"/>
            <w:vAlign w:val="top"/>
          </w:tcPr>
          <w:p w14:paraId="53BC7141">
            <w:pPr>
              <w:spacing w:line="360" w:lineRule="auto"/>
              <w:rPr>
                <w:rFonts w:ascii="宋体" w:hAnsi="宋体" w:cs="宋体"/>
                <w:color w:val="auto"/>
                <w:sz w:val="28"/>
                <w:szCs w:val="28"/>
              </w:rPr>
            </w:pPr>
            <w:r>
              <w:rPr>
                <w:rFonts w:hint="eastAsia" w:ascii="宋体" w:hAnsi="宋体" w:cs="宋体"/>
                <w:color w:val="auto"/>
                <w:sz w:val="28"/>
                <w:szCs w:val="28"/>
              </w:rPr>
              <w:t>电话：</w:t>
            </w:r>
          </w:p>
        </w:tc>
      </w:tr>
      <w:tr w14:paraId="4EA6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FA105D9">
            <w:pPr>
              <w:spacing w:line="360" w:lineRule="auto"/>
              <w:rPr>
                <w:rFonts w:ascii="宋体" w:hAnsi="宋体" w:cs="宋体"/>
                <w:color w:val="auto"/>
                <w:sz w:val="28"/>
                <w:szCs w:val="28"/>
              </w:rPr>
            </w:pPr>
          </w:p>
        </w:tc>
        <w:tc>
          <w:tcPr>
            <w:tcW w:w="4501" w:type="dxa"/>
            <w:noWrap w:val="0"/>
            <w:vAlign w:val="top"/>
          </w:tcPr>
          <w:p w14:paraId="0948AA87">
            <w:pPr>
              <w:spacing w:line="360" w:lineRule="auto"/>
              <w:rPr>
                <w:rFonts w:ascii="宋体" w:hAnsi="宋体" w:cs="宋体"/>
                <w:color w:val="auto"/>
                <w:sz w:val="28"/>
                <w:szCs w:val="28"/>
              </w:rPr>
            </w:pPr>
            <w:r>
              <w:rPr>
                <w:rFonts w:hint="eastAsia" w:ascii="宋体" w:hAnsi="宋体" w:cs="宋体"/>
                <w:color w:val="auto"/>
                <w:sz w:val="28"/>
                <w:szCs w:val="28"/>
              </w:rPr>
              <w:t>开户银行：</w:t>
            </w:r>
          </w:p>
        </w:tc>
      </w:tr>
      <w:tr w14:paraId="78CB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1B7CE8D">
            <w:pPr>
              <w:spacing w:line="360" w:lineRule="auto"/>
              <w:rPr>
                <w:rFonts w:ascii="宋体" w:hAnsi="宋体" w:cs="宋体"/>
                <w:color w:val="auto"/>
                <w:sz w:val="28"/>
                <w:szCs w:val="28"/>
              </w:rPr>
            </w:pPr>
          </w:p>
        </w:tc>
        <w:tc>
          <w:tcPr>
            <w:tcW w:w="4501" w:type="dxa"/>
            <w:noWrap w:val="0"/>
            <w:vAlign w:val="top"/>
          </w:tcPr>
          <w:p w14:paraId="11A1B27D">
            <w:pPr>
              <w:spacing w:line="360" w:lineRule="auto"/>
              <w:rPr>
                <w:rFonts w:ascii="宋体" w:hAnsi="宋体" w:cs="宋体"/>
                <w:color w:val="auto"/>
                <w:sz w:val="28"/>
                <w:szCs w:val="28"/>
              </w:rPr>
            </w:pPr>
            <w:r>
              <w:rPr>
                <w:rFonts w:hint="eastAsia" w:ascii="宋体" w:hAnsi="宋体" w:cs="宋体"/>
                <w:color w:val="auto"/>
                <w:sz w:val="28"/>
                <w:szCs w:val="28"/>
              </w:rPr>
              <w:t>账号：</w:t>
            </w:r>
          </w:p>
        </w:tc>
      </w:tr>
      <w:tr w14:paraId="4450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auto"/>
            <w:noWrap w:val="0"/>
            <w:vAlign w:val="top"/>
          </w:tcPr>
          <w:p w14:paraId="3CFD6329">
            <w:pPr>
              <w:spacing w:line="360" w:lineRule="auto"/>
              <w:rPr>
                <w:rFonts w:hint="default" w:ascii="宋体" w:hAnsi="宋体" w:eastAsia="Times New Roman" w:cs="宋体"/>
                <w:color w:val="auto"/>
                <w:kern w:val="0"/>
                <w:sz w:val="28"/>
                <w:szCs w:val="28"/>
                <w:lang w:val="en-US" w:eastAsia="zh-CN" w:bidi="ar"/>
              </w:rPr>
            </w:pPr>
            <w:r>
              <w:rPr>
                <w:rFonts w:hint="eastAsia" w:ascii="宋体" w:hAnsi="宋体" w:cs="宋体"/>
                <w:color w:val="auto"/>
                <w:sz w:val="28"/>
                <w:szCs w:val="28"/>
              </w:rPr>
              <w:t>日期：   年  月  日</w:t>
            </w:r>
          </w:p>
        </w:tc>
        <w:tc>
          <w:tcPr>
            <w:tcW w:w="4501" w:type="dxa"/>
            <w:shd w:val="clear" w:color="auto" w:fill="auto"/>
            <w:noWrap w:val="0"/>
            <w:vAlign w:val="top"/>
          </w:tcPr>
          <w:p w14:paraId="1DC61E35">
            <w:pPr>
              <w:spacing w:line="360" w:lineRule="auto"/>
              <w:rPr>
                <w:rFonts w:hint="eastAsia" w:ascii="宋体" w:hAnsi="宋体" w:eastAsia="Times New Roman" w:cs="宋体"/>
                <w:color w:val="auto"/>
                <w:kern w:val="0"/>
                <w:sz w:val="28"/>
                <w:szCs w:val="28"/>
                <w:lang w:val="en-US" w:eastAsia="zh-CN" w:bidi="ar"/>
              </w:rPr>
            </w:pPr>
            <w:r>
              <w:rPr>
                <w:rFonts w:hint="eastAsia" w:ascii="宋体" w:hAnsi="宋体" w:cs="宋体"/>
                <w:color w:val="auto"/>
                <w:sz w:val="28"/>
                <w:szCs w:val="28"/>
              </w:rPr>
              <w:t>日期：   年  月  日</w:t>
            </w:r>
          </w:p>
        </w:tc>
      </w:tr>
    </w:tbl>
    <w:p w14:paraId="141438B2">
      <w:pPr>
        <w:keepNext w:val="0"/>
        <w:keepLines w:val="0"/>
        <w:pageBreakBefore w:val="0"/>
        <w:widowControl/>
        <w:wordWrap/>
        <w:overflowPunct/>
        <w:topLinePunct w:val="0"/>
        <w:bidi w:val="0"/>
        <w:spacing w:line="520" w:lineRule="exact"/>
        <w:rPr>
          <w:rFonts w:hint="eastAsia" w:ascii="宋体" w:hAnsi="宋体" w:eastAsia="宋体" w:cs="宋体"/>
          <w:sz w:val="28"/>
          <w:szCs w:val="28"/>
        </w:rPr>
      </w:pPr>
    </w:p>
    <w:sectPr>
      <w:pgSz w:w="11906" w:h="16838"/>
      <w:pgMar w:top="1440"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28196"/>
    <w:multiLevelType w:val="multilevel"/>
    <w:tmpl w:val="8752819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8D7BFB62"/>
    <w:multiLevelType w:val="multilevel"/>
    <w:tmpl w:val="8D7BFB6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991D528D"/>
    <w:multiLevelType w:val="multilevel"/>
    <w:tmpl w:val="991D528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9BC0DABC"/>
    <w:multiLevelType w:val="multilevel"/>
    <w:tmpl w:val="9BC0DAB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B0DF6E84"/>
    <w:multiLevelType w:val="multilevel"/>
    <w:tmpl w:val="B0DF6E8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C15AD2C2"/>
    <w:multiLevelType w:val="multilevel"/>
    <w:tmpl w:val="C15AD2C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D0ACAF1F"/>
    <w:multiLevelType w:val="multilevel"/>
    <w:tmpl w:val="D0ACAF1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DA4285D1"/>
    <w:multiLevelType w:val="multilevel"/>
    <w:tmpl w:val="DA4285D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EB1E2558"/>
    <w:multiLevelType w:val="multilevel"/>
    <w:tmpl w:val="EB1E255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ED4305CE"/>
    <w:multiLevelType w:val="multilevel"/>
    <w:tmpl w:val="ED4305C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FA32A151"/>
    <w:multiLevelType w:val="multilevel"/>
    <w:tmpl w:val="FA32A15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FC164999"/>
    <w:multiLevelType w:val="multilevel"/>
    <w:tmpl w:val="FC16499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0160B9E9"/>
    <w:multiLevelType w:val="multilevel"/>
    <w:tmpl w:val="0160B9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1ECD5381"/>
    <w:multiLevelType w:val="multilevel"/>
    <w:tmpl w:val="1ECD53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28925683"/>
    <w:multiLevelType w:val="multilevel"/>
    <w:tmpl w:val="2892568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3A944B4A"/>
    <w:multiLevelType w:val="multilevel"/>
    <w:tmpl w:val="3A944B4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60C65E81"/>
    <w:multiLevelType w:val="multilevel"/>
    <w:tmpl w:val="60C65E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7">
    <w:nsid w:val="61749140"/>
    <w:multiLevelType w:val="singleLevel"/>
    <w:tmpl w:val="61749140"/>
    <w:lvl w:ilvl="0" w:tentative="0">
      <w:start w:val="1"/>
      <w:numFmt w:val="decimal"/>
      <w:suff w:val="nothing"/>
      <w:lvlText w:val="（%1）"/>
      <w:lvlJc w:val="left"/>
    </w:lvl>
  </w:abstractNum>
  <w:num w:numId="1">
    <w:abstractNumId w:val="14"/>
  </w:num>
  <w:num w:numId="2">
    <w:abstractNumId w:val="1"/>
  </w:num>
  <w:num w:numId="3">
    <w:abstractNumId w:val="10"/>
  </w:num>
  <w:num w:numId="4">
    <w:abstractNumId w:val="3"/>
  </w:num>
  <w:num w:numId="5">
    <w:abstractNumId w:val="2"/>
  </w:num>
  <w:num w:numId="6">
    <w:abstractNumId w:val="11"/>
  </w:num>
  <w:num w:numId="7">
    <w:abstractNumId w:val="0"/>
  </w:num>
  <w:num w:numId="8">
    <w:abstractNumId w:val="13"/>
  </w:num>
  <w:num w:numId="9">
    <w:abstractNumId w:val="16"/>
  </w:num>
  <w:num w:numId="10">
    <w:abstractNumId w:val="4"/>
  </w:num>
  <w:num w:numId="11">
    <w:abstractNumId w:val="15"/>
  </w:num>
  <w:num w:numId="12">
    <w:abstractNumId w:val="7"/>
  </w:num>
  <w:num w:numId="13">
    <w:abstractNumId w:val="9"/>
  </w:num>
  <w:num w:numId="14">
    <w:abstractNumId w:val="8"/>
  </w:num>
  <w:num w:numId="15">
    <w:abstractNumId w:val="6"/>
  </w:num>
  <w:num w:numId="16">
    <w:abstractNumId w:val="12"/>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44918"/>
    <w:rsid w:val="1F5E168C"/>
    <w:rsid w:val="236D646B"/>
    <w:rsid w:val="24AA1001"/>
    <w:rsid w:val="2E9D6073"/>
    <w:rsid w:val="34592C5E"/>
    <w:rsid w:val="38257A27"/>
    <w:rsid w:val="5A9C6FAA"/>
    <w:rsid w:val="61C256A4"/>
    <w:rsid w:val="6238338A"/>
    <w:rsid w:val="64244097"/>
    <w:rsid w:val="67160032"/>
    <w:rsid w:val="77061FE8"/>
    <w:rsid w:val="7E291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9"/>
    <w:qFormat/>
    <w:uiPriority w:val="0"/>
    <w:pPr>
      <w:widowControl/>
      <w:spacing w:before="120" w:after="240" w:line="600" w:lineRule="exact"/>
      <w:ind w:right="238"/>
      <w:jc w:val="center"/>
      <w:outlineLvl w:val="0"/>
    </w:pPr>
    <w:rPr>
      <w:rFonts w:ascii="宋体" w:hAnsi="宋体" w:eastAsia="宋体" w:cs="宋体"/>
      <w:b/>
      <w:bCs/>
      <w:snapToGrid w:val="0"/>
      <w:color w:val="000000"/>
      <w:kern w:val="36"/>
      <w:sz w:val="30"/>
      <w:szCs w:val="14"/>
      <w:lang w:eastAsia="en-US"/>
    </w:rPr>
  </w:style>
  <w:style w:type="paragraph" w:styleId="3">
    <w:name w:val="heading 2"/>
    <w:basedOn w:val="1"/>
    <w:next w:val="1"/>
    <w:link w:val="10"/>
    <w:semiHidden/>
    <w:unhideWhenUsed/>
    <w:qFormat/>
    <w:uiPriority w:val="0"/>
    <w:pPr>
      <w:keepNext/>
      <w:keepLines/>
      <w:spacing w:before="260" w:after="260" w:line="560" w:lineRule="exact"/>
      <w:jc w:val="center"/>
      <w:outlineLvl w:val="1"/>
    </w:pPr>
    <w:rPr>
      <w:rFonts w:ascii="Cambria" w:hAnsi="Cambria" w:eastAsia="宋体" w:cs="Times New Roman"/>
      <w:b/>
      <w:bCs/>
      <w:snapToGrid w:val="0"/>
      <w:color w:val="000000"/>
      <w:kern w:val="0"/>
      <w:sz w:val="30"/>
      <w:szCs w:val="32"/>
      <w:lang w:eastAsia="en-US"/>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Arial" w:hAnsi="Arial" w:eastAsia="Arial" w:cs="Arial"/>
      <w:b/>
      <w:snapToGrid w:val="0"/>
      <w:color w:val="000000"/>
      <w:kern w:val="0"/>
      <w:sz w:val="32"/>
      <w:szCs w:val="21"/>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character" w:styleId="8">
    <w:name w:val="Strong"/>
    <w:qFormat/>
    <w:uiPriority w:val="22"/>
    <w:rPr>
      <w:b/>
      <w:bCs/>
    </w:rPr>
  </w:style>
  <w:style w:type="character" w:customStyle="1" w:styleId="9">
    <w:name w:val="标题 1 Char"/>
    <w:basedOn w:val="7"/>
    <w:link w:val="2"/>
    <w:qFormat/>
    <w:uiPriority w:val="0"/>
    <w:rPr>
      <w:rFonts w:ascii="宋体" w:hAnsi="宋体" w:eastAsia="宋体" w:cs="宋体"/>
      <w:b/>
      <w:bCs/>
      <w:snapToGrid w:val="0"/>
      <w:color w:val="000000"/>
      <w:kern w:val="36"/>
      <w:sz w:val="30"/>
      <w:szCs w:val="14"/>
      <w:lang w:eastAsia="en-US"/>
    </w:rPr>
  </w:style>
  <w:style w:type="character" w:customStyle="1" w:styleId="10">
    <w:name w:val="标题 2 Char"/>
    <w:link w:val="3"/>
    <w:qFormat/>
    <w:uiPriority w:val="0"/>
    <w:rPr>
      <w:rFonts w:ascii="Cambria" w:hAnsi="Cambria" w:eastAsia="宋体" w:cs="Times New Roman"/>
      <w:b/>
      <w:bCs/>
      <w:snapToGrid w:val="0"/>
      <w:color w:val="000000"/>
      <w:kern w:val="0"/>
      <w:sz w:val="30"/>
      <w:szCs w:val="32"/>
      <w:lang w:eastAsia="en-US"/>
    </w:rPr>
  </w:style>
  <w:style w:type="paragraph" w:customStyle="1" w:styleId="11">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2025-04-14T02:55:00Z</dcterms:created>
  <dc:creator>SXZYT</dc:creator>
  <cp:lastModifiedBy>快乐猫</cp:lastModifiedBy>
  <dcterms:modified xsi:type="dcterms:W3CDTF">2026-04-27T10:19:04Z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88960F0020374DB78E3D12BA91E078CC_12</vt:lpwstr>
  </property>
  <property fmtid="{D5CDD505-2E9C-101B-9397-08002B2CF9AE}" pid="4" name="KSOTemplateDocerSaveRecord">
    <vt:lpwstr>eyJoZGlkIjoiOGYzOGJlZTQxYzY3ZWY4ODg1YmNmNTNiZDdlZGNlMDciLCJ1c2VySWQiOiIxNTE3ODQyNzU3In0=</vt:lpwstr>
  </property>
</Properties>
</file>