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7BB0D4">
      <w:pPr>
        <w:pStyle w:val="5"/>
        <w:keepNext w:val="0"/>
        <w:keepLines w:val="0"/>
        <w:widowControl w:val="0"/>
        <w:suppressLineNumbers w:val="0"/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cs="仿宋_GB2312"/>
          <w:sz w:val="24"/>
          <w:szCs w:val="24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10035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1290"/>
        <w:gridCol w:w="7777"/>
      </w:tblGrid>
      <w:tr w14:paraId="2166874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4E31C5AB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129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15E08907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参数性质</w:t>
            </w:r>
          </w:p>
        </w:tc>
        <w:tc>
          <w:tcPr>
            <w:tcW w:w="777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5A3F4E08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技术参数与性能指标</w:t>
            </w:r>
          </w:p>
        </w:tc>
      </w:tr>
      <w:tr w14:paraId="41C30BC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39FE404D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 w:eastAsia="zh-CN"/>
              </w:rPr>
              <w:t>1</w:t>
            </w:r>
          </w:p>
        </w:tc>
        <w:tc>
          <w:tcPr>
            <w:tcW w:w="129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2F13BD00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0"/>
                <w:bdr w:val="none" w:color="auto" w:sz="0" w:space="0"/>
                <w:lang w:eastAsia="zh-CN"/>
              </w:rPr>
              <w:t>项目概况</w:t>
            </w:r>
          </w:p>
        </w:tc>
        <w:tc>
          <w:tcPr>
            <w:tcW w:w="777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749806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1.建设地点：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西北妇女儿童医院儿科住院部负一层原住院药房区域</w:t>
            </w:r>
          </w:p>
          <w:p w14:paraId="6F3E79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2.工程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规模：改造面积约100㎡；核心配置区按十万级净化标准。</w:t>
            </w:r>
          </w:p>
        </w:tc>
      </w:tr>
      <w:tr w14:paraId="09CCD88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0B298878">
            <w:pPr>
              <w:pStyle w:val="5"/>
              <w:keepNext w:val="0"/>
              <w:keepLines w:val="0"/>
              <w:widowControl w:val="0"/>
              <w:suppressLineNumbers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 w:eastAsia="zh-CN"/>
              </w:rPr>
              <w:t>2</w:t>
            </w:r>
          </w:p>
        </w:tc>
        <w:tc>
          <w:tcPr>
            <w:tcW w:w="129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22EE3D9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施工内容</w:t>
            </w:r>
          </w:p>
        </w:tc>
        <w:tc>
          <w:tcPr>
            <w:tcW w:w="777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4473B0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一是装修工程，拆除原有场地设施，墙面、吊顶均采用机制彩钢板铺装，地面铺设专用塑胶地坪，配套安装医用气密门、洁净传递窗等全套洁净装修施工；</w:t>
            </w:r>
          </w:p>
          <w:p w14:paraId="1D0EF6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二是净化暖通工程，对核心区域安装调试十万级净化系统，配套布设净化机组、送回风系统、高效过滤装置、压差控制及通风消毒设施，保障室内洁净度、温湿度、压差满足规范标准；三是给排水工程，布设洁净区专用给排水管路，设置清洗消毒专用点位；</w:t>
            </w:r>
          </w:p>
          <w:p w14:paraId="5509A32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四是电气工程，完成洁净区强弱电管线敷设、洁净照明、应急照明、安全接地等全套电气改造施工。</w:t>
            </w:r>
          </w:p>
          <w:p w14:paraId="1DCA01C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供应商须完成本次采购范围内全部施工内容、净化系统调试工作，委托第三方开展洁净度检测并支付相关检测费用，竣工验收并移交使用。</w:t>
            </w:r>
          </w:p>
        </w:tc>
      </w:tr>
    </w:tbl>
    <w:p w14:paraId="42780922"/>
    <w:sectPr>
      <w:pgSz w:w="12240" w:h="15840"/>
      <w:pgMar w:top="1440" w:right="1800" w:bottom="1440" w:left="180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64F59"/>
    <w:rsid w:val="5F46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ull3 字符"/>
    <w:basedOn w:val="3"/>
    <w:link w:val="5"/>
    <w:uiPriority w:val="0"/>
    <w:rPr>
      <w:rFonts w:hint="default" w:ascii="Calibri" w:hAnsi="Calibri" w:eastAsia="宋体" w:cs="Times New Roman"/>
      <w:lang w:eastAsia="zh-CN"/>
    </w:rPr>
  </w:style>
  <w:style w:type="paragraph" w:customStyle="1" w:styleId="5">
    <w:name w:val="null3"/>
    <w:basedOn w:val="1"/>
    <w:link w:val="4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0"/>
      <w:sz w:val="20"/>
      <w:szCs w:val="20"/>
      <w:lang w:val="en-US" w:eastAsia="zh-CN" w:bidi="ar"/>
    </w:rPr>
  </w:style>
  <w:style w:type="character" w:customStyle="1" w:styleId="6">
    <w:name w:val="NormalCharacter"/>
    <w:basedOn w:val="3"/>
    <w:uiPriority w:val="0"/>
    <w:rPr>
      <w:rFonts w:hint="default" w:ascii="Calibri" w:hAnsi="Calibri" w:eastAsia="宋体" w:cs="Times New Roman"/>
      <w:kern w:val="2"/>
      <w:sz w:val="21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2026-10-26T07:05:00Z</dcterms:created>
  <dc:creator>86759</dc:creator>
  <cp:lastModifiedBy>86759</cp:lastModifiedBy>
  <dcterms:modified xsi:type="dcterms:W3CDTF">2026-10-26T07:07:10Z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C48F8644DF344ED4A32D152CEE7086AE_11</vt:lpwstr>
  </property>
</Properties>
</file>