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版本号：HRPDZB-2026061520260617002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镇巴县大池镇大池坝社区道路改造提升项目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HRPDZB-20260615</w:t>
      </w:r>
      <w:r>
        <w:br/>
      </w:r>
      <w:r>
        <w:br/>
      </w:r>
      <w:r>
        <w:br/>
      </w:r>
    </w:p>
    <w:p>
      <w:pPr>
        <w:pStyle w:val="null3"/>
        <w:jc w:val="center"/>
        <w:outlineLvl w:val="2"/>
      </w:pPr>
      <w:r>
        <w:rPr>
          <w:rFonts w:ascii="仿宋_GB2312" w:hAnsi="仿宋_GB2312" w:cs="仿宋_GB2312" w:eastAsia="仿宋_GB2312"/>
          <w:sz w:val="28"/>
          <w:b/>
        </w:rPr>
        <w:t>镇巴县大池镇人民政府</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镇巴县大池镇人民政府</w:t>
      </w:r>
      <w:r>
        <w:rPr>
          <w:rFonts w:ascii="仿宋_GB2312" w:hAnsi="仿宋_GB2312" w:cs="仿宋_GB2312" w:eastAsia="仿宋_GB2312"/>
        </w:rPr>
        <w:t>委托，拟对</w:t>
      </w:r>
      <w:r>
        <w:rPr>
          <w:rFonts w:ascii="仿宋_GB2312" w:hAnsi="仿宋_GB2312" w:cs="仿宋_GB2312" w:eastAsia="仿宋_GB2312"/>
        </w:rPr>
        <w:t>镇巴县大池镇大池坝社区道路改造提升项目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HRPDZB-20260615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镇巴县大池镇大池坝社区道路改造提升项目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镇巴县大池镇大池坝社区道路改造提升项目，工程位于陕西省汉中市镇巴县大池镇，该项目主要内容包括：改建道路2.8公里，路面宽4.5米;道路拓宽5公里，路面拓宽1.5米，配套建设水沟、函挡、安防等工程。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采购包1（镇巴县大池镇大池坝社区道路改造提升项目）：属于专门面向中小企业采购。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2、供应商资质：供应商须具备建设行政主管部门核发的公路工程施工总承包三级及以上资质，并具备有效的安全生产许可证</w:t>
      </w:r>
    </w:p>
    <w:p>
      <w:pPr>
        <w:pStyle w:val="null3"/>
      </w:pPr>
      <w:r>
        <w:rPr>
          <w:rFonts w:ascii="仿宋_GB2312" w:hAnsi="仿宋_GB2312" w:cs="仿宋_GB2312" w:eastAsia="仿宋_GB2312"/>
        </w:rPr>
        <w:t>3、拟派项目负责人资质与专业要求：拟派项目经理须具备公路工程专业二级及以上注册建造师执业资格和有效的安全生产考核合格证书（交安B证），且在本单位注册、无在建工程，提供相关证书及项目经理无在建证明。</w:t>
      </w:r>
    </w:p>
    <w:p>
      <w:pPr>
        <w:pStyle w:val="null3"/>
      </w:pPr>
      <w:r>
        <w:rPr>
          <w:rFonts w:ascii="仿宋_GB2312" w:hAnsi="仿宋_GB2312" w:cs="仿宋_GB2312" w:eastAsia="仿宋_GB2312"/>
        </w:rPr>
        <w:t>4、法定代表人授权委托书：法定代表人直接参加磋商的，须出具法人身份证（附法定代表人身份证复印件）；法定代表人授权代表参加磋商的，须出具法定代表人授权书及被授权代表身份证（附法定代表人身份证复印件及被授权人身份证复印件）</w:t>
      </w:r>
    </w:p>
    <w:p>
      <w:pPr>
        <w:pStyle w:val="null3"/>
      </w:pPr>
      <w:r>
        <w:rPr>
          <w:rFonts w:ascii="仿宋_GB2312" w:hAnsi="仿宋_GB2312" w:cs="仿宋_GB2312" w:eastAsia="仿宋_GB2312"/>
        </w:rPr>
        <w:t>5、投标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6、非联合体投标声明及无关联关系：本项目不接受联合体投标；单位负责人为同一人或者存在控股、管理关系的不同单位，不得参加同一项目的响应；</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镇巴县大池镇人民政府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镇巴县大池镇大池坝村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镇巴县大池镇人民政府经办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13992643734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19916164724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采购包1：3,517,099.79元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开户名称：宏睿鹏达项目管理有限公司汉中分公司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银行账号：61050165910000000846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镇巴县大池镇人民政府</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镇巴县大池镇人民政府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镇巴县大池镇人民政府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联系电话：13335448555</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3,517,099.79</w:t>
      </w:r>
    </w:p>
    <w:p>
      <w:pPr>
        <w:pStyle w:val="null3"/>
      </w:pPr>
      <w:r>
        <w:rPr>
          <w:rFonts w:ascii="仿宋_GB2312" w:hAnsi="仿宋_GB2312" w:cs="仿宋_GB2312" w:eastAsia="仿宋_GB2312"/>
        </w:rPr>
        <w:t>采购包最高限价（元）: 3,517,099.79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镇巴县大池镇大池坝社区道路改造提升项目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3,517,099.79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标的名称：镇巴县大池镇大池坝社区道路改造提升项目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一、工程</w:t>
            </w:r>
            <w:r>
              <w:rPr>
                <w:rFonts w:ascii="仿宋_GB2312" w:hAnsi="仿宋_GB2312" w:cs="仿宋_GB2312" w:eastAsia="仿宋_GB2312"/>
                <w:sz w:val="28"/>
                <w:b/>
              </w:rPr>
              <w:t>概况：</w:t>
            </w:r>
          </w:p>
          <w:p>
            <w:pPr>
              <w:pStyle w:val="null3"/>
              <w:ind w:firstLine="560"/>
              <w:jc w:val="both"/>
            </w:pPr>
            <w:r>
              <w:rPr>
                <w:rFonts w:ascii="仿宋_GB2312" w:hAnsi="仿宋_GB2312" w:cs="仿宋_GB2312" w:eastAsia="仿宋_GB2312"/>
                <w:sz w:val="28"/>
              </w:rPr>
              <w:t>镇巴县大池镇大池坝社区道路改造提升项目，</w:t>
            </w:r>
            <w:r>
              <w:rPr>
                <w:rFonts w:ascii="仿宋_GB2312" w:hAnsi="仿宋_GB2312" w:cs="仿宋_GB2312" w:eastAsia="仿宋_GB2312"/>
                <w:sz w:val="28"/>
              </w:rPr>
              <w:t>本项目位于镇巴县大池镇境内，包含两条路线，</w:t>
            </w:r>
            <w:r>
              <w:rPr>
                <w:rFonts w:ascii="仿宋_GB2312" w:hAnsi="仿宋_GB2312" w:cs="仿宋_GB2312" w:eastAsia="仿宋_GB2312"/>
                <w:sz w:val="28"/>
              </w:rPr>
              <w:t>路线全长</w:t>
            </w:r>
            <w:r>
              <w:rPr>
                <w:rFonts w:ascii="仿宋_GB2312" w:hAnsi="仿宋_GB2312" w:cs="仿宋_GB2312" w:eastAsia="仿宋_GB2312"/>
                <w:sz w:val="28"/>
              </w:rPr>
              <w:t>7.800公里</w:t>
            </w:r>
            <w:r>
              <w:rPr>
                <w:rFonts w:ascii="仿宋_GB2312" w:hAnsi="仿宋_GB2312" w:cs="仿宋_GB2312" w:eastAsia="仿宋_GB2312"/>
                <w:sz w:val="28"/>
              </w:rPr>
              <w:t>。</w:t>
            </w:r>
            <w:r>
              <w:rPr>
                <w:rFonts w:ascii="仿宋_GB2312" w:hAnsi="仿宋_GB2312" w:cs="仿宋_GB2312" w:eastAsia="仿宋_GB2312"/>
                <w:sz w:val="28"/>
              </w:rPr>
              <w:t>其中：</w:t>
            </w:r>
            <w:r>
              <w:rPr>
                <w:rFonts w:ascii="仿宋_GB2312" w:hAnsi="仿宋_GB2312" w:cs="仿宋_GB2312" w:eastAsia="仿宋_GB2312"/>
                <w:sz w:val="28"/>
              </w:rPr>
              <w:t>路线一起点位于瓦石村良台小组，终点止于大池坝社区黎坪小组，路线长</w:t>
            </w:r>
            <w:r>
              <w:rPr>
                <w:rFonts w:ascii="仿宋_GB2312" w:hAnsi="仿宋_GB2312" w:cs="仿宋_GB2312" w:eastAsia="仿宋_GB2312"/>
                <w:sz w:val="28"/>
              </w:rPr>
              <w:t>5.000公里；路线二为大池坝社区环线，路线长2.800公里。本次对路线一K0+000--K5+000进行加宽硬化处理，并对沿线涵挡配套工程进行完善，</w:t>
            </w:r>
            <w:r>
              <w:rPr>
                <w:rFonts w:ascii="仿宋_GB2312" w:hAnsi="仿宋_GB2312" w:cs="仿宋_GB2312" w:eastAsia="仿宋_GB2312"/>
                <w:sz w:val="28"/>
              </w:rPr>
              <w:t>建设</w:t>
            </w:r>
            <w:r>
              <w:rPr>
                <w:rFonts w:ascii="仿宋_GB2312" w:hAnsi="仿宋_GB2312" w:cs="仿宋_GB2312" w:eastAsia="仿宋_GB2312"/>
                <w:sz w:val="28"/>
              </w:rPr>
              <w:t>内容为路基土石方工程、涵挡配套工程、排水工程、铺筑路面工程；对路线二</w:t>
            </w:r>
            <w:r>
              <w:rPr>
                <w:rFonts w:ascii="仿宋_GB2312" w:hAnsi="仿宋_GB2312" w:cs="仿宋_GB2312" w:eastAsia="仿宋_GB2312"/>
                <w:sz w:val="28"/>
              </w:rPr>
              <w:t>K0+000--K2+800进行加铺5cm厚AC-13沥青混凝土面层。</w:t>
            </w:r>
            <w:r>
              <w:rPr>
                <w:rFonts w:ascii="仿宋_GB2312" w:hAnsi="仿宋_GB2312" w:cs="仿宋_GB2312" w:eastAsia="仿宋_GB2312"/>
                <w:sz w:val="28"/>
              </w:rPr>
              <w:t>桥梁工程一座位于瓦西路</w:t>
            </w:r>
            <w:r>
              <w:rPr>
                <w:rFonts w:ascii="仿宋_GB2312" w:hAnsi="仿宋_GB2312" w:cs="仿宋_GB2312" w:eastAsia="仿宋_GB2312"/>
                <w:sz w:val="28"/>
              </w:rPr>
              <w:t>K1+310处，该桥为正交1-6.0米钢筋混凝土矩形板桥，交角度为90°,下部为C20片石混凝土重力式桥台，扩大基础，桥面净宽6.0米，两侧各0.5米钢筋混凝土防撞，桥梁全长10.24米</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二、编制范围：</w:t>
            </w:r>
          </w:p>
          <w:p>
            <w:pPr>
              <w:pStyle w:val="null3"/>
              <w:ind w:firstLine="420"/>
              <w:jc w:val="both"/>
            </w:pPr>
            <w:r>
              <w:rPr>
                <w:rFonts w:ascii="仿宋_GB2312" w:hAnsi="仿宋_GB2312" w:cs="仿宋_GB2312" w:eastAsia="仿宋_GB2312"/>
                <w:sz w:val="28"/>
              </w:rPr>
              <w:t>详见工程量清单。</w:t>
            </w:r>
          </w:p>
          <w:p>
            <w:pPr>
              <w:pStyle w:val="null3"/>
              <w:jc w:val="both"/>
            </w:pPr>
            <w:r>
              <w:rPr>
                <w:rFonts w:ascii="仿宋_GB2312" w:hAnsi="仿宋_GB2312" w:cs="仿宋_GB2312" w:eastAsia="仿宋_GB2312"/>
                <w:sz w:val="28"/>
                <w:b/>
              </w:rPr>
              <w:t>三、编制依据：</w:t>
            </w:r>
          </w:p>
          <w:p>
            <w:pPr>
              <w:pStyle w:val="null3"/>
              <w:ind w:firstLine="420"/>
              <w:jc w:val="both"/>
            </w:pPr>
            <w:r>
              <w:rPr>
                <w:rFonts w:ascii="仿宋_GB2312" w:hAnsi="仿宋_GB2312" w:cs="仿宋_GB2312" w:eastAsia="仿宋_GB2312"/>
                <w:sz w:val="28"/>
              </w:rPr>
              <w:t>1、由</w:t>
            </w:r>
            <w:r>
              <w:rPr>
                <w:rFonts w:ascii="仿宋_GB2312" w:hAnsi="仿宋_GB2312" w:cs="仿宋_GB2312" w:eastAsia="仿宋_GB2312"/>
                <w:sz w:val="28"/>
              </w:rPr>
              <w:t>汉中坤仪工程管理有限公司</w:t>
            </w:r>
            <w:r>
              <w:rPr>
                <w:rFonts w:ascii="仿宋_GB2312" w:hAnsi="仿宋_GB2312" w:cs="仿宋_GB2312" w:eastAsia="仿宋_GB2312"/>
                <w:sz w:val="28"/>
              </w:rPr>
              <w:t>设计</w:t>
            </w:r>
            <w:r>
              <w:rPr>
                <w:rFonts w:ascii="仿宋_GB2312" w:hAnsi="仿宋_GB2312" w:cs="仿宋_GB2312" w:eastAsia="仿宋_GB2312"/>
                <w:sz w:val="28"/>
              </w:rPr>
              <w:t>的</w:t>
            </w:r>
            <w:r>
              <w:rPr>
                <w:rFonts w:ascii="仿宋_GB2312" w:hAnsi="仿宋_GB2312" w:cs="仿宋_GB2312" w:eastAsia="仿宋_GB2312"/>
                <w:sz w:val="28"/>
              </w:rPr>
              <w:t>镇巴县大池镇大池坝社区道路改造提升项目</w:t>
            </w:r>
            <w:r>
              <w:rPr>
                <w:rFonts w:ascii="仿宋_GB2312" w:hAnsi="仿宋_GB2312" w:cs="仿宋_GB2312" w:eastAsia="仿宋_GB2312"/>
                <w:sz w:val="28"/>
              </w:rPr>
              <w:t>施工图纸；</w:t>
            </w:r>
          </w:p>
          <w:p>
            <w:pPr>
              <w:pStyle w:val="null3"/>
              <w:ind w:firstLine="420"/>
              <w:jc w:val="both"/>
            </w:pPr>
            <w:r>
              <w:rPr>
                <w:rFonts w:ascii="仿宋_GB2312" w:hAnsi="仿宋_GB2312" w:cs="仿宋_GB2312" w:eastAsia="仿宋_GB2312"/>
                <w:sz w:val="28"/>
              </w:rPr>
              <w:t>2、</w:t>
            </w:r>
            <w:r>
              <w:rPr>
                <w:rFonts w:ascii="仿宋_GB2312" w:hAnsi="仿宋_GB2312" w:cs="仿宋_GB2312" w:eastAsia="仿宋_GB2312"/>
                <w:sz w:val="28"/>
              </w:rPr>
              <w:t>《公路工程基本建设项目概算预算编制办法》（</w:t>
            </w:r>
            <w:r>
              <w:rPr>
                <w:rFonts w:ascii="仿宋_GB2312" w:hAnsi="仿宋_GB2312" w:cs="仿宋_GB2312" w:eastAsia="仿宋_GB2312"/>
                <w:sz w:val="28"/>
              </w:rPr>
              <w:t>JTG3830—2018）；</w:t>
            </w:r>
          </w:p>
          <w:p>
            <w:pPr>
              <w:pStyle w:val="null3"/>
              <w:ind w:firstLine="420"/>
              <w:jc w:val="both"/>
            </w:pPr>
            <w:r>
              <w:rPr>
                <w:rFonts w:ascii="仿宋_GB2312" w:hAnsi="仿宋_GB2312" w:cs="仿宋_GB2312" w:eastAsia="仿宋_GB2312"/>
                <w:sz w:val="28"/>
              </w:rPr>
              <w:t>3、</w:t>
            </w:r>
            <w:r>
              <w:rPr>
                <w:rFonts w:ascii="仿宋_GB2312" w:hAnsi="仿宋_GB2312" w:cs="仿宋_GB2312" w:eastAsia="仿宋_GB2312"/>
                <w:sz w:val="28"/>
              </w:rPr>
              <w:t>《公路工程预算定额》（</w:t>
            </w:r>
            <w:r>
              <w:rPr>
                <w:rFonts w:ascii="仿宋_GB2312" w:hAnsi="仿宋_GB2312" w:cs="仿宋_GB2312" w:eastAsia="仿宋_GB2312"/>
                <w:sz w:val="28"/>
              </w:rPr>
              <w:t>JTG/T3832—2018）和《公路工程机械台班费用定额》（JTG/T3833—2018）；</w:t>
            </w:r>
          </w:p>
          <w:p>
            <w:pPr>
              <w:pStyle w:val="null3"/>
              <w:ind w:firstLine="480"/>
              <w:jc w:val="both"/>
            </w:pPr>
            <w:r>
              <w:rPr>
                <w:rFonts w:ascii="仿宋_GB2312" w:hAnsi="仿宋_GB2312" w:cs="仿宋_GB2312" w:eastAsia="仿宋_GB2312"/>
                <w:sz w:val="32"/>
              </w:rPr>
              <w:t>4、</w:t>
            </w:r>
            <w:r>
              <w:rPr>
                <w:rFonts w:ascii="仿宋_GB2312" w:hAnsi="仿宋_GB2312" w:cs="仿宋_GB2312" w:eastAsia="仿宋_GB2312"/>
                <w:sz w:val="28"/>
              </w:rPr>
              <w:t>陕西省交通运输厅关于执行交通运输部《公路工程营业税改增值税计价依据调整方案》的通知（陕交函〔</w:t>
            </w:r>
            <w:r>
              <w:rPr>
                <w:rFonts w:ascii="仿宋_GB2312" w:hAnsi="仿宋_GB2312" w:cs="仿宋_GB2312" w:eastAsia="仿宋_GB2312"/>
                <w:sz w:val="28"/>
              </w:rPr>
              <w:t>2016〕475号）及交通运输部公告（第26号）关于调整《公路工程建设项目投资估算编制办法》（JTG3820-2018）和《公路工程建设项目概算预算编制办法》（JTG3830-2018）中“税金”有关公告；</w:t>
            </w:r>
          </w:p>
          <w:p>
            <w:pPr>
              <w:pStyle w:val="null3"/>
              <w:ind w:firstLine="420"/>
              <w:jc w:val="both"/>
            </w:pPr>
            <w:r>
              <w:rPr>
                <w:rFonts w:ascii="仿宋_GB2312" w:hAnsi="仿宋_GB2312" w:cs="仿宋_GB2312" w:eastAsia="仿宋_GB2312"/>
                <w:sz w:val="28"/>
              </w:rPr>
              <w:t>5</w:t>
            </w:r>
            <w:r>
              <w:rPr>
                <w:rFonts w:ascii="仿宋_GB2312" w:hAnsi="仿宋_GB2312" w:cs="仿宋_GB2312" w:eastAsia="仿宋_GB2312"/>
                <w:sz w:val="28"/>
              </w:rPr>
              <w:t>、交通运输部颁布的《公路工程标准施工招标文件》（</w:t>
            </w:r>
            <w:r>
              <w:rPr>
                <w:rFonts w:ascii="仿宋_GB2312" w:hAnsi="仿宋_GB2312" w:cs="仿宋_GB2312" w:eastAsia="仿宋_GB2312"/>
                <w:sz w:val="28"/>
              </w:rPr>
              <w:t>20</w:t>
            </w:r>
            <w:r>
              <w:rPr>
                <w:rFonts w:ascii="仿宋_GB2312" w:hAnsi="仿宋_GB2312" w:cs="仿宋_GB2312" w:eastAsia="仿宋_GB2312"/>
                <w:sz w:val="28"/>
              </w:rPr>
              <w:t>18年版）；</w:t>
            </w:r>
          </w:p>
          <w:p>
            <w:pPr>
              <w:pStyle w:val="null3"/>
              <w:ind w:firstLine="420"/>
              <w:jc w:val="both"/>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陕西省交通运输厅关于《公路工程基本建设项目概算预算编制办法》补充规定的通知陕交发（</w:t>
            </w:r>
            <w:r>
              <w:rPr>
                <w:rFonts w:ascii="仿宋_GB2312" w:hAnsi="仿宋_GB2312" w:cs="仿宋_GB2312" w:eastAsia="仿宋_GB2312"/>
                <w:sz w:val="28"/>
              </w:rPr>
              <w:t>2019）93号文件；</w:t>
            </w:r>
          </w:p>
          <w:p>
            <w:pPr>
              <w:pStyle w:val="null3"/>
              <w:ind w:firstLine="420"/>
              <w:jc w:val="both"/>
            </w:pPr>
            <w:r>
              <w:rPr>
                <w:rFonts w:ascii="仿宋_GB2312" w:hAnsi="仿宋_GB2312" w:cs="仿宋_GB2312" w:eastAsia="仿宋_GB2312"/>
                <w:sz w:val="28"/>
              </w:rPr>
              <w:t>7、陕西省交通运输工程造价事务中心《关于印发陕西省公路主要参考运杂</w:t>
            </w:r>
          </w:p>
          <w:p>
            <w:pPr>
              <w:pStyle w:val="null3"/>
              <w:jc w:val="both"/>
            </w:pPr>
            <w:r>
              <w:rPr>
                <w:rFonts w:ascii="仿宋_GB2312" w:hAnsi="仿宋_GB2312" w:cs="仿宋_GB2312" w:eastAsia="仿宋_GB2312"/>
                <w:sz w:val="28"/>
              </w:rPr>
              <w:t>费参考标准的通知》；</w:t>
            </w:r>
          </w:p>
          <w:p>
            <w:pPr>
              <w:pStyle w:val="null3"/>
              <w:ind w:firstLine="420"/>
              <w:jc w:val="both"/>
            </w:pPr>
            <w:r>
              <w:rPr>
                <w:rFonts w:ascii="仿宋_GB2312" w:hAnsi="仿宋_GB2312" w:cs="仿宋_GB2312" w:eastAsia="仿宋_GB2312"/>
                <w:sz w:val="28"/>
              </w:rPr>
              <w:t>8、主要</w:t>
            </w:r>
            <w:r>
              <w:rPr>
                <w:rFonts w:ascii="仿宋_GB2312" w:hAnsi="仿宋_GB2312" w:cs="仿宋_GB2312" w:eastAsia="仿宋_GB2312"/>
                <w:sz w:val="28"/>
              </w:rPr>
              <w:t>材料价格依据</w:t>
            </w:r>
            <w:r>
              <w:rPr>
                <w:rFonts w:ascii="仿宋_GB2312" w:hAnsi="仿宋_GB2312" w:cs="仿宋_GB2312" w:eastAsia="仿宋_GB2312"/>
                <w:sz w:val="28"/>
              </w:rPr>
              <w:t>20</w:t>
            </w:r>
            <w:r>
              <w:rPr>
                <w:rFonts w:ascii="仿宋_GB2312" w:hAnsi="仿宋_GB2312" w:cs="仿宋_GB2312" w:eastAsia="仿宋_GB2312"/>
                <w:sz w:val="28"/>
              </w:rPr>
              <w:t>26</w:t>
            </w:r>
            <w:r>
              <w:rPr>
                <w:rFonts w:ascii="仿宋_GB2312" w:hAnsi="仿宋_GB2312" w:cs="仿宋_GB2312" w:eastAsia="仿宋_GB2312"/>
                <w:sz w:val="28"/>
              </w:rPr>
              <w:t>年</w:t>
            </w:r>
            <w:r>
              <w:rPr>
                <w:rFonts w:ascii="仿宋_GB2312" w:hAnsi="仿宋_GB2312" w:cs="仿宋_GB2312" w:eastAsia="仿宋_GB2312"/>
                <w:sz w:val="28"/>
              </w:rPr>
              <w:t>第</w:t>
            </w:r>
            <w:r>
              <w:rPr>
                <w:rFonts w:ascii="仿宋_GB2312" w:hAnsi="仿宋_GB2312" w:cs="仿宋_GB2312" w:eastAsia="仿宋_GB2312"/>
                <w:sz w:val="28"/>
              </w:rPr>
              <w:t>3期</w:t>
            </w:r>
            <w:r>
              <w:rPr>
                <w:rFonts w:ascii="仿宋_GB2312" w:hAnsi="仿宋_GB2312" w:cs="仿宋_GB2312" w:eastAsia="仿宋_GB2312"/>
                <w:sz w:val="28"/>
              </w:rPr>
              <w:t>《汉中建设工程造价信息》</w:t>
            </w:r>
            <w:r>
              <w:rPr>
                <w:rFonts w:ascii="仿宋_GB2312" w:hAnsi="仿宋_GB2312" w:cs="仿宋_GB2312" w:eastAsia="仿宋_GB2312"/>
                <w:sz w:val="28"/>
              </w:rPr>
              <w:t>（</w:t>
            </w:r>
            <w:r>
              <w:rPr>
                <w:rFonts w:ascii="仿宋_GB2312" w:hAnsi="仿宋_GB2312" w:cs="仿宋_GB2312" w:eastAsia="仿宋_GB2312"/>
                <w:sz w:val="28"/>
              </w:rPr>
              <w:t>镇巴县</w:t>
            </w:r>
            <w:r>
              <w:rPr>
                <w:rFonts w:ascii="仿宋_GB2312" w:hAnsi="仿宋_GB2312" w:cs="仿宋_GB2312" w:eastAsia="仿宋_GB2312"/>
                <w:sz w:val="28"/>
              </w:rPr>
              <w:t>）</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取费情况</w:t>
            </w:r>
            <w:r>
              <w:rPr>
                <w:rFonts w:ascii="仿宋_GB2312" w:hAnsi="仿宋_GB2312" w:cs="仿宋_GB2312" w:eastAsia="仿宋_GB2312"/>
                <w:sz w:val="28"/>
                <w:b/>
              </w:rPr>
              <w:t>：</w:t>
            </w:r>
          </w:p>
          <w:p>
            <w:pPr>
              <w:pStyle w:val="null3"/>
              <w:ind w:firstLine="420"/>
              <w:jc w:val="both"/>
            </w:pPr>
            <w:r>
              <w:rPr>
                <w:rFonts w:ascii="仿宋_GB2312" w:hAnsi="仿宋_GB2312" w:cs="仿宋_GB2312" w:eastAsia="仿宋_GB2312"/>
                <w:sz w:val="28"/>
              </w:rPr>
              <w:t>1、人工单价：按105.89元/工日计取；</w:t>
            </w:r>
          </w:p>
          <w:p>
            <w:pPr>
              <w:pStyle w:val="null3"/>
              <w:ind w:firstLine="420"/>
              <w:jc w:val="both"/>
            </w:pPr>
            <w:r>
              <w:rPr>
                <w:rFonts w:ascii="仿宋_GB2312" w:hAnsi="仿宋_GB2312" w:cs="仿宋_GB2312" w:eastAsia="仿宋_GB2312"/>
                <w:sz w:val="28"/>
              </w:rPr>
              <w:t>2、措施费</w:t>
            </w:r>
            <w:r>
              <w:rPr>
                <w:rFonts w:ascii="仿宋_GB2312" w:hAnsi="仿宋_GB2312" w:cs="仿宋_GB2312" w:eastAsia="仿宋_GB2312"/>
                <w:sz w:val="28"/>
              </w:rPr>
              <w:t>：</w:t>
            </w:r>
            <w:r>
              <w:rPr>
                <w:rFonts w:ascii="仿宋_GB2312" w:hAnsi="仿宋_GB2312" w:cs="仿宋_GB2312" w:eastAsia="仿宋_GB2312"/>
                <w:sz w:val="28"/>
              </w:rPr>
              <w:t>按规定计取冬季、雨季；夜间施工费、高原、风沙、沿海施工、行车干扰、工地转移不计取</w:t>
            </w:r>
            <w:r>
              <w:rPr>
                <w:rFonts w:ascii="仿宋_GB2312" w:hAnsi="仿宋_GB2312" w:cs="仿宋_GB2312" w:eastAsia="仿宋_GB2312"/>
                <w:sz w:val="28"/>
              </w:rPr>
              <w:t>，</w:t>
            </w:r>
            <w:r>
              <w:rPr>
                <w:rFonts w:ascii="仿宋_GB2312" w:hAnsi="仿宋_GB2312" w:cs="仿宋_GB2312" w:eastAsia="仿宋_GB2312"/>
                <w:sz w:val="28"/>
              </w:rPr>
              <w:t>施工辅助计取；</w:t>
            </w:r>
          </w:p>
          <w:p>
            <w:pPr>
              <w:pStyle w:val="null3"/>
              <w:ind w:firstLine="420"/>
              <w:jc w:val="both"/>
            </w:pPr>
            <w:r>
              <w:rPr>
                <w:rFonts w:ascii="仿宋_GB2312" w:hAnsi="仿宋_GB2312" w:cs="仿宋_GB2312" w:eastAsia="仿宋_GB2312"/>
                <w:sz w:val="28"/>
              </w:rPr>
              <w:t>3、企业管理费：基本费用计取，综合里程、职工探亲、职工取暖、财务费用、辅助生产不计取，利润计取；</w:t>
            </w:r>
          </w:p>
          <w:p>
            <w:pPr>
              <w:pStyle w:val="null3"/>
              <w:ind w:firstLine="420"/>
              <w:jc w:val="both"/>
            </w:pPr>
            <w:r>
              <w:rPr>
                <w:rFonts w:ascii="仿宋_GB2312" w:hAnsi="仿宋_GB2312" w:cs="仿宋_GB2312" w:eastAsia="仿宋_GB2312"/>
                <w:sz w:val="28"/>
              </w:rPr>
              <w:t>4、规费</w:t>
            </w:r>
            <w:r>
              <w:rPr>
                <w:rFonts w:ascii="仿宋_GB2312" w:hAnsi="仿宋_GB2312" w:cs="仿宋_GB2312" w:eastAsia="仿宋_GB2312"/>
                <w:sz w:val="28"/>
              </w:rPr>
              <w:t>：</w:t>
            </w:r>
            <w:r>
              <w:rPr>
                <w:rFonts w:ascii="仿宋_GB2312" w:hAnsi="仿宋_GB2312" w:cs="仿宋_GB2312" w:eastAsia="仿宋_GB2312"/>
                <w:sz w:val="28"/>
              </w:rPr>
              <w:t>按陕西省有关规定为人工费的</w:t>
            </w:r>
            <w:r>
              <w:rPr>
                <w:rFonts w:ascii="仿宋_GB2312" w:hAnsi="仿宋_GB2312" w:cs="仿宋_GB2312" w:eastAsia="仿宋_GB2312"/>
                <w:sz w:val="28"/>
              </w:rPr>
              <w:t>33.36%；</w:t>
            </w:r>
          </w:p>
          <w:p>
            <w:pPr>
              <w:pStyle w:val="null3"/>
              <w:ind w:firstLine="420"/>
              <w:jc w:val="both"/>
            </w:pPr>
            <w:r>
              <w:rPr>
                <w:rFonts w:ascii="仿宋_GB2312" w:hAnsi="仿宋_GB2312" w:cs="仿宋_GB2312" w:eastAsia="仿宋_GB2312"/>
                <w:sz w:val="28"/>
              </w:rPr>
              <w:t>5、工程一切险为</w:t>
            </w:r>
            <w:r>
              <w:rPr>
                <w:rFonts w:ascii="仿宋_GB2312" w:hAnsi="仿宋_GB2312" w:cs="仿宋_GB2312" w:eastAsia="仿宋_GB2312"/>
                <w:sz w:val="28"/>
              </w:rPr>
              <w:t>第</w:t>
            </w:r>
            <w:r>
              <w:rPr>
                <w:rFonts w:ascii="仿宋_GB2312" w:hAnsi="仿宋_GB2312" w:cs="仿宋_GB2312" w:eastAsia="仿宋_GB2312"/>
                <w:sz w:val="28"/>
              </w:rPr>
              <w:t>200章至第700章合计的0.3%</w:t>
            </w:r>
            <w:r>
              <w:rPr>
                <w:rFonts w:ascii="仿宋_GB2312" w:hAnsi="仿宋_GB2312" w:cs="仿宋_GB2312" w:eastAsia="仿宋_GB2312"/>
                <w:sz w:val="28"/>
              </w:rPr>
              <w:t>，第三责任险为第</w:t>
            </w:r>
            <w:r>
              <w:rPr>
                <w:rFonts w:ascii="仿宋_GB2312" w:hAnsi="仿宋_GB2312" w:cs="仿宋_GB2312" w:eastAsia="仿宋_GB2312"/>
                <w:sz w:val="28"/>
              </w:rPr>
              <w:t>200章至第700章合计的0.1%，安全生产费为第200章至第700章合计的1.5%；</w:t>
            </w:r>
          </w:p>
          <w:p>
            <w:pPr>
              <w:pStyle w:val="null3"/>
              <w:ind w:firstLine="420"/>
              <w:jc w:val="both"/>
            </w:pPr>
            <w:r>
              <w:rPr>
                <w:rFonts w:ascii="仿宋_GB2312" w:hAnsi="仿宋_GB2312" w:cs="仿宋_GB2312" w:eastAsia="仿宋_GB2312"/>
                <w:sz w:val="28"/>
              </w:rPr>
              <w:t>6、利润率7.42%，税率9%；</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color w:val="000000"/>
              </w:rPr>
              <w:t>工期：</w:t>
            </w:r>
            <w:r>
              <w:rPr>
                <w:rFonts w:ascii="仿宋_GB2312" w:hAnsi="仿宋_GB2312" w:cs="仿宋_GB2312" w:eastAsia="仿宋_GB2312"/>
                <w:sz w:val="16"/>
                <w:color w:val="000000"/>
              </w:rPr>
              <w:t>150</w:t>
            </w:r>
            <w:r>
              <w:rPr>
                <w:rFonts w:ascii="仿宋_GB2312" w:hAnsi="仿宋_GB2312" w:cs="仿宋_GB2312" w:eastAsia="仿宋_GB2312"/>
                <w:sz w:val="16"/>
                <w:color w:val="000000"/>
              </w:rPr>
              <w:t>日历天</w:t>
            </w:r>
          </w:p>
          <w:p>
            <w:pPr>
              <w:pStyle w:val="null3"/>
            </w:pPr>
            <w:r>
              <w:rPr>
                <w:rFonts w:ascii="仿宋_GB2312" w:hAnsi="仿宋_GB2312" w:cs="仿宋_GB2312" w:eastAsia="仿宋_GB2312"/>
                <w:sz w:val="16"/>
                <w:color w:val="000000"/>
              </w:rPr>
              <w:t>质量标准：</w:t>
            </w:r>
          </w:p>
          <w:p>
            <w:pPr>
              <w:pStyle w:val="null3"/>
            </w:pPr>
            <w:r>
              <w:rPr>
                <w:rFonts w:ascii="仿宋_GB2312" w:hAnsi="仿宋_GB2312" w:cs="仿宋_GB2312" w:eastAsia="仿宋_GB2312"/>
                <w:sz w:val="16"/>
                <w:color w:val="000000"/>
              </w:rPr>
              <w:t>交工验收的质量评定：合格</w:t>
            </w:r>
          </w:p>
          <w:p>
            <w:pPr>
              <w:pStyle w:val="null3"/>
            </w:pPr>
            <w:r>
              <w:rPr>
                <w:rFonts w:ascii="仿宋_GB2312" w:hAnsi="仿宋_GB2312" w:cs="仿宋_GB2312" w:eastAsia="仿宋_GB2312"/>
                <w:sz w:val="16"/>
                <w:color w:val="000000"/>
              </w:rPr>
              <w:t>竣工验收的质量评定：合格</w:t>
            </w:r>
          </w:p>
          <w:p>
            <w:pPr>
              <w:pStyle w:val="null3"/>
            </w:pPr>
            <w:r>
              <w:rPr>
                <w:rFonts w:ascii="仿宋_GB2312" w:hAnsi="仿宋_GB2312" w:cs="仿宋_GB2312" w:eastAsia="仿宋_GB2312"/>
                <w:sz w:val="16"/>
                <w:color w:val="000000"/>
              </w:rPr>
              <w:t>安全目标：参建人员</w:t>
            </w:r>
            <w:r>
              <w:rPr>
                <w:rFonts w:ascii="仿宋_GB2312" w:hAnsi="仿宋_GB2312" w:cs="仿宋_GB2312" w:eastAsia="仿宋_GB2312"/>
                <w:sz w:val="16"/>
                <w:color w:val="000000"/>
              </w:rPr>
              <w:t>“</w:t>
            </w:r>
            <w:r>
              <w:rPr>
                <w:rFonts w:ascii="仿宋_GB2312" w:hAnsi="仿宋_GB2312" w:cs="仿宋_GB2312" w:eastAsia="仿宋_GB2312"/>
                <w:sz w:val="16"/>
                <w:color w:val="000000"/>
              </w:rPr>
              <w:t>零死亡</w:t>
            </w:r>
            <w:r>
              <w:rPr>
                <w:rFonts w:ascii="仿宋_GB2312" w:hAnsi="仿宋_GB2312" w:cs="仿宋_GB2312" w:eastAsia="仿宋_GB2312"/>
                <w:sz w:val="16"/>
                <w:color w:val="000000"/>
              </w:rPr>
              <w:t>”</w:t>
            </w:r>
            <w:r>
              <w:rPr>
                <w:rFonts w:ascii="仿宋_GB2312" w:hAnsi="仿宋_GB2312" w:cs="仿宋_GB2312" w:eastAsia="仿宋_GB2312"/>
                <w:sz w:val="16"/>
                <w:color w:val="000000"/>
              </w:rPr>
              <w:t>目标</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工程质量达到国家现行《施工质量验收规范》合格标准。 交工验收的质量评定：合格 竣工验收的质量评定：合格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工期：150日历天 质量标准： 交工验收的质量评定：合格 竣工验收的质量评定：合格 安全目标：参建人员“零死亡”目标。</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供应商须具备建设行政主管部门核发的公路工程施工总承包三级及以上资质，并具备有效的安全生产许可证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拟派项目负责人资质与专业要求</w:t>
            </w:r>
          </w:p>
        </w:tc>
        <w:tc>
          <w:tcPr>
            <w:tcW w:type="dxa" w:w="3322"/>
          </w:tcPr>
          <w:p>
            <w:pPr>
              <w:pStyle w:val="null3"/>
            </w:pPr>
            <w:r>
              <w:rPr>
                <w:rFonts w:ascii="仿宋_GB2312" w:hAnsi="仿宋_GB2312" w:cs="仿宋_GB2312" w:eastAsia="仿宋_GB2312"/>
              </w:rPr>
              <w:t>拟派项目经理须具备公路工程专业二级及以上注册建造师执业资格和有效的安全生产考核合格证书（交安B证），且在本单位注册、无在建工程，提供相关证书及项目经理无在建证明。</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被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政府采购供应商拒绝政府采购领域商业贿赂承诺书.docx 供应商应提交的相关资格证明材料.docx 项目管理机构组成表 残疾人福利性单位声明函 报价函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政府采购供应商拒绝政府采购领域商业贿赂承诺书.docx 供应商应提交的相关资格证明材料.docx 项目管理机构组成表 残疾人福利性单位声明函 报价函 标的清单 供应商类似项目业绩一览表 响应函 供应商认为需要提供的其他内容.pdf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供应商针对本项目编制完善的施工进度计划，内容包含：①施工进度目标和施工进度计划表②进度计划保证措施③工期保证措施。 二、评审标准 1、完整性：计划必须全面，对评审内容中的各项要求有详细描述； 2、可实施性：切合本项目实际情况，实施步骤清晰、合理； 3、针对性：能够紧扣项目实际情况，内容科学合理。 三、赋分标准 （针对每条评审标准，如存在不合理的方面每处扣0.5分，扣完为止）①施工进度目标和施工进度计划表：每完全满足一个评审标准得1分，满分3分；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三、赋分标准（针对每条评审标准，如存在不合理的方面每处扣0.5分，扣完为止）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1、完整性：措施必须全面，对评审内容中的各项要求有详细描述； 2、可实施性：切合本项目实际情况，实施步骤清晰、合理； 3、针对性：能够紧扣项目实际情况 ，内容科学合理。 三、赋分标准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供应商针对本项目编制完整的安全文明施工措施，内容包含：①安全生产管理制度②安全文明施工措施③安全应急预案④安全生产教育。 二、评审标准 1、完整性：措施必须全面，对评审内容中的各项要求有详细描述； 2、可实施性：切合本项目实际情况， 实施步骤清晰、合理； 3、针对性：能够紧扣项目实际情况，内容科学合理。 三、赋分标准 ①安全生产管理制度：每完全满足一个评审标准得0.5分，满分1.5分； ②安全文明施工措施：每完全满足一个评审标准得0.5分，满分1.5分； ③安全应急预案：每完全满足一个评审标准得0.5分，满分1.5分； ④安全生产教育：每完全满足 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1、完整性：管理机构设置必须全面， 对评审内容中的各项要求有详细描述； 2、可实施性：切合本项目实际情况，实施步骤清晰、合理； 3、针对性：能够紧扣项目实际情况，内容科学合理。 三、赋分标准（针对每条评审标准，如存在不合理的方面每处扣0.5分） ①管理机构的配备计划：每完全满足一个评审标准得1分，满分3分； 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一、评审内容 供应商针对本项目编制完善的后期服务方案，内容包含：①服务范围及后期保障措施②突发事件处理时限与措施③保修期④定期回访维护措施。 二、评审标准 1、完整性：方案必须全面， 对评审内容中的各项要求有详细描述； 2、可实施性：切合本项目实际情况，提出步骤清晰、合理的方案； 3、针对性：能够紧扣项目实际情况，内容科学合理。 三、赋分标准（针对每条评审标准，如存在不合理的方面每处扣0.5分，扣完为止） ①服务范围及后期保障措施：每完全满足一个评审标准得1分，满分3分； ②突发事件处理时限与措施：每完全满足一个评审标准得1分，满分3分；③保修期：每完全满足一个评审标准得1分，满分3分；④定期回访维护措施：每完全满足一个评审标准得1分，满分3分。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近三年（自2023年1月1日至今）类似项目业绩，响应文件中应附有其业绩证明材料，业绩以协议书（合同）或（中标）成交通知书加盖公章的复印件为依据，每提供一个得2分，满分4分。以验收合格证明资料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项目经理基本情况</w:t>
            </w:r>
          </w:p>
        </w:tc>
        <w:tc>
          <w:tcPr>
            <w:tcW w:type="dxa" w:w="2492"/>
          </w:tcPr>
          <w:p>
            <w:pPr>
              <w:pStyle w:val="null3"/>
            </w:pPr>
            <w:r>
              <w:rPr>
                <w:rFonts w:ascii="仿宋_GB2312" w:hAnsi="仿宋_GB2312" w:cs="仿宋_GB2312" w:eastAsia="仿宋_GB2312"/>
              </w:rPr>
              <w:t>1.项目经理具有公路工程相关专业中级技术职称得0.5分；具有公路工程相关专业高级及以上技术职称得1分；需提供职称证书复印件。 2.项目经理提供近三年（自2023年1月1日至今）类似项目业绩，响应文件中应附有其业绩证明材料，业绩以协议书（合同）或（中标）成交通知书加盖公章的复印件为依据，提供1个得满分2分 。</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2、以满足本次磋商文件要求的最终价格最低报价为磋商基准价，其价格为满分；其他供应商报价得分=（磋商基准价/最终磋商报价）×30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