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FF692">
      <w:pPr>
        <w:jc w:val="center"/>
        <w:rPr>
          <w:rFonts w:ascii="楷体" w:hAnsi="楷体" w:eastAsia="楷体" w:cs="楷体"/>
          <w:b/>
          <w:bCs/>
          <w:sz w:val="56"/>
          <w:szCs w:val="56"/>
          <w:highlight w:val="none"/>
        </w:rPr>
      </w:pPr>
    </w:p>
    <w:p w14:paraId="33DB516D">
      <w:pPr>
        <w:pStyle w:val="2"/>
      </w:pPr>
      <w:bookmarkStart w:id="0" w:name="_GoBack"/>
      <w:bookmarkEnd w:id="0"/>
    </w:p>
    <w:p w14:paraId="0A56F1DA">
      <w:pPr>
        <w:jc w:val="center"/>
        <w:rPr>
          <w:rFonts w:hint="eastAsia" w:asciiTheme="minorEastAsia" w:hAnsiTheme="minorEastAsia" w:cstheme="minorEastAsia"/>
          <w:b/>
          <w:bCs/>
          <w:sz w:val="52"/>
          <w:szCs w:val="52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52"/>
          <w:szCs w:val="52"/>
          <w:highlight w:val="none"/>
          <w:lang w:val="en-US" w:eastAsia="zh-CN"/>
        </w:rPr>
        <w:t>医学教学设备采购</w:t>
      </w:r>
    </w:p>
    <w:p w14:paraId="5B7BAEF7">
      <w:pPr>
        <w:jc w:val="center"/>
        <w:rPr>
          <w:rFonts w:ascii="楷体" w:hAnsi="楷体" w:eastAsia="楷体" w:cs="楷体"/>
          <w:b/>
          <w:bCs/>
          <w:sz w:val="40"/>
          <w:szCs w:val="48"/>
          <w:highlight w:val="none"/>
        </w:rPr>
      </w:pPr>
    </w:p>
    <w:p w14:paraId="7488BBA6">
      <w:pPr>
        <w:jc w:val="center"/>
        <w:rPr>
          <w:rFonts w:ascii="楷体" w:hAnsi="楷体" w:eastAsia="楷体" w:cs="楷体"/>
          <w:b/>
          <w:bCs/>
          <w:sz w:val="52"/>
          <w:szCs w:val="72"/>
          <w:highlight w:val="none"/>
        </w:rPr>
      </w:pPr>
    </w:p>
    <w:p w14:paraId="1BA3921A">
      <w:pPr>
        <w:jc w:val="center"/>
        <w:rPr>
          <w:rFonts w:asciiTheme="minorEastAsia" w:hAnsiTheme="minorEastAsia" w:cstheme="minorEastAsia"/>
          <w:b/>
          <w:bCs/>
          <w:sz w:val="52"/>
          <w:szCs w:val="72"/>
          <w:highlight w:val="none"/>
        </w:rPr>
      </w:pPr>
      <w:r>
        <w:rPr>
          <w:rFonts w:hint="eastAsia" w:asciiTheme="minorEastAsia" w:hAnsiTheme="minorEastAsia" w:cstheme="minorEastAsia"/>
          <w:b/>
          <w:bCs/>
          <w:sz w:val="52"/>
          <w:szCs w:val="72"/>
          <w:highlight w:val="none"/>
        </w:rPr>
        <w:t>采购合同</w:t>
      </w:r>
    </w:p>
    <w:p w14:paraId="4E8ECFF4">
      <w:pPr>
        <w:jc w:val="center"/>
        <w:rPr>
          <w:rFonts w:asciiTheme="minorEastAsia" w:hAnsiTheme="minorEastAsia" w:cstheme="minorEastAsia"/>
          <w:sz w:val="44"/>
          <w:szCs w:val="44"/>
          <w:highlight w:val="none"/>
        </w:rPr>
      </w:pPr>
    </w:p>
    <w:p w14:paraId="5F749166">
      <w:pPr>
        <w:jc w:val="center"/>
        <w:rPr>
          <w:rFonts w:asciiTheme="minorEastAsia" w:hAnsiTheme="minorEastAsia" w:cstheme="minorEastAsia"/>
          <w:sz w:val="44"/>
          <w:szCs w:val="44"/>
          <w:highlight w:val="none"/>
        </w:rPr>
      </w:pPr>
    </w:p>
    <w:p w14:paraId="4097B5FB">
      <w:pPr>
        <w:jc w:val="center"/>
        <w:rPr>
          <w:rFonts w:asciiTheme="minorEastAsia" w:hAnsiTheme="minorEastAsia" w:cstheme="minorEastAsia"/>
          <w:sz w:val="44"/>
          <w:szCs w:val="44"/>
          <w:highlight w:val="none"/>
        </w:rPr>
      </w:pPr>
    </w:p>
    <w:p w14:paraId="2ABE102C">
      <w:pPr>
        <w:jc w:val="center"/>
        <w:rPr>
          <w:rFonts w:asciiTheme="minorEastAsia" w:hAnsiTheme="minorEastAsia" w:cstheme="minorEastAsia"/>
          <w:sz w:val="44"/>
          <w:szCs w:val="44"/>
          <w:highlight w:val="none"/>
        </w:rPr>
      </w:pPr>
    </w:p>
    <w:p w14:paraId="0132EDE7">
      <w:pPr>
        <w:jc w:val="center"/>
        <w:rPr>
          <w:rFonts w:asciiTheme="minorEastAsia" w:hAnsiTheme="minorEastAsia" w:cstheme="minorEastAsia"/>
          <w:b/>
          <w:sz w:val="36"/>
          <w:szCs w:val="36"/>
          <w:highlight w:val="none"/>
        </w:rPr>
      </w:pPr>
      <w:r>
        <w:rPr>
          <w:rFonts w:hint="eastAsia" w:asciiTheme="minorEastAsia" w:hAnsiTheme="minorEastAsia" w:cstheme="minorEastAsia"/>
          <w:b/>
          <w:sz w:val="36"/>
          <w:szCs w:val="36"/>
          <w:highlight w:val="none"/>
        </w:rPr>
        <w:t>（示范文本）</w:t>
      </w:r>
    </w:p>
    <w:p w14:paraId="7CD0716F">
      <w:pPr>
        <w:spacing w:before="156" w:beforeLines="50" w:line="400" w:lineRule="exact"/>
        <w:jc w:val="center"/>
        <w:rPr>
          <w:rFonts w:ascii="楷体" w:hAnsi="楷体" w:eastAsia="楷体" w:cs="楷体"/>
          <w:bCs/>
          <w:sz w:val="48"/>
          <w:szCs w:val="48"/>
          <w:highlight w:val="none"/>
        </w:rPr>
      </w:pPr>
    </w:p>
    <w:p w14:paraId="04E320F3">
      <w:pPr>
        <w:jc w:val="center"/>
        <w:rPr>
          <w:rFonts w:asciiTheme="minorEastAsia" w:hAnsiTheme="minorEastAsia" w:cstheme="minorEastAsia"/>
          <w:bCs/>
          <w:sz w:val="32"/>
          <w:szCs w:val="32"/>
          <w:highlight w:val="none"/>
        </w:rPr>
      </w:pPr>
      <w:r>
        <w:rPr>
          <w:rFonts w:hint="eastAsia" w:asciiTheme="minorEastAsia" w:hAnsiTheme="minorEastAsia" w:cstheme="minorEastAsia"/>
          <w:bCs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Cs/>
          <w:sz w:val="28"/>
          <w:szCs w:val="28"/>
          <w:highlight w:val="none"/>
          <w:lang w:val="en-US" w:eastAsia="zh-CN"/>
        </w:rPr>
        <w:t>成交供应商</w:t>
      </w:r>
      <w:r>
        <w:rPr>
          <w:rFonts w:hint="eastAsia" w:asciiTheme="minorEastAsia" w:hAnsiTheme="minorEastAsia" w:cstheme="minorEastAsia"/>
          <w:bCs/>
          <w:sz w:val="28"/>
          <w:szCs w:val="28"/>
          <w:highlight w:val="none"/>
        </w:rPr>
        <w:t>和采购人也可根据项目特点自行拟定合同条款。</w:t>
      </w:r>
    </w:p>
    <w:p w14:paraId="26EF2D67">
      <w:pPr>
        <w:spacing w:before="156" w:beforeLines="50" w:line="400" w:lineRule="exact"/>
        <w:jc w:val="center"/>
        <w:rPr>
          <w:rFonts w:ascii="楷体" w:hAnsi="楷体" w:eastAsia="楷体" w:cs="楷体"/>
          <w:bCs/>
          <w:sz w:val="48"/>
          <w:szCs w:val="48"/>
          <w:highlight w:val="none"/>
        </w:rPr>
      </w:pPr>
    </w:p>
    <w:p w14:paraId="51F2543F">
      <w:pPr>
        <w:spacing w:before="156" w:beforeLines="50" w:line="400" w:lineRule="exact"/>
        <w:jc w:val="center"/>
        <w:rPr>
          <w:rFonts w:ascii="楷体" w:hAnsi="楷体" w:eastAsia="楷体" w:cs="楷体"/>
          <w:bCs/>
          <w:sz w:val="48"/>
          <w:szCs w:val="48"/>
          <w:highlight w:val="none"/>
        </w:rPr>
      </w:pPr>
    </w:p>
    <w:p w14:paraId="0C81249D">
      <w:pPr>
        <w:spacing w:before="156" w:beforeLines="50" w:line="400" w:lineRule="exact"/>
        <w:jc w:val="center"/>
        <w:rPr>
          <w:rFonts w:ascii="楷体" w:hAnsi="楷体" w:eastAsia="楷体" w:cs="楷体"/>
          <w:bCs/>
          <w:sz w:val="48"/>
          <w:szCs w:val="48"/>
          <w:highlight w:val="none"/>
        </w:rPr>
      </w:pPr>
    </w:p>
    <w:p w14:paraId="11FFFF85">
      <w:pPr>
        <w:spacing w:before="156" w:beforeLines="50" w:line="400" w:lineRule="exact"/>
        <w:jc w:val="center"/>
        <w:rPr>
          <w:rFonts w:ascii="楷体" w:hAnsi="楷体" w:eastAsia="楷体" w:cs="楷体"/>
          <w:bCs/>
          <w:sz w:val="48"/>
          <w:szCs w:val="48"/>
          <w:highlight w:val="none"/>
        </w:rPr>
      </w:pPr>
    </w:p>
    <w:p w14:paraId="1265127C">
      <w:pPr>
        <w:spacing w:before="156" w:beforeLines="50" w:line="400" w:lineRule="exact"/>
        <w:jc w:val="center"/>
        <w:rPr>
          <w:rFonts w:ascii="楷体" w:hAnsi="楷体" w:eastAsia="楷体" w:cs="楷体"/>
          <w:b/>
          <w:bCs/>
          <w:sz w:val="36"/>
          <w:szCs w:val="32"/>
          <w:highlight w:val="none"/>
        </w:rPr>
      </w:pPr>
      <w:r>
        <w:rPr>
          <w:rFonts w:hint="eastAsia" w:ascii="楷体" w:hAnsi="楷体" w:eastAsia="楷体" w:cs="楷体"/>
          <w:bCs/>
          <w:sz w:val="48"/>
          <w:szCs w:val="48"/>
          <w:highlight w:val="none"/>
        </w:rPr>
        <w:br w:type="page"/>
      </w:r>
      <w:r>
        <w:rPr>
          <w:rFonts w:hint="eastAsia" w:asciiTheme="minorEastAsia" w:hAnsiTheme="minorEastAsia" w:cstheme="minorEastAsia"/>
          <w:b/>
          <w:bCs/>
          <w:sz w:val="36"/>
          <w:szCs w:val="32"/>
          <w:highlight w:val="none"/>
        </w:rPr>
        <w:t>第一部分  协议书</w:t>
      </w:r>
    </w:p>
    <w:p w14:paraId="1993FCD3">
      <w:pPr>
        <w:spacing w:before="156" w:beforeLines="50" w:line="360" w:lineRule="exact"/>
        <w:jc w:val="center"/>
        <w:rPr>
          <w:rFonts w:ascii="楷体" w:hAnsi="楷体" w:eastAsia="楷体" w:cs="楷体"/>
          <w:b/>
          <w:bCs/>
          <w:sz w:val="32"/>
          <w:szCs w:val="32"/>
          <w:highlight w:val="none"/>
        </w:rPr>
      </w:pPr>
    </w:p>
    <w:p w14:paraId="14A3A09A"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sz w:val="24"/>
          <w:szCs w:val="24"/>
          <w:highlight w:val="none"/>
          <w:u w:val="single"/>
        </w:rPr>
      </w:pPr>
      <w:r>
        <w:rPr>
          <w:rFonts w:hint="eastAsia" w:asciiTheme="minorEastAsia" w:hAnsiTheme="minorEastAsia" w:cstheme="minorEastAsia"/>
          <w:b/>
          <w:sz w:val="24"/>
          <w:szCs w:val="24"/>
          <w:highlight w:val="none"/>
        </w:rPr>
        <w:t>采购人（全称）：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                                        ；</w:t>
      </w:r>
    </w:p>
    <w:p w14:paraId="2D5BB230"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sz w:val="24"/>
          <w:szCs w:val="24"/>
          <w:highlight w:val="none"/>
          <w:u w:val="single"/>
        </w:rPr>
      </w:pPr>
      <w:r>
        <w:rPr>
          <w:rFonts w:hint="eastAsia" w:asciiTheme="minorEastAsia" w:hAnsiTheme="minorEastAsia" w:cstheme="minorEastAsia"/>
          <w:b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cstheme="minorEastAsia"/>
          <w:b/>
          <w:sz w:val="24"/>
          <w:szCs w:val="24"/>
          <w:highlight w:val="none"/>
        </w:rPr>
        <w:t>（全称）：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                                        ；</w:t>
      </w:r>
    </w:p>
    <w:p w14:paraId="70826A24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依照《中华人民共和国民法典》及其他有关法律、法规，遵循平等、自愿、公平和诚信的原则，双方就下述项目范围与相关服务事项协商一致，订立本合同。</w:t>
      </w:r>
    </w:p>
    <w:p w14:paraId="05F9715F">
      <w:pPr>
        <w:adjustRightInd w:val="0"/>
        <w:snapToGrid w:val="0"/>
        <w:spacing w:line="360" w:lineRule="auto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</w:rPr>
        <w:t>一、项目概况</w:t>
      </w:r>
    </w:p>
    <w:p w14:paraId="614ACB06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1.项目名称：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        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；                           </w:t>
      </w:r>
    </w:p>
    <w:p w14:paraId="6410BB26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2.项目地点：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        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；                                                   </w:t>
      </w:r>
    </w:p>
    <w:p w14:paraId="3151334A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3.项目内容：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        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；                                                   </w:t>
      </w:r>
    </w:p>
    <w:p w14:paraId="559B2441">
      <w:pPr>
        <w:adjustRightInd w:val="0"/>
        <w:snapToGrid w:val="0"/>
        <w:spacing w:line="360" w:lineRule="auto"/>
        <w:rPr>
          <w:rFonts w:asciiTheme="minorEastAsia" w:hAnsi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</w:rPr>
        <w:t>二、组成本合同的文件</w:t>
      </w:r>
    </w:p>
    <w:p w14:paraId="1DC50B16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1. 协议书；</w:t>
      </w:r>
    </w:p>
    <w:p w14:paraId="2FC3FB2B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2. 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通知书、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文件、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文件、澄清、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补充文件（或委托书）；</w:t>
      </w:r>
    </w:p>
    <w:p w14:paraId="1900889C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3. 相关服务建议书；</w:t>
      </w:r>
    </w:p>
    <w:p w14:paraId="1D494372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4. 附录，即：附表内相关服务的范围和内容；</w:t>
      </w:r>
    </w:p>
    <w:p w14:paraId="4EC190EC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本合同签订后，双方依法签订的补充协议也是本合同文件的组成部分。</w:t>
      </w:r>
    </w:p>
    <w:p w14:paraId="253422D1">
      <w:pPr>
        <w:adjustRightInd w:val="0"/>
        <w:snapToGrid w:val="0"/>
        <w:spacing w:line="360" w:lineRule="auto"/>
        <w:rPr>
          <w:rFonts w:asciiTheme="minorEastAsia" w:hAnsi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</w:rPr>
        <w:t>三、合同价款</w:t>
      </w:r>
    </w:p>
    <w:p w14:paraId="131E3405"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合同金额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（大写）：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¥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元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）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。</w:t>
      </w:r>
    </w:p>
    <w:p w14:paraId="56EECC41"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①本合同为最高合同金额限制下的综合单价合同，各综合单价为一次性报价，不受市场价格变化及其他影响，各综合单价为含税价，包括乙方为完成合同全部义务应承担的一切成本、费用（运费、仓储、验收等）和支出以及乙方的合理利润。</w:t>
      </w:r>
    </w:p>
    <w:p w14:paraId="18870CCD"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②本合同各综合单价明细表以中标通知书所列为准。最终以实际发生量在预算内根据中标价格据实结算，同时确保项目总结算价格不超本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合同金额。</w:t>
      </w:r>
    </w:p>
    <w:p w14:paraId="550D55E5">
      <w:pPr>
        <w:adjustRightInd w:val="0"/>
        <w:snapToGrid w:val="0"/>
        <w:spacing w:line="360" w:lineRule="auto"/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四、付款方式：</w:t>
      </w:r>
    </w:p>
    <w:p w14:paraId="64CDE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default" w:asciiTheme="minorEastAsia" w:hAnsiTheme="minorEastAsia" w:cstheme="minorEastAsia"/>
          <w:sz w:val="24"/>
          <w:szCs w:val="24"/>
          <w:highlight w:val="none"/>
          <w:lang w:val="en-US" w:eastAsia="zh-CN"/>
        </w:rPr>
        <w:t>1.支付时间:供应商持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成交</w:t>
      </w:r>
      <w:r>
        <w:rPr>
          <w:rFonts w:hint="default" w:asciiTheme="minorEastAsia" w:hAnsiTheme="minorEastAsia" w:cstheme="minorEastAsia"/>
          <w:sz w:val="24"/>
          <w:szCs w:val="24"/>
          <w:highlight w:val="none"/>
          <w:lang w:val="en-US" w:eastAsia="zh-CN"/>
        </w:rPr>
        <w:t>通知书、供货合同、发票，与采购人结算，采购人一次性付款。</w:t>
      </w:r>
    </w:p>
    <w:p w14:paraId="78B66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default" w:asciiTheme="minorEastAsia" w:hAnsiTheme="minorEastAsia" w:cstheme="minorEastAsia"/>
          <w:sz w:val="24"/>
          <w:szCs w:val="24"/>
          <w:highlight w:val="none"/>
          <w:lang w:val="en-US" w:eastAsia="zh-CN"/>
        </w:rPr>
        <w:t>2.支付方式:银行转账。</w:t>
      </w:r>
    </w:p>
    <w:p w14:paraId="7D1F9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default" w:asciiTheme="minorEastAsia" w:hAnsiTheme="minorEastAsia" w:cstheme="minorEastAsia"/>
          <w:sz w:val="24"/>
          <w:szCs w:val="24"/>
          <w:highlight w:val="none"/>
          <w:lang w:val="en-US" w:eastAsia="zh-CN"/>
        </w:rPr>
        <w:t>3.项目结算:结算审计是项目结算的必要条件，实际结算金额应以结算审计的审定金额为准。</w:t>
      </w:r>
    </w:p>
    <w:p w14:paraId="72928213">
      <w:pPr>
        <w:adjustRightInd w:val="0"/>
        <w:snapToGrid w:val="0"/>
        <w:spacing w:line="360" w:lineRule="auto"/>
        <w:rPr>
          <w:rFonts w:asciiTheme="minorEastAsia" w:hAnsi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Theme="minorEastAsia" w:hAnsiTheme="minorEastAsia" w:cstheme="minorEastAsia"/>
          <w:b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b/>
          <w:sz w:val="24"/>
        </w:rPr>
        <w:t>交货地点</w:t>
      </w:r>
      <w:r>
        <w:rPr>
          <w:rFonts w:hint="eastAsia" w:ascii="宋体" w:hAnsi="宋体" w:eastAsia="宋体" w:cs="宋体"/>
          <w:b/>
          <w:sz w:val="24"/>
          <w:lang w:eastAsia="zh-CN"/>
        </w:rPr>
        <w:t>：</w:t>
      </w: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</w:rPr>
        <w:t>采购人指定地点</w:t>
      </w:r>
    </w:p>
    <w:p w14:paraId="2AAD2C6D">
      <w:pPr>
        <w:adjustRightInd w:val="0"/>
        <w:snapToGrid w:val="0"/>
        <w:spacing w:line="360" w:lineRule="auto"/>
        <w:rPr>
          <w:rFonts w:hint="eastAsia" w:asciiTheme="minorEastAsia" w:hAnsiTheme="minorEastAsia" w:cstheme="minorEastAsia"/>
          <w:b/>
          <w:bCs w:val="0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bCs w:val="0"/>
          <w:sz w:val="24"/>
          <w:szCs w:val="24"/>
          <w:highlight w:val="none"/>
          <w:lang w:val="en-US" w:eastAsia="zh-CN"/>
        </w:rPr>
        <w:t>六、</w:t>
      </w:r>
      <w:r>
        <w:rPr>
          <w:rFonts w:hint="eastAsia" w:asciiTheme="minorEastAsia" w:hAnsiTheme="minorEastAsia" w:cstheme="minorEastAsia"/>
          <w:b/>
          <w:bCs w:val="0"/>
          <w:sz w:val="24"/>
          <w:szCs w:val="24"/>
          <w:highlight w:val="none"/>
        </w:rPr>
        <w:t>交货时间：</w:t>
      </w:r>
    </w:p>
    <w:p w14:paraId="2A820116"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yellow"/>
          <w:lang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szCs w:val="24"/>
          <w:highlight w:val="none"/>
        </w:rPr>
        <w:t>自合同签订之日起</w:t>
      </w:r>
      <w:r>
        <w:rPr>
          <w:rFonts w:hint="eastAsia" w:asciiTheme="minorEastAsia" w:hAnsiTheme="minorEastAsia" w:cstheme="minorEastAsia"/>
          <w:b w:val="0"/>
          <w:bCs/>
          <w:sz w:val="24"/>
          <w:szCs w:val="24"/>
          <w:highlight w:val="none"/>
          <w:lang w:val="en-US" w:eastAsia="zh-CN"/>
        </w:rPr>
        <w:t>10</w:t>
      </w:r>
      <w:r>
        <w:rPr>
          <w:rFonts w:hint="eastAsia" w:asciiTheme="minorEastAsia" w:hAnsiTheme="minorEastAsia" w:cstheme="minorEastAsia"/>
          <w:b w:val="0"/>
          <w:bCs/>
          <w:sz w:val="24"/>
          <w:szCs w:val="24"/>
          <w:highlight w:val="none"/>
        </w:rPr>
        <w:t>个日历日完成全部项目内容（包含安装），并交付采购人验收合格。</w:t>
      </w:r>
    </w:p>
    <w:p w14:paraId="6943A203">
      <w:pPr>
        <w:spacing w:line="360" w:lineRule="auto"/>
        <w:jc w:val="left"/>
        <w:rPr>
          <w:rFonts w:asciiTheme="minorEastAsia" w:hAnsi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Theme="minorEastAsia" w:hAnsiTheme="minorEastAsia" w:cstheme="minorEastAsia"/>
          <w:b/>
          <w:sz w:val="24"/>
          <w:szCs w:val="24"/>
          <w:highlight w:val="none"/>
        </w:rPr>
        <w:t>、质量保证：</w:t>
      </w:r>
    </w:p>
    <w:p w14:paraId="611A74ED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提供的产品及材料必须保证质量可靠，为市场最新或主流产品，进货渠道正常，配置合理齐全，应全面满足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文件的要求，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文件未明确要求的内容，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须按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产品主流标准配置或以甲方的补充要求为准。所供产品工艺质量应严格按国家最新发布的规范标准执行，如发生质量问题由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承担全部责任。</w:t>
      </w:r>
    </w:p>
    <w:p w14:paraId="587FD52E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应保证所有产品的完好无损包括配套包装，如有缺漏、损坏，由投标人负责调换、补齐或赔偿。</w:t>
      </w:r>
    </w:p>
    <w:p w14:paraId="6076AEE2"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必须严格按照需方要求和国家颁布的有关技术规范标准提供货物。</w:t>
      </w:r>
    </w:p>
    <w:p w14:paraId="72D5F956">
      <w:pPr>
        <w:pStyle w:val="2"/>
        <w:spacing w:line="360" w:lineRule="auto"/>
        <w:ind w:firstLine="0" w:firstLineChars="0"/>
        <w:rPr>
          <w:rFonts w:asciiTheme="minorEastAsia" w:hAnsiTheme="minorEastAsia" w:eastAsiaTheme="minorEastAsia" w:cstheme="minorEastAsia"/>
          <w:b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4"/>
          <w:highlight w:val="none"/>
          <w:lang w:val="en-US" w:eastAsia="zh-CN"/>
        </w:rPr>
        <w:t>八</w:t>
      </w:r>
      <w:r>
        <w:rPr>
          <w:rFonts w:hint="eastAsia" w:asciiTheme="minorEastAsia" w:hAnsiTheme="minorEastAsia" w:eastAsiaTheme="minorEastAsia" w:cstheme="minorEastAsia"/>
          <w:b/>
          <w:bCs/>
          <w:szCs w:val="24"/>
          <w:highlight w:val="none"/>
        </w:rPr>
        <w:t>、项目团队要求</w:t>
      </w:r>
      <w:r>
        <w:rPr>
          <w:rFonts w:hint="eastAsia" w:asciiTheme="minorEastAsia" w:hAnsiTheme="minorEastAsia" w:eastAsiaTheme="minorEastAsia" w:cstheme="minorEastAsia"/>
          <w:b/>
          <w:szCs w:val="24"/>
          <w:highlight w:val="none"/>
        </w:rPr>
        <w:t>：</w:t>
      </w:r>
    </w:p>
    <w:p w14:paraId="38520B6D">
      <w:pPr>
        <w:pStyle w:val="2"/>
        <w:spacing w:line="360" w:lineRule="auto"/>
        <w:ind w:firstLine="480"/>
        <w:rPr>
          <w:rFonts w:asciiTheme="minorEastAsia" w:hAnsiTheme="minorEastAsia" w:eastAsiaTheme="minorEastAsia" w:cstheme="minorEastAsia"/>
          <w:bCs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szCs w:val="24"/>
          <w:highlight w:val="none"/>
        </w:rPr>
        <w:t>若因不可抗力因素，</w:t>
      </w:r>
      <w:r>
        <w:rPr>
          <w:rFonts w:hint="eastAsia" w:asciiTheme="minorEastAsia" w:hAnsiTheme="minorEastAsia" w:eastAsiaTheme="minorEastAsia" w:cstheme="minorEastAsia"/>
          <w:bCs/>
          <w:szCs w:val="24"/>
          <w:highlight w:val="none"/>
          <w:lang w:val="en-US" w:eastAsia="zh-CN"/>
        </w:rPr>
        <w:t>成交</w:t>
      </w:r>
      <w:r>
        <w:rPr>
          <w:rFonts w:hint="eastAsia" w:asciiTheme="minorEastAsia" w:hAnsiTheme="minorEastAsia" w:eastAsiaTheme="minorEastAsia" w:cstheme="minorEastAsia"/>
          <w:bCs/>
          <w:szCs w:val="24"/>
          <w:highlight w:val="none"/>
        </w:rPr>
        <w:t>单位确需更换项目负责人，新更换的项目负责人须与</w:t>
      </w:r>
      <w:r>
        <w:rPr>
          <w:rFonts w:hint="eastAsia" w:asciiTheme="minorEastAsia" w:hAnsiTheme="minorEastAsia" w:eastAsiaTheme="minorEastAsia" w:cstheme="minorEastAsia"/>
          <w:bCs/>
          <w:szCs w:val="24"/>
          <w:highlight w:val="none"/>
          <w:lang w:val="en-US" w:eastAsia="zh-CN"/>
        </w:rPr>
        <w:t>响应</w:t>
      </w:r>
      <w:r>
        <w:rPr>
          <w:rFonts w:hint="eastAsia" w:asciiTheme="minorEastAsia" w:hAnsiTheme="minorEastAsia" w:eastAsiaTheme="minorEastAsia" w:cstheme="minorEastAsia"/>
          <w:bCs/>
          <w:szCs w:val="24"/>
          <w:highlight w:val="none"/>
        </w:rPr>
        <w:t>时所承诺的专业、资格等级、技术职称等内容一致或高于原资格条件；同时要求至少提前7个工作日以书面形式通知采购人，并将拟更换的人员个人资料一并上报，经采购人审核同意后，方可更换。</w:t>
      </w:r>
    </w:p>
    <w:p w14:paraId="63AF2B07">
      <w:pPr>
        <w:pStyle w:val="6"/>
        <w:spacing w:line="360" w:lineRule="auto"/>
        <w:rPr>
          <w:rFonts w:hint="default" w:asciiTheme="minorEastAsia" w:hAnsi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sz w:val="24"/>
          <w:szCs w:val="24"/>
          <w:highlight w:val="none"/>
          <w:lang w:val="en-US" w:eastAsia="zh-CN"/>
        </w:rPr>
        <w:t>九</w:t>
      </w:r>
      <w:r>
        <w:rPr>
          <w:rFonts w:asciiTheme="minorEastAsia" w:hAnsiTheme="minorEastAsia" w:cstheme="minorEastAsia"/>
          <w:b/>
          <w:sz w:val="24"/>
          <w:szCs w:val="24"/>
          <w:highlight w:val="none"/>
          <w:lang w:eastAsia="zh-CN"/>
        </w:rPr>
        <w:t>、考核验收</w:t>
      </w:r>
      <w:r>
        <w:rPr>
          <w:rFonts w:asciiTheme="minorEastAsia" w:hAnsiTheme="minorEastAsia" w:cstheme="minorEastAsia"/>
          <w:b/>
          <w:sz w:val="24"/>
          <w:szCs w:val="24"/>
          <w:highlight w:val="none"/>
        </w:rPr>
        <w:t>：</w:t>
      </w:r>
    </w:p>
    <w:p w14:paraId="4E07650F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3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1、</w:t>
      </w:r>
      <w:r>
        <w:rPr>
          <w:rFonts w:ascii="宋体" w:hAnsi="宋体" w:eastAsia="宋体" w:cs="宋体"/>
          <w:sz w:val="24"/>
          <w:szCs w:val="24"/>
          <w:highlight w:val="none"/>
        </w:rPr>
        <w:t>合同所有内容完成后，由乙方进行自检，合格后，准备验收文件，并书面通知甲方验收。甲方根据采购合同约定，对合同内容进行验收。</w:t>
      </w:r>
    </w:p>
    <w:p w14:paraId="4BF601CD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outlineLvl w:val="3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2、</w:t>
      </w:r>
      <w:r>
        <w:rPr>
          <w:rFonts w:ascii="宋体" w:hAnsi="宋体" w:eastAsia="宋体" w:cs="宋体"/>
          <w:sz w:val="24"/>
          <w:szCs w:val="24"/>
          <w:highlight w:val="none"/>
        </w:rPr>
        <w:t>验收依据：</w:t>
      </w:r>
    </w:p>
    <w:p w14:paraId="7EB05FEB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outlineLvl w:val="3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t>（1）本合同及附加文本；</w:t>
      </w:r>
    </w:p>
    <w:p w14:paraId="387E7E89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outlineLvl w:val="3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t>（2）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谈判</w:t>
      </w:r>
      <w:r>
        <w:rPr>
          <w:rFonts w:ascii="宋体" w:hAnsi="宋体" w:eastAsia="宋体" w:cs="宋体"/>
          <w:sz w:val="24"/>
          <w:szCs w:val="24"/>
          <w:highlight w:val="none"/>
        </w:rPr>
        <w:t>文件、成交供应商的响应文件及澄清函；</w:t>
      </w:r>
    </w:p>
    <w:p w14:paraId="320F9F4D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outlineLvl w:val="3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t>（3）国家相应的标准、规范。</w:t>
      </w:r>
    </w:p>
    <w:p w14:paraId="22304B69">
      <w:pPr>
        <w:spacing w:line="360" w:lineRule="auto"/>
        <w:rPr>
          <w:rFonts w:asciiTheme="minorEastAsia" w:hAnsi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十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</w:rPr>
        <w:t>、违约责任：</w:t>
      </w:r>
    </w:p>
    <w:p w14:paraId="76F12416"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1.按《中华人民共和国政府采购法》、《中华人民共和国民法典》中的相关条款执行。</w:t>
      </w:r>
    </w:p>
    <w:p w14:paraId="2D183CB4">
      <w:pPr>
        <w:tabs>
          <w:tab w:val="left" w:pos="152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2.未按合同或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文件要求提供产品或供应的产品质量不能满足采购人技术要求，采购人有权终止合同，甚至对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成交供应商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违约行为进行追究。</w:t>
      </w:r>
    </w:p>
    <w:p w14:paraId="16461258">
      <w:pPr>
        <w:pStyle w:val="2"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Cs w:val="24"/>
          <w:highlight w:val="none"/>
        </w:rPr>
        <w:t>3.</w:t>
      </w:r>
      <w:r>
        <w:rPr>
          <w:rFonts w:hint="eastAsia" w:asciiTheme="minorEastAsia" w:hAnsiTheme="minorEastAsia" w:eastAsiaTheme="minorEastAsia" w:cstheme="minorEastAsia"/>
          <w:szCs w:val="24"/>
          <w:highlight w:val="none"/>
          <w:lang w:val="en-US" w:eastAsia="zh-CN"/>
        </w:rPr>
        <w:t>成交供应商</w:t>
      </w:r>
      <w:r>
        <w:rPr>
          <w:rFonts w:hint="eastAsia" w:asciiTheme="minorEastAsia" w:hAnsiTheme="minorEastAsia" w:eastAsiaTheme="minorEastAsia" w:cstheme="minorEastAsia"/>
          <w:szCs w:val="24"/>
          <w:highlight w:val="none"/>
        </w:rPr>
        <w:t>的</w:t>
      </w:r>
      <w:r>
        <w:rPr>
          <w:rFonts w:hint="eastAsia" w:asciiTheme="minorEastAsia" w:hAnsiTheme="minorEastAsia" w:eastAsiaTheme="minorEastAsia" w:cstheme="minorEastAsia"/>
          <w:szCs w:val="24"/>
          <w:highlight w:val="none"/>
          <w:lang w:val="en-US" w:eastAsia="zh-CN"/>
        </w:rPr>
        <w:t>响应</w:t>
      </w:r>
      <w:r>
        <w:rPr>
          <w:rFonts w:hint="eastAsia" w:asciiTheme="minorEastAsia" w:hAnsiTheme="minorEastAsia" w:eastAsiaTheme="minorEastAsia" w:cstheme="minorEastAsia"/>
          <w:szCs w:val="24"/>
          <w:highlight w:val="none"/>
        </w:rPr>
        <w:t>文件为签订正式书面合同书不可分割的部分，</w:t>
      </w:r>
      <w:r>
        <w:rPr>
          <w:rFonts w:hint="eastAsia" w:asciiTheme="minorEastAsia" w:hAnsiTheme="minorEastAsia" w:eastAsiaTheme="minorEastAsia" w:cstheme="minorEastAsia"/>
          <w:szCs w:val="24"/>
          <w:highlight w:val="none"/>
          <w:lang w:val="en-US" w:eastAsia="zh-CN"/>
        </w:rPr>
        <w:t>成交供应商</w:t>
      </w:r>
      <w:r>
        <w:rPr>
          <w:rFonts w:hint="eastAsia" w:asciiTheme="minorEastAsia" w:hAnsiTheme="minorEastAsia" w:eastAsiaTheme="minorEastAsia" w:cstheme="minorEastAsia"/>
          <w:szCs w:val="24"/>
          <w:highlight w:val="none"/>
        </w:rPr>
        <w:t>应履行相应的责任</w:t>
      </w:r>
      <w:r>
        <w:rPr>
          <w:rFonts w:hint="eastAsia" w:asciiTheme="minorEastAsia" w:hAnsiTheme="minorEastAsia" w:eastAsiaTheme="minorEastAsia" w:cstheme="minorEastAsia"/>
          <w:szCs w:val="24"/>
          <w:highlight w:val="none"/>
          <w:lang w:bidi="ar"/>
        </w:rPr>
        <w:t>。</w:t>
      </w:r>
    </w:p>
    <w:p w14:paraId="21C2B8CF">
      <w:pPr>
        <w:spacing w:line="360" w:lineRule="auto"/>
        <w:rPr>
          <w:rFonts w:asciiTheme="minorEastAsia" w:hAnsi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sz w:val="24"/>
          <w:szCs w:val="24"/>
          <w:highlight w:val="none"/>
        </w:rPr>
        <w:t>十</w:t>
      </w:r>
      <w:r>
        <w:rPr>
          <w:rFonts w:hint="eastAsia" w:asciiTheme="minorEastAsia" w:hAnsiTheme="minorEastAsia" w:cstheme="minorEastAsia"/>
          <w:b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Theme="minorEastAsia" w:hAnsiTheme="minorEastAsia" w:cstheme="minorEastAsia"/>
          <w:b/>
          <w:sz w:val="24"/>
          <w:szCs w:val="24"/>
          <w:highlight w:val="none"/>
        </w:rPr>
        <w:t>、合同争议的解决</w:t>
      </w:r>
    </w:p>
    <w:p w14:paraId="367BAA77"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合同执行中发生争议的，当事人双方应协商解决，协商达不成一致时，可向采购人所在地人民法院提请诉讼。</w:t>
      </w:r>
    </w:p>
    <w:p w14:paraId="6F529B99">
      <w:pPr>
        <w:spacing w:line="360" w:lineRule="auto"/>
        <w:jc w:val="left"/>
        <w:rPr>
          <w:rFonts w:asciiTheme="minorEastAsia" w:hAnsi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</w:rPr>
        <w:t>十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</w:rPr>
        <w:t>、不可抗力情况下的免责约定</w:t>
      </w:r>
    </w:p>
    <w:p w14:paraId="13962ED9">
      <w:pPr>
        <w:spacing w:line="360" w:lineRule="auto"/>
        <w:jc w:val="left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6FF0DB24">
      <w:pPr>
        <w:spacing w:line="360" w:lineRule="auto"/>
        <w:rPr>
          <w:rFonts w:asciiTheme="minorEastAsia" w:hAnsi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sz w:val="24"/>
          <w:szCs w:val="24"/>
          <w:highlight w:val="none"/>
        </w:rPr>
        <w:t>十</w:t>
      </w:r>
      <w:r>
        <w:rPr>
          <w:rFonts w:hint="eastAsia" w:asciiTheme="minorEastAsia" w:hAnsiTheme="minorEastAsia" w:cstheme="minorEastAsia"/>
          <w:b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Theme="minorEastAsia" w:hAnsiTheme="minorEastAsia" w:cstheme="minorEastAsia"/>
          <w:b/>
          <w:sz w:val="24"/>
          <w:szCs w:val="24"/>
          <w:highlight w:val="none"/>
        </w:rPr>
        <w:t>、合同订立</w:t>
      </w:r>
    </w:p>
    <w:p w14:paraId="2D34B247">
      <w:pPr>
        <w:adjustRightInd w:val="0"/>
        <w:snapToGrid w:val="0"/>
        <w:spacing w:line="360" w:lineRule="auto"/>
        <w:ind w:firstLine="475" w:firstLineChars="198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1. 订立时间：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日。</w:t>
      </w:r>
    </w:p>
    <w:p w14:paraId="788C674F">
      <w:pPr>
        <w:adjustRightInd w:val="0"/>
        <w:snapToGrid w:val="0"/>
        <w:spacing w:line="360" w:lineRule="auto"/>
        <w:ind w:firstLine="475" w:firstLineChars="198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2. 订立地点：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                                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。</w:t>
      </w:r>
    </w:p>
    <w:p w14:paraId="41D11573">
      <w:pPr>
        <w:tabs>
          <w:tab w:val="left" w:pos="980"/>
        </w:tabs>
        <w:kinsoku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3. 本合同一式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  <w:lang w:val="en-US" w:eastAsia="zh-CN"/>
        </w:rPr>
        <w:t>肆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份，具有同等法律效力，双方各执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贰 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份。各方签字盖章后生效，合同执行完毕自动失效。（合同的服务承诺则长期有效）。</w:t>
      </w:r>
    </w:p>
    <w:p w14:paraId="3957CE86">
      <w:pPr>
        <w:tabs>
          <w:tab w:val="left" w:pos="480"/>
        </w:tabs>
        <w:spacing w:line="360" w:lineRule="auto"/>
        <w:ind w:firstLine="1205" w:firstLineChars="500"/>
        <w:rPr>
          <w:rFonts w:asciiTheme="minorEastAsia" w:hAnsi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sz w:val="24"/>
          <w:szCs w:val="24"/>
          <w:highlight w:val="none"/>
        </w:rPr>
        <w:t>甲  方（公章）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                </w:t>
      </w:r>
      <w:r>
        <w:rPr>
          <w:rFonts w:hint="eastAsia" w:asciiTheme="minorEastAsia" w:hAnsiTheme="minorEastAsia" w:cstheme="minorEastAsia"/>
          <w:b/>
          <w:sz w:val="24"/>
          <w:szCs w:val="24"/>
          <w:highlight w:val="none"/>
        </w:rPr>
        <w:t xml:space="preserve">乙  方（公章）         </w:t>
      </w:r>
    </w:p>
    <w:p w14:paraId="41032977">
      <w:pPr>
        <w:tabs>
          <w:tab w:val="left" w:pos="480"/>
        </w:tabs>
        <w:spacing w:line="360" w:lineRule="auto"/>
        <w:ind w:firstLine="1200" w:firstLineChars="5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单位名称：                    单位名称：                </w:t>
      </w:r>
    </w:p>
    <w:p w14:paraId="3C6C0AF7">
      <w:pPr>
        <w:tabs>
          <w:tab w:val="left" w:pos="480"/>
        </w:tabs>
        <w:spacing w:line="360" w:lineRule="auto"/>
        <w:ind w:firstLine="1200" w:firstLineChars="5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地    址：                    地    址：               </w:t>
      </w:r>
    </w:p>
    <w:p w14:paraId="5BD5EB60">
      <w:pPr>
        <w:tabs>
          <w:tab w:val="left" w:pos="480"/>
        </w:tabs>
        <w:spacing w:line="360" w:lineRule="auto"/>
        <w:ind w:firstLine="1200" w:firstLineChars="5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代 理 人：                    代 理 人：              </w:t>
      </w:r>
    </w:p>
    <w:p w14:paraId="38392868">
      <w:pPr>
        <w:tabs>
          <w:tab w:val="left" w:pos="480"/>
        </w:tabs>
        <w:spacing w:line="360" w:lineRule="auto"/>
        <w:ind w:firstLine="1200" w:firstLineChars="5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联系电话：                    联系电话：               </w:t>
      </w:r>
    </w:p>
    <w:p w14:paraId="12092522">
      <w:pPr>
        <w:tabs>
          <w:tab w:val="left" w:pos="480"/>
        </w:tabs>
        <w:spacing w:line="360" w:lineRule="auto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                                        账    号：</w:t>
      </w:r>
    </w:p>
    <w:p w14:paraId="62728A37">
      <w:pPr>
        <w:tabs>
          <w:tab w:val="left" w:pos="480"/>
        </w:tabs>
        <w:spacing w:line="360" w:lineRule="auto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                                        开户银行： </w:t>
      </w:r>
    </w:p>
    <w:p w14:paraId="5297CFA0">
      <w:pPr>
        <w:pStyle w:val="6"/>
        <w:ind w:firstLine="1200" w:firstLineChars="500"/>
        <w:rPr>
          <w:rFonts w:hint="eastAsia" w:ascii="宋体" w:hAnsi="宋体" w:eastAsia="宋体" w:cs="宋体"/>
          <w:lang w:val="en-US" w:eastAsia="zh-Hans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签订日期：                    签订日期：</w:t>
      </w:r>
    </w:p>
    <w:p w14:paraId="3D191078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F33FFA"/>
    <w:rsid w:val="29A8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2026-04-07T06:27:00Z</dcterms:created>
  <dc:creator>正翼</dc:creator>
  <cp:lastModifiedBy>正翼</cp:lastModifiedBy>
  <dcterms:modified xsi:type="dcterms:W3CDTF">2026-05-28T07:22:50Z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5B7099E1AF134C0AB5AE47B714C6499E_12</vt:lpwstr>
  </property>
  <property fmtid="{D5CDD505-2E9C-101B-9397-08002B2CF9AE}" pid="4" name="KSOTemplateDocerSaveRecord">
    <vt:lpwstr>eyJoZGlkIjoiZjg2MzQxZjlhNDA2YWZmNzJkMzNiMDViMTdlZWMzNzUiLCJ1c2VySWQiOiI0NTEzNTU3OTIifQ==</vt:lpwstr>
  </property>
</Properties>
</file>