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版本号：YD2026-01520260723001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鄠邑区教育局2026-2027学年度校（园）方责任保险</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YD2026-015</w:t>
      </w:r>
      <w:r>
        <w:br/>
      </w:r>
      <w:r>
        <w:br/>
      </w:r>
      <w:r>
        <w:br/>
      </w:r>
    </w:p>
    <w:p>
      <w:pPr>
        <w:pStyle w:val="null3"/>
        <w:jc w:val="center"/>
        <w:outlineLvl w:val="2"/>
      </w:pPr>
      <w:r>
        <w:rPr>
          <w:rFonts w:ascii="仿宋_GB2312" w:hAnsi="仿宋_GB2312" w:cs="仿宋_GB2312" w:eastAsia="仿宋_GB2312"/>
          <w:sz w:val="28"/>
          <w:b/>
        </w:rPr>
        <w:t>西安市鄠邑区教育局</w:t>
      </w:r>
    </w:p>
    <w:p>
      <w:pPr>
        <w:pStyle w:val="null3"/>
        <w:jc w:val="center"/>
        <w:outlineLvl w:val="2"/>
      </w:pPr>
      <w:r>
        <w:rPr>
          <w:rFonts w:ascii="仿宋_GB2312" w:hAnsi="仿宋_GB2312" w:cs="仿宋_GB2312" w:eastAsia="仿宋_GB2312"/>
          <w:sz w:val="28"/>
          <w:b/>
        </w:rPr>
        <w:t>陕西云鼎项目管理有限责任公司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陕西云鼎项目管理有限责任公司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西安市鄠邑区教育局</w:t>
      </w:r>
      <w:r>
        <w:rPr>
          <w:rFonts w:ascii="仿宋_GB2312" w:hAnsi="仿宋_GB2312" w:cs="仿宋_GB2312" w:eastAsia="仿宋_GB2312"/>
        </w:rPr>
        <w:t>委托，拟对</w:t>
      </w:r>
      <w:r>
        <w:rPr>
          <w:rFonts w:ascii="仿宋_GB2312" w:hAnsi="仿宋_GB2312" w:cs="仿宋_GB2312" w:eastAsia="仿宋_GB2312"/>
        </w:rPr>
        <w:t>鄠邑区教育局2026-2027学年度校（园）方责任保险</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YD2026-015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鄠邑区教育局2026-2027学年度校（园）方责任保险</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建立完善校园意外伤害事故风险管理机制，保障学生合法权益，降低学校安全责任风险，保障教育安全稳定发展，现实施2026-2027学年度校（园)方责任保险，项目初步预算900000.00元，在各校（园）公用经费中列支。</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单位负责人）直接参与磋商的，须出具法定代表人（单位负责人）证明（附法人或单位负责人身份证复印件）；法定代表人（单位负责人）授权代表参与磋商的，须出具法人（单位负责人）授权委托书（附法人或单位负责人及授权代表身份证复印件)：法定代表人（单位负责人）直接参与磋商的，须出具法定代表人（单位负责人）证明（附法人或单位负责人身份证复印件）；法定代表人（单位负责人）授权代表参与磋商的，须出具法人（单位负责人）授权委托书（附法人或单位负责人及授权代表身份证复印件)。供应商 需在项目电子化交易系统中按要求上传相应证明文件并进行电子签章。</w:t>
      </w:r>
    </w:p>
    <w:p>
      <w:pPr>
        <w:pStyle w:val="null3"/>
      </w:pPr>
      <w:r>
        <w:rPr>
          <w:rFonts w:ascii="仿宋_GB2312" w:hAnsi="仿宋_GB2312" w:cs="仿宋_GB2312" w:eastAsia="仿宋_GB2312"/>
        </w:rPr>
        <w:t>2、供应商须具有行业主管部门颁发的《保险许可证》或《金融许可证》（备注：本项目仅允许有承保意愿的保险公司本部或授权的一个分支机构参与投标。投标人若为分公司，须出具公司本部针对本项目的唯一授权书，总公司与分公司同时参与投标的，分公司投标无效）：供应商须具有行业主管部门颁发的《保险许可证》或《金融许可证》（备注：本项目仅允许有承保意愿的保险公司本部或授权的一个分支机构参与投标。投标人若为分公司，须出具公司本部针对本项目的唯一授权书，总公司与分公司同时参与投标的，分公司投标无效）。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鄠邑区涝滨南路3号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西安市鄠邑区教育局经办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029-84812962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陕西云鼎项目管理有限责任公司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陕西省西安市碑林区陕西省西安市碑林区南二环西段21号华融国际商务大厦A座18层03室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范文辉、古德隆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13892888735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招标代理服务收费管理暂行办法》的通知（计价格〔2002〕1980号）、《国家发展和改革委员会办公厅关于招标代理服务收费有关问题的通知》（发改办价格〔2003〕857号）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西安市鄠邑区教育局</w:t>
      </w:r>
      <w:r>
        <w:rPr>
          <w:rFonts w:ascii="仿宋_GB2312" w:hAnsi="仿宋_GB2312" w:cs="仿宋_GB2312" w:eastAsia="仿宋_GB2312"/>
        </w:rPr>
        <w:t>和</w:t>
      </w:r>
      <w:r>
        <w:rPr>
          <w:rFonts w:ascii="仿宋_GB2312" w:hAnsi="仿宋_GB2312" w:cs="仿宋_GB2312" w:eastAsia="仿宋_GB2312"/>
        </w:rPr>
        <w:t>陕西云鼎项目管理有限责任公司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陕西云鼎项目管理有限责任公司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陕西云鼎项目管理有限责任公司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陕西云鼎项目管理有限责任公司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陕西云鼎项目管理有限责任公司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陕西云鼎项目管理有限责任公司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联系人：古德隆</w:t>
      </w:r>
    </w:p>
    <w:p>
      <w:pPr>
        <w:pStyle w:val="null3"/>
      </w:pPr>
      <w:r>
        <w:rPr>
          <w:rFonts w:ascii="仿宋_GB2312" w:hAnsi="仿宋_GB2312" w:cs="仿宋_GB2312" w:eastAsia="仿宋_GB2312"/>
        </w:rPr>
        <w:t>联系电话：13759999744</w:t>
      </w:r>
    </w:p>
    <w:p>
      <w:pPr>
        <w:pStyle w:val="null3"/>
      </w:pPr>
      <w:r>
        <w:rPr>
          <w:rFonts w:ascii="仿宋_GB2312" w:hAnsi="仿宋_GB2312" w:cs="仿宋_GB2312" w:eastAsia="仿宋_GB2312"/>
        </w:rPr>
        <w:t>地址：陕西省西安市碑林区陕西省西安市碑林区南二环西段21号华融国际商务大厦A座18层03室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建立完善校园意外伤害事故风险管理机制，保障学生合法权益，降低学校安全责任风险，保障教育安全稳定发展，现实施2026-2027学年度校（园)方责任保险，项目初步预算900000.00元，在各校（园）公用经费中列支。</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校（园）方责任保险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标的名称：校（园）方责任保险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一、项目概况</w:t>
            </w:r>
          </w:p>
          <w:p>
            <w:pPr>
              <w:pStyle w:val="null3"/>
              <w:ind w:firstLine="480"/>
              <w:jc w:val="both"/>
            </w:pPr>
            <w:r>
              <w:rPr>
                <w:rFonts w:ascii="仿宋_GB2312" w:hAnsi="仿宋_GB2312" w:cs="仿宋_GB2312" w:eastAsia="仿宋_GB2312"/>
                <w:sz w:val="24"/>
              </w:rPr>
              <w:t>为进一步建立完善校园意外伤害事故风险管理机制，保障学生合法权益，降低学校安全责任风险，保障教育安全稳定发展，现实施</w:t>
            </w:r>
            <w:r>
              <w:rPr>
                <w:rFonts w:ascii="仿宋_GB2312" w:hAnsi="仿宋_GB2312" w:cs="仿宋_GB2312" w:eastAsia="仿宋_GB2312"/>
                <w:sz w:val="24"/>
              </w:rPr>
              <w:t>2026-2027学年度校（园)方责任保险，项目初步预算900000</w:t>
            </w:r>
            <w:r>
              <w:rPr>
                <w:rFonts w:ascii="仿宋_GB2312" w:hAnsi="仿宋_GB2312" w:cs="仿宋_GB2312" w:eastAsia="仿宋_GB2312"/>
                <w:sz w:val="24"/>
              </w:rPr>
              <w:t>.00</w:t>
            </w:r>
            <w:r>
              <w:rPr>
                <w:rFonts w:ascii="仿宋_GB2312" w:hAnsi="仿宋_GB2312" w:cs="仿宋_GB2312" w:eastAsia="仿宋_GB2312"/>
                <w:sz w:val="24"/>
              </w:rPr>
              <w:t>元，在各校（园）公用经费中列支。</w:t>
            </w:r>
          </w:p>
          <w:p>
            <w:pPr>
              <w:pStyle w:val="null3"/>
              <w:jc w:val="both"/>
            </w:pPr>
            <w:r>
              <w:rPr>
                <w:rFonts w:ascii="仿宋_GB2312" w:hAnsi="仿宋_GB2312" w:cs="仿宋_GB2312" w:eastAsia="仿宋_GB2312"/>
                <w:sz w:val="24"/>
              </w:rPr>
              <w:t>二、服务内容</w:t>
            </w:r>
          </w:p>
          <w:p>
            <w:pPr>
              <w:pStyle w:val="null3"/>
              <w:ind w:firstLine="420"/>
              <w:jc w:val="both"/>
            </w:pPr>
            <w:r>
              <w:rPr>
                <w:rFonts w:ascii="仿宋_GB2312" w:hAnsi="仿宋_GB2312" w:cs="仿宋_GB2312" w:eastAsia="仿宋_GB2312"/>
                <w:sz w:val="24"/>
              </w:rPr>
              <w:t>1、投保范围：西安市鄠邑区教育局中小学及幼儿园约为60000名学生（以2026年9月实际注册人数字为准），</w:t>
            </w:r>
            <w:r>
              <w:rPr>
                <w:rFonts w:ascii="仿宋_GB2312" w:hAnsi="仿宋_GB2312" w:cs="仿宋_GB2312" w:eastAsia="仿宋_GB2312"/>
                <w:sz w:val="24"/>
              </w:rPr>
              <w:t>按照每生</w:t>
            </w:r>
            <w:r>
              <w:rPr>
                <w:rFonts w:ascii="仿宋_GB2312" w:hAnsi="仿宋_GB2312" w:cs="仿宋_GB2312" w:eastAsia="仿宋_GB2312"/>
                <w:sz w:val="24"/>
              </w:rPr>
              <w:t>15元标准，</w:t>
            </w:r>
            <w:r>
              <w:rPr>
                <w:rFonts w:ascii="仿宋_GB2312" w:hAnsi="仿宋_GB2312" w:cs="仿宋_GB2312" w:eastAsia="仿宋_GB2312"/>
                <w:sz w:val="24"/>
              </w:rPr>
              <w:t>本次保险内容为：</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1）校（园）方责任险每生每年保费10元；</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2）校（园）方无过失责任险每生每年保费5元。</w:t>
            </w:r>
          </w:p>
          <w:p>
            <w:pPr>
              <w:pStyle w:val="null3"/>
              <w:ind w:firstLine="420"/>
              <w:jc w:val="both"/>
            </w:pPr>
            <w:r>
              <w:rPr>
                <w:rFonts w:ascii="仿宋_GB2312" w:hAnsi="仿宋_GB2312" w:cs="仿宋_GB2312" w:eastAsia="仿宋_GB2312"/>
                <w:sz w:val="24"/>
              </w:rPr>
              <w:t>2、西安市鄠邑区教育局辖区中小学、幼儿园投保校方责任保险的，以本次磋商内容及报价为依据执行。</w:t>
            </w:r>
          </w:p>
          <w:p>
            <w:pPr>
              <w:pStyle w:val="null3"/>
              <w:ind w:firstLine="420"/>
              <w:jc w:val="both"/>
            </w:pPr>
            <w:r>
              <w:rPr>
                <w:rFonts w:ascii="仿宋_GB2312" w:hAnsi="仿宋_GB2312" w:cs="仿宋_GB2312" w:eastAsia="仿宋_GB2312"/>
                <w:sz w:val="24"/>
              </w:rPr>
              <w:t>3、赔偿限额</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1）校（园）方责任险</w:t>
            </w:r>
          </w:p>
          <w:p>
            <w:pPr>
              <w:pStyle w:val="null3"/>
              <w:ind w:firstLine="420"/>
              <w:jc w:val="both"/>
            </w:pPr>
            <w:r>
              <w:rPr>
                <w:rFonts w:ascii="仿宋_GB2312" w:hAnsi="仿宋_GB2312" w:cs="仿宋_GB2312" w:eastAsia="仿宋_GB2312"/>
                <w:sz w:val="24"/>
              </w:rPr>
              <w:t>1-1、每生每年累计赔偿限额不低于人民币肆拾万元（￥400000.00元）。</w:t>
            </w:r>
          </w:p>
          <w:p>
            <w:pPr>
              <w:pStyle w:val="null3"/>
              <w:ind w:firstLine="420"/>
              <w:jc w:val="both"/>
            </w:pPr>
            <w:r>
              <w:rPr>
                <w:rFonts w:ascii="仿宋_GB2312" w:hAnsi="仿宋_GB2312" w:cs="仿宋_GB2312" w:eastAsia="仿宋_GB2312"/>
                <w:sz w:val="24"/>
              </w:rPr>
              <w:t>1-2、每所学校每次事故赔偿限额不低于人民币捌佰万元 (￥8000000.00元)。</w:t>
            </w:r>
          </w:p>
          <w:p>
            <w:pPr>
              <w:pStyle w:val="null3"/>
              <w:ind w:firstLine="420"/>
              <w:jc w:val="both"/>
            </w:pPr>
            <w:r>
              <w:rPr>
                <w:rFonts w:ascii="仿宋_GB2312" w:hAnsi="仿宋_GB2312" w:cs="仿宋_GB2312" w:eastAsia="仿宋_GB2312"/>
                <w:sz w:val="24"/>
              </w:rPr>
              <w:t>1-3、每所学校每年累计赔偿不设赔偿限额。</w:t>
            </w:r>
          </w:p>
          <w:p>
            <w:pPr>
              <w:pStyle w:val="null3"/>
              <w:ind w:firstLine="420"/>
              <w:jc w:val="both"/>
            </w:pPr>
            <w:r>
              <w:rPr>
                <w:rFonts w:ascii="仿宋_GB2312" w:hAnsi="仿宋_GB2312" w:cs="仿宋_GB2312" w:eastAsia="仿宋_GB2312"/>
                <w:sz w:val="24"/>
              </w:rPr>
              <w:t>1-4、以上所有赔偿项目均不设免赔额。</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2）校（园）方无过失责任险</w:t>
            </w:r>
          </w:p>
          <w:p>
            <w:pPr>
              <w:pStyle w:val="null3"/>
              <w:ind w:firstLine="420"/>
              <w:jc w:val="both"/>
            </w:pPr>
            <w:r>
              <w:rPr>
                <w:rFonts w:ascii="仿宋_GB2312" w:hAnsi="仿宋_GB2312" w:cs="仿宋_GB2312" w:eastAsia="仿宋_GB2312"/>
                <w:sz w:val="24"/>
              </w:rPr>
              <w:t>2-1、每生每年累计赔偿限额不低于人民币壹拾万元（￥100000.00元）。</w:t>
            </w:r>
          </w:p>
          <w:p>
            <w:pPr>
              <w:pStyle w:val="null3"/>
              <w:ind w:firstLine="420"/>
              <w:jc w:val="both"/>
            </w:pPr>
            <w:r>
              <w:rPr>
                <w:rFonts w:ascii="仿宋_GB2312" w:hAnsi="仿宋_GB2312" w:cs="仿宋_GB2312" w:eastAsia="仿宋_GB2312"/>
                <w:sz w:val="24"/>
              </w:rPr>
              <w:t>2-2、每所学校每次事故赔偿限额不低于人民币壹佰万元(￥1000000.00元)。</w:t>
            </w:r>
          </w:p>
          <w:p>
            <w:pPr>
              <w:pStyle w:val="null3"/>
              <w:ind w:firstLine="420"/>
              <w:jc w:val="both"/>
            </w:pPr>
            <w:r>
              <w:rPr>
                <w:rFonts w:ascii="仿宋_GB2312" w:hAnsi="仿宋_GB2312" w:cs="仿宋_GB2312" w:eastAsia="仿宋_GB2312"/>
                <w:sz w:val="24"/>
              </w:rPr>
              <w:t>2-3、每所学校每年累计赔偿不设赔偿限额。</w:t>
            </w:r>
          </w:p>
          <w:p>
            <w:pPr>
              <w:pStyle w:val="null3"/>
              <w:ind w:firstLine="420"/>
              <w:jc w:val="both"/>
            </w:pPr>
            <w:r>
              <w:rPr>
                <w:rFonts w:ascii="仿宋_GB2312" w:hAnsi="仿宋_GB2312" w:cs="仿宋_GB2312" w:eastAsia="仿宋_GB2312"/>
                <w:sz w:val="24"/>
              </w:rPr>
              <w:t>2-4、以上所有赔偿项目均不设免赔额。</w:t>
            </w:r>
          </w:p>
          <w:p>
            <w:pPr>
              <w:pStyle w:val="null3"/>
              <w:jc w:val="both"/>
            </w:pPr>
            <w:r>
              <w:rPr>
                <w:rFonts w:ascii="仿宋_GB2312" w:hAnsi="仿宋_GB2312" w:cs="仿宋_GB2312" w:eastAsia="仿宋_GB2312"/>
                <w:sz w:val="24"/>
              </w:rPr>
              <w:t>三、技术要求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协助采购人做好对被保险单位的承保宣传和培训工作。</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按照合同规定及时做好出险案件查勘和理赔工作。</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建立重大事故协调处理机制，及时配合采购人制定重大事故的赔偿处置方案，快速处理，解决纠纷。</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建立通融赔付机制，对于特殊事件，积极同采购人进行协商，妥善予以解决。</w:t>
            </w:r>
          </w:p>
          <w:p>
            <w:pPr>
              <w:pStyle w:val="null3"/>
              <w:jc w:val="both"/>
            </w:pPr>
            <w:r>
              <w:rPr>
                <w:rFonts w:ascii="仿宋_GB2312" w:hAnsi="仿宋_GB2312" w:cs="仿宋_GB2312" w:eastAsia="仿宋_GB2312"/>
                <w:sz w:val="24"/>
              </w:rPr>
              <w:t>四、服务要求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针对本项目配备相关业务人员，确保按期完成投保；</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接到投保人的投保信息通知，</w:t>
            </w:r>
            <w:r>
              <w:rPr>
                <w:rFonts w:ascii="仿宋_GB2312" w:hAnsi="仿宋_GB2312" w:cs="仿宋_GB2312" w:eastAsia="仿宋_GB2312"/>
                <w:sz w:val="24"/>
              </w:rPr>
              <w:t>1天内出具保险单证，并送达到指定地方。</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每周对投保情况进行汇总，提交采购人；</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被报险学校有人员变动、名称或地址变更、合并、注销、分立、设立分校等事宜时，及时做好上述事项的保全服务工作。</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具有专人负责跟采购人进行对接，确保及时处理突发情况。</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针对本项⽬配备相关业务⼈员，确保按期完成投保。2、承保公司应当成立专门的校方责任保险理赔服务机构，由有经验的专业理赔人员负责理赔服务工作，并配备相应的办公设备。3、具有专⼈负责跟采购⼈进⾏对接，确保及时处理突发情况。</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满足项目采购需求配备设施设备。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1、进度要求 按要求完成投保办理工作。 2、成果交付要求 完成全区各级各类学校投保工作。 3、质量验收标准或规范 本项目必须符合保险行业相关规范标准。 4、供应商应于采购人每次付款前向采购人开具等额保单和发票。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壹年，自2026年9月1日起生效，至2027年8月31日终止。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其他，所有投保服务完成后，且经采购人核验合格后，各校单位统一向投保专户划拨保费，达到付款条件起30个工作日内，支付合同总金额的100.0%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1、如果乙方没有按照合同规定的要求提供服务，或保险期限内各项服务有不当之处或者甲方有不良反映的，甲方有权终止本协议。 2、如发生合同纠纷，合同双方应按照《中华人民共和国民法典》规定及合同条款约定进行处理。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成交供应商应在成交公告发布之日起3个工作日内将响应文件纸质版正本壹份、副本贰份、电子版（U盘1个）贰份（包含 word及PDF格式响应文件所有内容。）送达至招标代理机构。（纸质响应文件建议A4纸双面打印，正、副本分别各自装订成册并编制目录和页码，并加盖公章。）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供应商应具有独立承担民事责任能力的法人、其他组织或自然人，并出具合法有效的营业执照或事业单位法人证书等国家规定的相关证明，自然人参与的提供其身份证明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供应商应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或提供其开标前三个月内基本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完税证明，完税证明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以采购人或采购代理机构于响应文件递交截止日当天查询结果为准，凡被列入失信被执行人、重大税收违法案件当事人名单、政府采购严重违法失信行为记录名单的，视为存在不良信用记录，参与本项目将被拒绝。（信用记录自查截图） 供应商应符合《财政部关于在政府采购活动中查询及使用信用记录有关问题的通知》（财库【2016】125号）文件中信用查询的要求。供应商需在项目电子化交易系统中按要求上传相应证明文件并进行电子签章。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本项目不接受联合体投标（供应商需提供非联合体投标承诺书，格式自拟）。供应商需在项目电子化交易系统中按要求上传相应证明文件并进行电子签章。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单位负责人）直接参与磋商的，须出具法定代表人（单位负责人）证明（附法人或单位负责人身份证复印件）；法定代表人（单位负责人）授权代表参与磋商的，须出具法人（单位负责人）授权委托书（附法人或单位负责人及授权代表身份证复印件)</w:t>
            </w:r>
          </w:p>
        </w:tc>
        <w:tc>
          <w:tcPr>
            <w:tcW w:type="dxa" w:w="3322"/>
          </w:tcPr>
          <w:p>
            <w:pPr>
              <w:pStyle w:val="null3"/>
            </w:pPr>
            <w:r>
              <w:rPr>
                <w:rFonts w:ascii="仿宋_GB2312" w:hAnsi="仿宋_GB2312" w:cs="仿宋_GB2312" w:eastAsia="仿宋_GB2312"/>
              </w:rPr>
              <w:t>法定代表人（单位负责人）直接参与磋商的，须出具法定代表人（单位负责人）证明（附法人或单位负责人身份证复印件）；法定代表人（单位负责人）授权代表参与磋商的，须出具法人（单位负责人）授权委托书（附法人或单位负责人及授权代表身份证复印件)。供应商 需在项目电子化交易系统中按要求上传相应证明文件并进行电子签章。</w:t>
            </w:r>
          </w:p>
        </w:tc>
        <w:tc>
          <w:tcPr>
            <w:tcW w:type="dxa" w:w="1661"/>
          </w:tcPr>
          <w:p>
            <w:pPr>
              <w:pStyle w:val="null3"/>
            </w:pPr>
            <w:r>
              <w:rPr>
                <w:rFonts w:ascii="仿宋_GB2312" w:hAnsi="仿宋_GB2312" w:cs="仿宋_GB2312" w:eastAsia="仿宋_GB2312"/>
              </w:rPr>
              <w:t>10法定代表人（单位负责人）身份证明.docx 10-1法定代表人（单位负责人）授权书.docx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有行业主管部门颁发的《保险许可证》或《金融许可证》（备注：本项目仅允许有承保意愿的保险公司本部或授权的一个分支机构参与投标。投标人若为分公司，须出具公司本部针对本项目的唯一授权书，总公司与分公司同时参与投标的，分公司投标无效）</w:t>
            </w:r>
          </w:p>
        </w:tc>
        <w:tc>
          <w:tcPr>
            <w:tcW w:type="dxa" w:w="3322"/>
          </w:tcPr>
          <w:p>
            <w:pPr>
              <w:pStyle w:val="null3"/>
            </w:pPr>
            <w:r>
              <w:rPr>
                <w:rFonts w:ascii="仿宋_GB2312" w:hAnsi="仿宋_GB2312" w:cs="仿宋_GB2312" w:eastAsia="仿宋_GB2312"/>
              </w:rPr>
              <w:t>供应商须具有行业主管部门颁发的《保险许可证》或《金融许可证》（备注：本项目仅允许有承保意愿的保险公司本部或授权的一个分支机构参与投标。投标人若为分公司，须出具公司本部针对本项目的唯一授权书，总公司与分公司同时参与投标的，分公司投标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13供应商须具有行业主管部门颁发的《保险许可证》或《金融许可证》</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磋商响应文件的完整性审查</w:t>
            </w:r>
          </w:p>
        </w:tc>
        <w:tc>
          <w:tcPr>
            <w:tcW w:type="dxa" w:w="3322"/>
          </w:tcPr>
          <w:p>
            <w:pPr>
              <w:pStyle w:val="null3"/>
            </w:pPr>
            <w:r>
              <w:rPr>
                <w:rFonts w:ascii="仿宋_GB2312" w:hAnsi="仿宋_GB2312" w:cs="仿宋_GB2312" w:eastAsia="仿宋_GB2312"/>
              </w:rPr>
              <w:t>（1）磋商响应文件是否按照磋商文件要求的格 式编写； （2）磋商响应文件内容是否有重大缺 漏项。</w:t>
            </w:r>
          </w:p>
        </w:tc>
        <w:tc>
          <w:tcPr>
            <w:tcW w:type="dxa" w:w="1661"/>
          </w:tcPr>
          <w:p>
            <w:pPr>
              <w:pStyle w:val="null3"/>
            </w:pPr>
            <w:r>
              <w:rPr>
                <w:rFonts w:ascii="仿宋_GB2312" w:hAnsi="仿宋_GB2312" w:cs="仿宋_GB2312" w:eastAsia="仿宋_GB2312"/>
              </w:rPr>
              <w:t>1响应文件封面 9服务方案.docx 6商务应答表 5服务内容及服务要求应答表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磋商响应文件的有效性审查</w:t>
            </w:r>
          </w:p>
        </w:tc>
        <w:tc>
          <w:tcPr>
            <w:tcW w:type="dxa" w:w="3322"/>
          </w:tcPr>
          <w:p>
            <w:pPr>
              <w:pStyle w:val="null3"/>
            </w:pPr>
            <w:r>
              <w:rPr>
                <w:rFonts w:ascii="仿宋_GB2312" w:hAnsi="仿宋_GB2312" w:cs="仿宋_GB2312" w:eastAsia="仿宋_GB2312"/>
              </w:rPr>
              <w:t>（1）磋商响应文件的签署、加盖印章是否合格 、有效； （2）提供的各种证明文件、数据、资 料是否合格、有效。</w:t>
            </w:r>
          </w:p>
        </w:tc>
        <w:tc>
          <w:tcPr>
            <w:tcW w:type="dxa" w:w="1661"/>
          </w:tcPr>
          <w:p>
            <w:pPr>
              <w:pStyle w:val="null3"/>
            </w:pPr>
            <w:r>
              <w:rPr>
                <w:rFonts w:ascii="仿宋_GB2312" w:hAnsi="仿宋_GB2312" w:cs="仿宋_GB2312" w:eastAsia="仿宋_GB2312"/>
              </w:rPr>
              <w:t>4供应商应提交的相关资格证明材料.docx 11拟派本项目管理、技术、服务人员情况表 13供应商须具有行业主管部门颁发的《保险许可证》或《金融许可证》</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7报价表 8标的清单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对磋商文件的响应性审查</w:t>
            </w:r>
          </w:p>
        </w:tc>
        <w:tc>
          <w:tcPr>
            <w:tcW w:type="dxa" w:w="3322"/>
          </w:tcPr>
          <w:p>
            <w:pPr>
              <w:pStyle w:val="null3"/>
            </w:pPr>
            <w:r>
              <w:rPr>
                <w:rFonts w:ascii="仿宋_GB2312" w:hAnsi="仿宋_GB2312" w:cs="仿宋_GB2312" w:eastAsia="仿宋_GB2312"/>
              </w:rPr>
              <w:t>（1）磋商报价唯一，是否超过最高限价； （2 ) 磋商有效期是否符合磋商文件的要求； （3） 对磋商文件商务部分指标是否完全响应。</w:t>
            </w:r>
          </w:p>
        </w:tc>
        <w:tc>
          <w:tcPr>
            <w:tcW w:type="dxa" w:w="1661"/>
          </w:tcPr>
          <w:p>
            <w:pPr>
              <w:pStyle w:val="null3"/>
            </w:pPr>
            <w:r>
              <w:rPr>
                <w:rFonts w:ascii="仿宋_GB2312" w:hAnsi="仿宋_GB2312" w:cs="仿宋_GB2312" w:eastAsia="仿宋_GB2312"/>
              </w:rPr>
              <w:t>2响应函 6商务应答表 7报价表 8标的清单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承保服务</w:t>
            </w:r>
          </w:p>
        </w:tc>
        <w:tc>
          <w:tcPr>
            <w:tcW w:type="dxa" w:w="2492"/>
          </w:tcPr>
          <w:p>
            <w:pPr>
              <w:pStyle w:val="null3"/>
            </w:pPr>
            <w:r>
              <w:rPr>
                <w:rFonts w:ascii="仿宋_GB2312" w:hAnsi="仿宋_GB2312" w:cs="仿宋_GB2312" w:eastAsia="仿宋_GB2312"/>
              </w:rPr>
              <w:t>供应商针对本项目采购内容及要求提供适用于本项目的服务方案。服务方案包括：①完善的承保方案及流程；②协助教育行政部门做好投保学校的各项承保工作的服务保障措施；③被保险学校人员变动、名称或地址变更、设立分校等相关保全服务保障措施；④培训方案及风险管理措施。评审标准:每一项内容全面详细，阐述条理清晰详尽、切实可行且符合项目实际需求得3分，①～④项合计得12分。内容①～④项任意一项缺项扣3分，扣完为止；内容①～④项里有一项内容缺陷(缺陷是指：内容粗略、条理不清晰、描述过于简单、与项目特点不匹配、出现常识性错误、存在不适用项目实际情况的情形等)的扣0.1-2.9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理赔服务</w:t>
            </w:r>
          </w:p>
        </w:tc>
        <w:tc>
          <w:tcPr>
            <w:tcW w:type="dxa" w:w="2492"/>
          </w:tcPr>
          <w:p>
            <w:pPr>
              <w:pStyle w:val="null3"/>
            </w:pPr>
            <w:r>
              <w:rPr>
                <w:rFonts w:ascii="仿宋_GB2312" w:hAnsi="仿宋_GB2312" w:cs="仿宋_GB2312" w:eastAsia="仿宋_GB2312"/>
              </w:rPr>
              <w:t>供应商针对本项目采购内容及要求提供适用于本项目的理赔服务方案，理赔服务方案包括：①建立针对本项目的专项工作小组并设立热线电话，理赔流程详尽合理，方便快捷，有整套完善的理赔措施；②对校方责任事故处理的理赔时效；③重大事故的协商处理方案； ④有通融赔付机制和案例；⑤对学校提供理赔材料有欠缺的能协助处理；⑥上门收取学校理赔资料的服务流程。 评审标准：每一项内容全面详细，阐述条理清晰详尽、切实可行且符合项目实际需求得3分，①～⑥项合计得18分。内容①～⑥项任意一项缺项扣3分，扣完为止；内容①～⑥项里有一项内容缺陷(缺陷是指：内容粗略、条理不清晰、描述过于简单、与项目特点不匹配、出现常识性错误、存在不适用项目实际情况的情形等)的扣0.1-2.9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其他服务</w:t>
            </w:r>
          </w:p>
        </w:tc>
        <w:tc>
          <w:tcPr>
            <w:tcW w:type="dxa" w:w="2492"/>
          </w:tcPr>
          <w:p>
            <w:pPr>
              <w:pStyle w:val="null3"/>
            </w:pPr>
            <w:r>
              <w:rPr>
                <w:rFonts w:ascii="仿宋_GB2312" w:hAnsi="仿宋_GB2312" w:cs="仿宋_GB2312" w:eastAsia="仿宋_GB2312"/>
              </w:rPr>
              <w:t>供应商根据本项目采购内容及要求提供适用于本项目的其他服务方案。其他服务方案包括：①法律援助服务；②增值服务；③特色服务。 评审标准:每一项内容全面详细，阐述条理清晰详尽、切实可行且符合项目实际需求得3分，①～③项合计得9分。内容①～③项任意一项缺项扣3分，扣完为止；内容①～③项里有一项内容缺陷(缺陷是指：内容粗略、条理不清晰、描述过于简单、与项目特点不匹配、出现常识性错误、存在不适用项目实际情况的情形等)的扣0.1-2.9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承保服务承诺</w:t>
            </w:r>
          </w:p>
        </w:tc>
        <w:tc>
          <w:tcPr>
            <w:tcW w:type="dxa" w:w="2492"/>
          </w:tcPr>
          <w:p>
            <w:pPr>
              <w:pStyle w:val="null3"/>
            </w:pPr>
            <w:r>
              <w:rPr>
                <w:rFonts w:ascii="仿宋_GB2312" w:hAnsi="仿宋_GB2312" w:cs="仿宋_GB2312" w:eastAsia="仿宋_GB2312"/>
              </w:rPr>
              <w:t>1、承诺能够在1个工作日内按要求出具正式保险单和发票的得1分； 2、承诺若全部被保险学校学生总数变动幅度不超过5%的不增加保费的得1分； 未做承诺本项不得分。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理赔服务承诺</w:t>
            </w:r>
          </w:p>
        </w:tc>
        <w:tc>
          <w:tcPr>
            <w:tcW w:type="dxa" w:w="2492"/>
          </w:tcPr>
          <w:p>
            <w:pPr>
              <w:pStyle w:val="null3"/>
            </w:pPr>
            <w:r>
              <w:rPr>
                <w:rFonts w:ascii="仿宋_GB2312" w:hAnsi="仿宋_GB2312" w:cs="仿宋_GB2312" w:eastAsia="仿宋_GB2312"/>
              </w:rPr>
              <w:t>1、承诺对可认定责任的事故不设报案时限的得1分； 2、承诺做到接报案后在1个工作日内提出处理意见的得1分； 未做承诺本项不得分。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保密措施及承诺</w:t>
            </w:r>
          </w:p>
        </w:tc>
        <w:tc>
          <w:tcPr>
            <w:tcW w:type="dxa" w:w="2492"/>
          </w:tcPr>
          <w:p>
            <w:pPr>
              <w:pStyle w:val="null3"/>
            </w:pPr>
            <w:r>
              <w:rPr>
                <w:rFonts w:ascii="仿宋_GB2312" w:hAnsi="仿宋_GB2312" w:cs="仿宋_GB2312" w:eastAsia="仿宋_GB2312"/>
              </w:rPr>
              <w:t>根据供应商针对本项目的参保人员所有信息数据有相应的保密措施及承诺的得1分； 未提供本项不得分。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每生每年累计赔偿限额（校方责任险）</w:t>
            </w:r>
          </w:p>
        </w:tc>
        <w:tc>
          <w:tcPr>
            <w:tcW w:type="dxa" w:w="2492"/>
          </w:tcPr>
          <w:p>
            <w:pPr>
              <w:pStyle w:val="null3"/>
            </w:pPr>
            <w:r>
              <w:rPr>
                <w:rFonts w:ascii="仿宋_GB2312" w:hAnsi="仿宋_GB2312" w:cs="仿宋_GB2312" w:eastAsia="仿宋_GB2312"/>
              </w:rPr>
              <w:t>按供应商所报每生每年累计赔偿限额（校方责任险）从高到低排序，最高每生每年累计赔偿限额（校方责任险）为评标基准赔偿限额，得8分，每生每年累计赔偿限额（校方责任险）得分=（各供应商每生每年累计赔偿限额（校方责任险）/评标基准赔偿限额）×8。</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每所学校每次事故赔偿限额（校方责任险）</w:t>
            </w:r>
          </w:p>
        </w:tc>
        <w:tc>
          <w:tcPr>
            <w:tcW w:type="dxa" w:w="2492"/>
          </w:tcPr>
          <w:p>
            <w:pPr>
              <w:pStyle w:val="null3"/>
            </w:pPr>
            <w:r>
              <w:rPr>
                <w:rFonts w:ascii="仿宋_GB2312" w:hAnsi="仿宋_GB2312" w:cs="仿宋_GB2312" w:eastAsia="仿宋_GB2312"/>
              </w:rPr>
              <w:t>按供应商所报每所学校每次事故赔偿限额（校方责任险）从高到低排序，最高每所学校每次事故赔偿限额（校方责任险）为评标基准赔偿限额，得8分，每所学校每次事故赔偿限额（校方责任险）得分=（各供应商每所学校每次事故赔偿限额（校方责任险）/评标基准赔偿限额）×8。</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每生每年累计赔偿限额（校方无过失责任险）</w:t>
            </w:r>
          </w:p>
        </w:tc>
        <w:tc>
          <w:tcPr>
            <w:tcW w:type="dxa" w:w="2492"/>
          </w:tcPr>
          <w:p>
            <w:pPr>
              <w:pStyle w:val="null3"/>
            </w:pPr>
            <w:r>
              <w:rPr>
                <w:rFonts w:ascii="仿宋_GB2312" w:hAnsi="仿宋_GB2312" w:cs="仿宋_GB2312" w:eastAsia="仿宋_GB2312"/>
              </w:rPr>
              <w:t>按供应商所报每生每年累计赔偿限额（校方无过失责任险）从高到低排序，最高每生每年累计赔偿限额（校方无过失责任险）为评标基准赔偿限额，得7分，每生每年累计赔偿限额（校方无过失责任险）得分=（各供应商每生每年累计赔偿限额（校方无过失责任险）/评标基准赔偿限额）×7。</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每所学校每次事故赔偿限额（校方无过失责任险）</w:t>
            </w:r>
          </w:p>
        </w:tc>
        <w:tc>
          <w:tcPr>
            <w:tcW w:type="dxa" w:w="2492"/>
          </w:tcPr>
          <w:p>
            <w:pPr>
              <w:pStyle w:val="null3"/>
            </w:pPr>
            <w:r>
              <w:rPr>
                <w:rFonts w:ascii="仿宋_GB2312" w:hAnsi="仿宋_GB2312" w:cs="仿宋_GB2312" w:eastAsia="仿宋_GB2312"/>
              </w:rPr>
              <w:t>按供应商所报每所学校每次事故赔偿限额（校方无过失责任险）从高到低排序，最高每所学校每次事故赔偿限额（校方无过失责任险）为评标基准赔偿限额，得7分，每所学校每次事故赔偿限额（校方无过失责任险）得分=（各供应商每所学校每次事故赔偿限额（校方无过失责任险）/评标基准赔偿限额）×7。</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每所学校每年累计赔偿限额</w:t>
            </w:r>
          </w:p>
        </w:tc>
        <w:tc>
          <w:tcPr>
            <w:tcW w:type="dxa" w:w="2492"/>
          </w:tcPr>
          <w:p>
            <w:pPr>
              <w:pStyle w:val="null3"/>
            </w:pPr>
            <w:r>
              <w:rPr>
                <w:rFonts w:ascii="仿宋_GB2312" w:hAnsi="仿宋_GB2312" w:cs="仿宋_GB2312" w:eastAsia="仿宋_GB2312"/>
              </w:rPr>
              <w:t>每所学校每年累计赔偿限额（包含校方责任险、校方无过失责任险）不设上限的得3分，否则不得分。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赔偿项目免赔额</w:t>
            </w:r>
          </w:p>
        </w:tc>
        <w:tc>
          <w:tcPr>
            <w:tcW w:type="dxa" w:w="2492"/>
          </w:tcPr>
          <w:p>
            <w:pPr>
              <w:pStyle w:val="null3"/>
            </w:pPr>
            <w:r>
              <w:rPr>
                <w:rFonts w:ascii="仿宋_GB2312" w:hAnsi="仿宋_GB2312" w:cs="仿宋_GB2312" w:eastAsia="仿宋_GB2312"/>
              </w:rPr>
              <w:t>所有赔偿项目不设免赔额的得2分，否则不得分。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供应商提供2023年7月1日至响应文件递交截至日已完成的同类项目业绩。每提供一份得2分，满分得10分，不满足要求或未提供的不得分。 备注：业绩证明材料以合同复印件或保单复印件或中标/成交通知书复印件为准（复印件加盖公章清晰可辨）。</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12业绩的有关证明材料.docx</w:t>
            </w:r>
          </w:p>
        </w:tc>
      </w:tr>
      <w:tr>
        <w:tc>
          <w:tcPr>
            <w:tcW w:type="dxa" w:w="831"/>
            <w:vMerge/>
          </w:tcPr>
          <w:p/>
        </w:tc>
        <w:tc>
          <w:tcPr>
            <w:tcW w:type="dxa" w:w="1661"/>
          </w:tcPr>
          <w:p>
            <w:pPr>
              <w:pStyle w:val="null3"/>
            </w:pPr>
            <w:r>
              <w:rPr>
                <w:rFonts w:ascii="仿宋_GB2312" w:hAnsi="仿宋_GB2312" w:cs="仿宋_GB2312" w:eastAsia="仿宋_GB2312"/>
              </w:rPr>
              <w:t>综合偿付能力充足率</w:t>
            </w:r>
          </w:p>
        </w:tc>
        <w:tc>
          <w:tcPr>
            <w:tcW w:type="dxa" w:w="2492"/>
          </w:tcPr>
          <w:p>
            <w:pPr>
              <w:pStyle w:val="null3"/>
            </w:pPr>
            <w:r>
              <w:rPr>
                <w:rFonts w:ascii="仿宋_GB2312" w:hAnsi="仿宋_GB2312" w:cs="仿宋_GB2312" w:eastAsia="仿宋_GB2312"/>
              </w:rPr>
              <w:t>根据供应商一年来（即2026年一季度、2025年四季度、2025年三季度、2025年二季度）综合偿付能力充足率情况进行赋分： ①连续四季度均≥200%，得8分； ②只有三个季度≥200%，得6分； ③只有二个季度≥200%，得4分； ④只有一个季度≥200%，得2分； ⑤四个季度均在200%以下，不得分。 注：供应商需提供在中国保险⾏业协会官⽹（www.iachina.cn）查询到的机构基本信息及综合偿付能⼒充⾜率的数据截图或保险公司偿付能力报告等证明材料并加盖单位公章，未提供不得分。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风险综合评级</w:t>
            </w:r>
          </w:p>
        </w:tc>
        <w:tc>
          <w:tcPr>
            <w:tcW w:type="dxa" w:w="2492"/>
          </w:tcPr>
          <w:p>
            <w:pPr>
              <w:pStyle w:val="null3"/>
            </w:pPr>
            <w:r>
              <w:rPr>
                <w:rFonts w:ascii="仿宋_GB2312" w:hAnsi="仿宋_GB2312" w:cs="仿宋_GB2312" w:eastAsia="仿宋_GB2312"/>
              </w:rPr>
              <w:t>根据供应商2025年第四季度的风险综合评级的响应情况进行赋分：B级及以上得3分，B级以下不得分。 注：需提供在中国保险行业协会官网（www.iachina.cn）查询到的机构基本信息及风险综合评级的数据截图或保险公司偿付能力报告或其他证明材料并加盖单位公章，未提供不得分。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7报价表</w:t>
            </w:r>
          </w:p>
          <w:p>
            <w:pPr>
              <w:pStyle w:val="null3"/>
            </w:pPr>
            <w:r>
              <w:rPr>
                <w:rFonts w:ascii="仿宋_GB2312" w:hAnsi="仿宋_GB2312" w:cs="仿宋_GB2312" w:eastAsia="仿宋_GB2312"/>
              </w:rPr>
              <w:t>8标的清单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7报价表</w:t>
            </w:r>
          </w:p>
          <w:p>
            <w:pPr>
              <w:pStyle w:val="null3"/>
            </w:pPr>
            <w:r>
              <w:rPr>
                <w:rFonts w:ascii="仿宋_GB2312" w:hAnsi="仿宋_GB2312" w:cs="仿宋_GB2312" w:eastAsia="仿宋_GB2312"/>
              </w:rPr>
              <w:t>8标的清单</w:t>
            </w:r>
          </w:p>
          <w:p>
            <w:pPr>
              <w:pStyle w:val="null3"/>
            </w:pPr>
            <w:r>
              <w:rPr>
                <w:rFonts w:ascii="仿宋_GB2312" w:hAnsi="仿宋_GB2312" w:cs="仿宋_GB2312" w:eastAsia="仿宋_GB2312"/>
              </w:rPr>
              <w:t>3中小企业声明函</w:t>
            </w:r>
          </w:p>
          <w:p>
            <w:pPr>
              <w:pStyle w:val="null3"/>
            </w:pPr>
            <w:r>
              <w:rPr>
                <w:rFonts w:ascii="仿宋_GB2312" w:hAnsi="仿宋_GB2312" w:cs="仿宋_GB2312" w:eastAsia="仿宋_GB2312"/>
              </w:rPr>
              <w:t>3-1残疾人福利性单位声明函</w:t>
            </w:r>
          </w:p>
          <w:p>
            <w:pPr>
              <w:pStyle w:val="null3"/>
            </w:pPr>
            <w:r>
              <w:rPr>
                <w:rFonts w:ascii="仿宋_GB2312" w:hAnsi="仿宋_GB2312" w:cs="仿宋_GB2312" w:eastAsia="仿宋_GB2312"/>
              </w:rPr>
              <w:t>3-2监狱企业的证明文件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详见附件：1响应文件封面</w:t>
      </w:r>
    </w:p>
    <w:p>
      <w:pPr>
        <w:pStyle w:val="null3"/>
        <w:ind w:firstLine="960"/>
      </w:pPr>
      <w:r>
        <w:rPr>
          <w:rFonts w:ascii="仿宋_GB2312" w:hAnsi="仿宋_GB2312" w:cs="仿宋_GB2312" w:eastAsia="仿宋_GB2312"/>
        </w:rPr>
        <w:t>详见附件：2响应函</w:t>
      </w:r>
    </w:p>
    <w:p>
      <w:pPr>
        <w:pStyle w:val="null3"/>
        <w:ind w:firstLine="960"/>
      </w:pPr>
      <w:r>
        <w:rPr>
          <w:rFonts w:ascii="仿宋_GB2312" w:hAnsi="仿宋_GB2312" w:cs="仿宋_GB2312" w:eastAsia="仿宋_GB2312"/>
        </w:rPr>
        <w:t>详见附件：3中小企业声明函</w:t>
      </w:r>
    </w:p>
    <w:p>
      <w:pPr>
        <w:pStyle w:val="null3"/>
        <w:ind w:firstLine="960"/>
      </w:pPr>
      <w:r>
        <w:rPr>
          <w:rFonts w:ascii="仿宋_GB2312" w:hAnsi="仿宋_GB2312" w:cs="仿宋_GB2312" w:eastAsia="仿宋_GB2312"/>
        </w:rPr>
        <w:t>详见附件：3-1残疾人福利性单位声明函</w:t>
      </w:r>
    </w:p>
    <w:p>
      <w:pPr>
        <w:pStyle w:val="null3"/>
        <w:ind w:firstLine="960"/>
      </w:pPr>
      <w:r>
        <w:rPr>
          <w:rFonts w:ascii="仿宋_GB2312" w:hAnsi="仿宋_GB2312" w:cs="仿宋_GB2312" w:eastAsia="仿宋_GB2312"/>
        </w:rPr>
        <w:t>详见附件：3-2监狱企业的证明文件</w:t>
      </w:r>
    </w:p>
    <w:p>
      <w:pPr>
        <w:pStyle w:val="null3"/>
        <w:ind w:firstLine="960"/>
      </w:pPr>
      <w:r>
        <w:rPr>
          <w:rFonts w:ascii="仿宋_GB2312" w:hAnsi="仿宋_GB2312" w:cs="仿宋_GB2312" w:eastAsia="仿宋_GB2312"/>
        </w:rPr>
        <w:t>详见附件：4供应商应提交的相关资格证明材料.docx</w:t>
      </w:r>
    </w:p>
    <w:p>
      <w:pPr>
        <w:pStyle w:val="null3"/>
        <w:ind w:firstLine="960"/>
      </w:pPr>
      <w:r>
        <w:rPr>
          <w:rFonts w:ascii="仿宋_GB2312" w:hAnsi="仿宋_GB2312" w:cs="仿宋_GB2312" w:eastAsia="仿宋_GB2312"/>
        </w:rPr>
        <w:t>详见附件：5服务内容及服务要求应答表</w:t>
      </w:r>
    </w:p>
    <w:p>
      <w:pPr>
        <w:pStyle w:val="null3"/>
        <w:ind w:firstLine="960"/>
      </w:pPr>
      <w:r>
        <w:rPr>
          <w:rFonts w:ascii="仿宋_GB2312" w:hAnsi="仿宋_GB2312" w:cs="仿宋_GB2312" w:eastAsia="仿宋_GB2312"/>
        </w:rPr>
        <w:t>详见附件：6商务应答表</w:t>
      </w:r>
    </w:p>
    <w:p>
      <w:pPr>
        <w:pStyle w:val="null3"/>
        <w:ind w:firstLine="960"/>
      </w:pPr>
      <w:r>
        <w:rPr>
          <w:rFonts w:ascii="仿宋_GB2312" w:hAnsi="仿宋_GB2312" w:cs="仿宋_GB2312" w:eastAsia="仿宋_GB2312"/>
        </w:rPr>
        <w:t>详见附件：7报价表</w:t>
      </w:r>
    </w:p>
    <w:p>
      <w:pPr>
        <w:pStyle w:val="null3"/>
        <w:ind w:firstLine="960"/>
      </w:pPr>
      <w:r>
        <w:rPr>
          <w:rFonts w:ascii="仿宋_GB2312" w:hAnsi="仿宋_GB2312" w:cs="仿宋_GB2312" w:eastAsia="仿宋_GB2312"/>
        </w:rPr>
        <w:t>详见附件：8标的清单</w:t>
      </w:r>
    </w:p>
    <w:p>
      <w:pPr>
        <w:pStyle w:val="null3"/>
        <w:ind w:firstLine="960"/>
      </w:pPr>
      <w:r>
        <w:rPr>
          <w:rFonts w:ascii="仿宋_GB2312" w:hAnsi="仿宋_GB2312" w:cs="仿宋_GB2312" w:eastAsia="仿宋_GB2312"/>
        </w:rPr>
        <w:t>详见附件：9服务方案.docx</w:t>
      </w:r>
    </w:p>
    <w:p>
      <w:pPr>
        <w:pStyle w:val="null3"/>
        <w:ind w:firstLine="960"/>
      </w:pPr>
      <w:r>
        <w:rPr>
          <w:rFonts w:ascii="仿宋_GB2312" w:hAnsi="仿宋_GB2312" w:cs="仿宋_GB2312" w:eastAsia="仿宋_GB2312"/>
        </w:rPr>
        <w:t>详见附件：10法定代表人（单位负责人）身份证明.docx</w:t>
      </w:r>
    </w:p>
    <w:p>
      <w:pPr>
        <w:pStyle w:val="null3"/>
        <w:ind w:firstLine="960"/>
      </w:pPr>
      <w:r>
        <w:rPr>
          <w:rFonts w:ascii="仿宋_GB2312" w:hAnsi="仿宋_GB2312" w:cs="仿宋_GB2312" w:eastAsia="仿宋_GB2312"/>
        </w:rPr>
        <w:t>详见附件：10-1法定代表人（单位负责人）授权书.docx</w:t>
      </w:r>
    </w:p>
    <w:p>
      <w:pPr>
        <w:pStyle w:val="null3"/>
        <w:ind w:firstLine="960"/>
      </w:pPr>
      <w:r>
        <w:rPr>
          <w:rFonts w:ascii="仿宋_GB2312" w:hAnsi="仿宋_GB2312" w:cs="仿宋_GB2312" w:eastAsia="仿宋_GB2312"/>
        </w:rPr>
        <w:t>详见附件：11拟派本项目管理、技术、服务人员情况表</w:t>
      </w:r>
    </w:p>
    <w:p>
      <w:pPr>
        <w:pStyle w:val="null3"/>
        <w:ind w:firstLine="960"/>
      </w:pPr>
      <w:r>
        <w:rPr>
          <w:rFonts w:ascii="仿宋_GB2312" w:hAnsi="仿宋_GB2312" w:cs="仿宋_GB2312" w:eastAsia="仿宋_GB2312"/>
        </w:rPr>
        <w:t>详见附件：12业绩的有关证明材料.docx</w:t>
      </w:r>
    </w:p>
    <w:p>
      <w:pPr>
        <w:pStyle w:val="null3"/>
        <w:ind w:firstLine="960"/>
      </w:pPr>
      <w:r>
        <w:rPr>
          <w:rFonts w:ascii="仿宋_GB2312" w:hAnsi="仿宋_GB2312" w:cs="仿宋_GB2312" w:eastAsia="仿宋_GB2312"/>
        </w:rPr>
        <w:t>详见附件：13供应商须具有行业主管部门颁发的《保险许可证》或《金融许可证》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